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223E" w14:textId="77777777" w:rsidR="004D20CF" w:rsidRPr="00042517" w:rsidRDefault="008533DF">
      <w:pPr>
        <w:rPr>
          <w:b/>
        </w:rPr>
      </w:pPr>
      <w:r w:rsidRPr="00042517">
        <w:rPr>
          <w:b/>
        </w:rPr>
        <w:t>BP Public Disclosures – for consideration as part of CHRB 2018 research process</w:t>
      </w:r>
    </w:p>
    <w:p w14:paraId="4843B0B7" w14:textId="77777777" w:rsidR="008533DF" w:rsidRPr="00042517" w:rsidRDefault="008533DF">
      <w:pPr>
        <w:rPr>
          <w:b/>
        </w:rPr>
      </w:pPr>
      <w:r w:rsidRPr="00042517">
        <w:rPr>
          <w:b/>
        </w:rPr>
        <w:t>28 March 2018</w:t>
      </w:r>
    </w:p>
    <w:p w14:paraId="67DF309F" w14:textId="77777777" w:rsidR="008533DF" w:rsidRPr="00042517" w:rsidRDefault="00197CA0">
      <w:proofErr w:type="gramStart"/>
      <w:r w:rsidRPr="00042517">
        <w:t>A number of</w:t>
      </w:r>
      <w:proofErr w:type="gramEnd"/>
      <w:r w:rsidRPr="00042517">
        <w:t xml:space="preserve"> BP disclosures are relevant to CHRB’s assessment of company human rights policies, practices and reporting. However, due to the timing of the closure of the CHRB disclosure platform, only some of those which will be publicly available on the 30</w:t>
      </w:r>
      <w:r w:rsidRPr="00042517">
        <w:rPr>
          <w:vertAlign w:val="superscript"/>
        </w:rPr>
        <w:t>th</w:t>
      </w:r>
      <w:r w:rsidRPr="00042517">
        <w:t xml:space="preserve"> March 2018 will be 2017 reports.</w:t>
      </w:r>
    </w:p>
    <w:p w14:paraId="78594349" w14:textId="0E7826C0" w:rsidR="00197CA0" w:rsidRPr="00042517" w:rsidRDefault="00197CA0">
      <w:proofErr w:type="gramStart"/>
      <w:r w:rsidRPr="00042517">
        <w:t>In order to</w:t>
      </w:r>
      <w:proofErr w:type="gramEnd"/>
      <w:r w:rsidRPr="00042517">
        <w:t xml:space="preserve"> guide CHRB researchers to the most relevant and recent BP disclosures</w:t>
      </w:r>
      <w:r w:rsidR="00013B02">
        <w:t xml:space="preserve"> for the purposes of the research process in 2018</w:t>
      </w:r>
      <w:r w:rsidRPr="00042517">
        <w:t>, the below indicates thei</w:t>
      </w:r>
      <w:r w:rsidR="00013B02">
        <w:t>r publication date and location. Where publication dates fall after 28</w:t>
      </w:r>
      <w:r w:rsidR="00013B02" w:rsidRPr="00013B02">
        <w:rPr>
          <w:vertAlign w:val="superscript"/>
        </w:rPr>
        <w:t>th</w:t>
      </w:r>
      <w:r w:rsidR="00013B02">
        <w:t xml:space="preserve"> March, they are indicative. Annual disclosures for which the 2016 iteration is already available online are indicated by an asterisk.</w:t>
      </w:r>
    </w:p>
    <w:tbl>
      <w:tblPr>
        <w:tblStyle w:val="TableGrid"/>
        <w:tblW w:w="0" w:type="auto"/>
        <w:jc w:val="center"/>
        <w:tblLook w:val="04A0" w:firstRow="1" w:lastRow="0" w:firstColumn="1" w:lastColumn="0" w:noHBand="0" w:noVBand="1"/>
      </w:tblPr>
      <w:tblGrid>
        <w:gridCol w:w="3256"/>
        <w:gridCol w:w="2754"/>
        <w:gridCol w:w="6362"/>
      </w:tblGrid>
      <w:tr w:rsidR="00042517" w:rsidRPr="00042517" w14:paraId="208C03EC" w14:textId="77777777" w:rsidTr="00966EF5">
        <w:trPr>
          <w:trHeight w:val="624"/>
          <w:jc w:val="center"/>
        </w:trPr>
        <w:tc>
          <w:tcPr>
            <w:tcW w:w="3256" w:type="dxa"/>
            <w:vAlign w:val="center"/>
          </w:tcPr>
          <w:p w14:paraId="13774D92" w14:textId="77777777" w:rsidR="00197CA0" w:rsidRPr="00042517" w:rsidRDefault="00197CA0" w:rsidP="00197CA0">
            <w:pPr>
              <w:jc w:val="center"/>
              <w:rPr>
                <w:b/>
              </w:rPr>
            </w:pPr>
            <w:r w:rsidRPr="00042517">
              <w:rPr>
                <w:b/>
              </w:rPr>
              <w:t>Disclosure</w:t>
            </w:r>
          </w:p>
        </w:tc>
        <w:tc>
          <w:tcPr>
            <w:tcW w:w="2754" w:type="dxa"/>
            <w:vAlign w:val="center"/>
          </w:tcPr>
          <w:p w14:paraId="62E78BDD" w14:textId="77777777" w:rsidR="00197CA0" w:rsidRPr="00042517" w:rsidRDefault="00197CA0" w:rsidP="00197CA0">
            <w:pPr>
              <w:jc w:val="center"/>
              <w:rPr>
                <w:b/>
              </w:rPr>
            </w:pPr>
            <w:r w:rsidRPr="00042517">
              <w:rPr>
                <w:b/>
              </w:rPr>
              <w:t>Date</w:t>
            </w:r>
          </w:p>
        </w:tc>
        <w:tc>
          <w:tcPr>
            <w:tcW w:w="6362" w:type="dxa"/>
            <w:vAlign w:val="center"/>
          </w:tcPr>
          <w:p w14:paraId="67ED9578" w14:textId="77777777" w:rsidR="00197CA0" w:rsidRPr="00042517" w:rsidRDefault="00197CA0" w:rsidP="00197CA0">
            <w:pPr>
              <w:jc w:val="center"/>
              <w:rPr>
                <w:b/>
              </w:rPr>
            </w:pPr>
            <w:r w:rsidRPr="00042517">
              <w:rPr>
                <w:b/>
              </w:rPr>
              <w:t>Location</w:t>
            </w:r>
          </w:p>
        </w:tc>
      </w:tr>
      <w:tr w:rsidR="00042517" w:rsidRPr="00042517" w14:paraId="193696BE" w14:textId="77777777" w:rsidTr="0040210D">
        <w:trPr>
          <w:trHeight w:val="737"/>
          <w:jc w:val="center"/>
        </w:trPr>
        <w:tc>
          <w:tcPr>
            <w:tcW w:w="3256" w:type="dxa"/>
            <w:vAlign w:val="center"/>
          </w:tcPr>
          <w:p w14:paraId="367F3AB8" w14:textId="77777777" w:rsidR="00197668" w:rsidRPr="00042517" w:rsidRDefault="00197668" w:rsidP="00197CA0">
            <w:pPr>
              <w:jc w:val="center"/>
            </w:pPr>
            <w:r w:rsidRPr="00042517">
              <w:t>Business and Human Rights policy</w:t>
            </w:r>
          </w:p>
        </w:tc>
        <w:tc>
          <w:tcPr>
            <w:tcW w:w="2754" w:type="dxa"/>
            <w:vAlign w:val="center"/>
          </w:tcPr>
          <w:p w14:paraId="49FC7158" w14:textId="77777777" w:rsidR="00197668" w:rsidRPr="00042517" w:rsidRDefault="00197668" w:rsidP="00197CA0">
            <w:pPr>
              <w:jc w:val="center"/>
            </w:pPr>
            <w:r w:rsidRPr="00042517">
              <w:t>March 2013</w:t>
            </w:r>
          </w:p>
        </w:tc>
        <w:tc>
          <w:tcPr>
            <w:tcW w:w="6362" w:type="dxa"/>
            <w:vAlign w:val="center"/>
          </w:tcPr>
          <w:p w14:paraId="74952843" w14:textId="77777777" w:rsidR="00197668" w:rsidRPr="00042517" w:rsidRDefault="00197668" w:rsidP="00197CA0">
            <w:pPr>
              <w:jc w:val="center"/>
            </w:pPr>
            <w:r w:rsidRPr="00042517">
              <w:t>Already available through CHRB disclosure platform</w:t>
            </w:r>
          </w:p>
        </w:tc>
      </w:tr>
      <w:tr w:rsidR="00042517" w:rsidRPr="00042517" w14:paraId="40334C0C" w14:textId="77777777" w:rsidTr="0040210D">
        <w:trPr>
          <w:trHeight w:val="737"/>
          <w:jc w:val="center"/>
        </w:trPr>
        <w:tc>
          <w:tcPr>
            <w:tcW w:w="3256" w:type="dxa"/>
            <w:vAlign w:val="center"/>
          </w:tcPr>
          <w:p w14:paraId="5E41A900" w14:textId="77777777" w:rsidR="00197668" w:rsidRPr="00042517" w:rsidRDefault="00197668" w:rsidP="00197CA0">
            <w:pPr>
              <w:jc w:val="center"/>
            </w:pPr>
            <w:r w:rsidRPr="00042517">
              <w:t>Code of Conduct</w:t>
            </w:r>
          </w:p>
        </w:tc>
        <w:tc>
          <w:tcPr>
            <w:tcW w:w="2754" w:type="dxa"/>
            <w:vAlign w:val="center"/>
          </w:tcPr>
          <w:p w14:paraId="17FD44C3" w14:textId="77777777" w:rsidR="00197668" w:rsidRPr="00042517" w:rsidRDefault="00197668" w:rsidP="00197CA0">
            <w:pPr>
              <w:jc w:val="center"/>
            </w:pPr>
            <w:r w:rsidRPr="00042517">
              <w:t>N/A</w:t>
            </w:r>
          </w:p>
        </w:tc>
        <w:tc>
          <w:tcPr>
            <w:tcW w:w="6362" w:type="dxa"/>
            <w:vAlign w:val="center"/>
          </w:tcPr>
          <w:p w14:paraId="6A43A58F" w14:textId="77777777" w:rsidR="00197668" w:rsidRPr="00042517" w:rsidRDefault="00197668" w:rsidP="00197CA0">
            <w:pPr>
              <w:jc w:val="center"/>
            </w:pPr>
            <w:r w:rsidRPr="00042517">
              <w:t>Already available through CHRB disclosure platform</w:t>
            </w:r>
          </w:p>
        </w:tc>
      </w:tr>
      <w:tr w:rsidR="00013B02" w:rsidRPr="00042517" w14:paraId="73C27C8C" w14:textId="77777777" w:rsidTr="0040210D">
        <w:trPr>
          <w:trHeight w:val="737"/>
          <w:jc w:val="center"/>
        </w:trPr>
        <w:tc>
          <w:tcPr>
            <w:tcW w:w="3256" w:type="dxa"/>
            <w:vAlign w:val="center"/>
          </w:tcPr>
          <w:p w14:paraId="597D2305" w14:textId="341F9305" w:rsidR="00013B02" w:rsidRPr="00042517" w:rsidRDefault="00013B02" w:rsidP="00197CA0">
            <w:pPr>
              <w:jc w:val="center"/>
            </w:pPr>
            <w:r>
              <w:t>BP Supplier Expectations</w:t>
            </w:r>
          </w:p>
        </w:tc>
        <w:tc>
          <w:tcPr>
            <w:tcW w:w="2754" w:type="dxa"/>
            <w:vAlign w:val="center"/>
          </w:tcPr>
          <w:p w14:paraId="30B554ED" w14:textId="085AD0DE" w:rsidR="00013B02" w:rsidRPr="00042517" w:rsidRDefault="002362A5" w:rsidP="00197CA0">
            <w:pPr>
              <w:jc w:val="center"/>
            </w:pPr>
            <w:r>
              <w:t>June</w:t>
            </w:r>
            <w:r w:rsidR="00550709">
              <w:t xml:space="preserve"> 2017</w:t>
            </w:r>
          </w:p>
        </w:tc>
        <w:tc>
          <w:tcPr>
            <w:tcW w:w="6362" w:type="dxa"/>
            <w:vAlign w:val="center"/>
          </w:tcPr>
          <w:p w14:paraId="3787E755" w14:textId="3F56F837" w:rsidR="00013B02" w:rsidRPr="00042517" w:rsidRDefault="00547A9F" w:rsidP="00197CA0">
            <w:pPr>
              <w:jc w:val="center"/>
            </w:pPr>
            <w:hyperlink r:id="rId8" w:history="1">
              <w:r w:rsidRPr="00547A9F">
                <w:rPr>
                  <w:rStyle w:val="Hyperlink"/>
                  <w:color w:val="auto"/>
                </w:rPr>
                <w:t>https://www.bp.com/content/dam/bp/en/corporate/pdf/products-services/bp-supplier-expectations-english.pdf</w:t>
              </w:r>
            </w:hyperlink>
            <w:r>
              <w:t xml:space="preserve"> </w:t>
            </w:r>
          </w:p>
        </w:tc>
      </w:tr>
      <w:tr w:rsidR="00042517" w:rsidRPr="00042517" w14:paraId="3BB72772" w14:textId="77777777" w:rsidTr="0040210D">
        <w:trPr>
          <w:trHeight w:val="737"/>
          <w:jc w:val="center"/>
        </w:trPr>
        <w:tc>
          <w:tcPr>
            <w:tcW w:w="3256" w:type="dxa"/>
            <w:vAlign w:val="center"/>
          </w:tcPr>
          <w:p w14:paraId="0AF92DD2" w14:textId="17575F5D" w:rsidR="00197CA0" w:rsidRPr="00042517" w:rsidRDefault="00197CA0" w:rsidP="00197CA0">
            <w:pPr>
              <w:jc w:val="center"/>
            </w:pPr>
            <w:r w:rsidRPr="00042517">
              <w:t>Annual Report 2017</w:t>
            </w:r>
            <w:r w:rsidR="00013B02">
              <w:rPr>
                <w:rFonts w:cstheme="minorHAnsi"/>
              </w:rPr>
              <w:t>*</w:t>
            </w:r>
          </w:p>
        </w:tc>
        <w:tc>
          <w:tcPr>
            <w:tcW w:w="2754" w:type="dxa"/>
            <w:vAlign w:val="center"/>
          </w:tcPr>
          <w:p w14:paraId="145F9361" w14:textId="0993118F" w:rsidR="00197CA0" w:rsidRPr="00042517" w:rsidRDefault="00175042" w:rsidP="00197CA0">
            <w:pPr>
              <w:jc w:val="center"/>
            </w:pPr>
            <w:r w:rsidRPr="00042517">
              <w:t xml:space="preserve"> 29</w:t>
            </w:r>
            <w:r w:rsidR="00066165" w:rsidRPr="00042517">
              <w:t xml:space="preserve"> March</w:t>
            </w:r>
            <w:r w:rsidR="00197668" w:rsidRPr="00042517">
              <w:t xml:space="preserve"> 2018</w:t>
            </w:r>
          </w:p>
        </w:tc>
        <w:tc>
          <w:tcPr>
            <w:tcW w:w="6362" w:type="dxa"/>
            <w:vAlign w:val="center"/>
          </w:tcPr>
          <w:p w14:paraId="31A5ABA8" w14:textId="73F16453" w:rsidR="00197CA0" w:rsidRPr="00042517" w:rsidRDefault="0040210D" w:rsidP="00197CA0">
            <w:pPr>
              <w:jc w:val="center"/>
              <w:rPr>
                <w:u w:val="single"/>
              </w:rPr>
            </w:pPr>
            <w:hyperlink r:id="rId9" w:history="1">
              <w:r w:rsidR="00042517" w:rsidRPr="00121CCF">
                <w:rPr>
                  <w:rStyle w:val="Hyperlink"/>
                  <w:rFonts w:eastAsia="Times New Roman"/>
                  <w:color w:val="auto"/>
                </w:rPr>
                <w:t>BP.com/</w:t>
              </w:r>
              <w:proofErr w:type="spellStart"/>
              <w:r w:rsidR="00042517" w:rsidRPr="00121CCF">
                <w:rPr>
                  <w:rStyle w:val="Hyperlink"/>
                  <w:rFonts w:eastAsia="Times New Roman"/>
                  <w:color w:val="auto"/>
                </w:rPr>
                <w:t>annualreport</w:t>
              </w:r>
              <w:proofErr w:type="spellEnd"/>
            </w:hyperlink>
          </w:p>
        </w:tc>
      </w:tr>
      <w:tr w:rsidR="00042517" w:rsidRPr="00042517" w14:paraId="2FAE5D3F" w14:textId="77777777" w:rsidTr="0040210D">
        <w:trPr>
          <w:trHeight w:val="737"/>
          <w:jc w:val="center"/>
        </w:trPr>
        <w:tc>
          <w:tcPr>
            <w:tcW w:w="3256" w:type="dxa"/>
            <w:vAlign w:val="center"/>
          </w:tcPr>
          <w:p w14:paraId="7C710AF7" w14:textId="6442EA16" w:rsidR="00197CA0" w:rsidRPr="00042517" w:rsidRDefault="00197CA0" w:rsidP="00197CA0">
            <w:pPr>
              <w:jc w:val="center"/>
            </w:pPr>
            <w:bookmarkStart w:id="0" w:name="_GoBack" w:colFirst="0" w:colLast="2"/>
            <w:r w:rsidRPr="00042517">
              <w:t>Sustainability Report 2017</w:t>
            </w:r>
            <w:r w:rsidR="00013B02">
              <w:rPr>
                <w:rFonts w:cstheme="minorHAnsi"/>
              </w:rPr>
              <w:t>*</w:t>
            </w:r>
          </w:p>
        </w:tc>
        <w:tc>
          <w:tcPr>
            <w:tcW w:w="2754" w:type="dxa"/>
            <w:vAlign w:val="center"/>
          </w:tcPr>
          <w:p w14:paraId="17BE9BAC" w14:textId="77777777" w:rsidR="00197CA0" w:rsidRPr="00042517" w:rsidRDefault="00175042" w:rsidP="00197CA0">
            <w:pPr>
              <w:jc w:val="center"/>
            </w:pPr>
            <w:r w:rsidRPr="00042517">
              <w:t>16</w:t>
            </w:r>
            <w:r w:rsidR="00197668" w:rsidRPr="00042517">
              <w:t xml:space="preserve"> April 2018</w:t>
            </w:r>
          </w:p>
        </w:tc>
        <w:tc>
          <w:tcPr>
            <w:tcW w:w="6362" w:type="dxa"/>
            <w:vAlign w:val="center"/>
          </w:tcPr>
          <w:p w14:paraId="0666C55E" w14:textId="430D87C2" w:rsidR="00F8237E" w:rsidRPr="00042517" w:rsidRDefault="0040210D" w:rsidP="0040210D">
            <w:pPr>
              <w:jc w:val="center"/>
              <w:rPr>
                <w:u w:val="single"/>
              </w:rPr>
            </w:pPr>
            <w:hyperlink r:id="rId10" w:history="1">
              <w:r w:rsidR="00F8237E" w:rsidRPr="00042517">
                <w:rPr>
                  <w:rStyle w:val="Hyperlink"/>
                  <w:color w:val="auto"/>
                </w:rPr>
                <w:t>https://www.bp.com/en/global/corporate/new-sustainability.html</w:t>
              </w:r>
            </w:hyperlink>
          </w:p>
        </w:tc>
      </w:tr>
      <w:bookmarkEnd w:id="0"/>
      <w:tr w:rsidR="00042517" w:rsidRPr="00042517" w14:paraId="40201D3D" w14:textId="77777777" w:rsidTr="00966EF5">
        <w:trPr>
          <w:trHeight w:val="1247"/>
          <w:jc w:val="center"/>
        </w:trPr>
        <w:tc>
          <w:tcPr>
            <w:tcW w:w="3256" w:type="dxa"/>
            <w:vAlign w:val="center"/>
          </w:tcPr>
          <w:p w14:paraId="4F3C1945" w14:textId="761B4533" w:rsidR="00197CA0" w:rsidRPr="00042517" w:rsidRDefault="00197668" w:rsidP="00197CA0">
            <w:pPr>
              <w:jc w:val="center"/>
            </w:pPr>
            <w:r w:rsidRPr="00042517">
              <w:t>Annual R</w:t>
            </w:r>
            <w:r w:rsidR="00197CA0" w:rsidRPr="00042517">
              <w:t>eport on Implementation of the Voluntary Principles on Security and Human Rights 2017</w:t>
            </w:r>
            <w:r w:rsidR="00013B02">
              <w:rPr>
                <w:rFonts w:cstheme="minorHAnsi"/>
              </w:rPr>
              <w:t>*</w:t>
            </w:r>
          </w:p>
        </w:tc>
        <w:tc>
          <w:tcPr>
            <w:tcW w:w="2754" w:type="dxa"/>
            <w:vAlign w:val="center"/>
          </w:tcPr>
          <w:p w14:paraId="4FA24EAC" w14:textId="3032902C" w:rsidR="00197CA0" w:rsidRPr="00042517" w:rsidRDefault="00197668" w:rsidP="00197CA0">
            <w:pPr>
              <w:jc w:val="center"/>
            </w:pPr>
            <w:r w:rsidRPr="00042517">
              <w:t>April 2018</w:t>
            </w:r>
          </w:p>
        </w:tc>
        <w:tc>
          <w:tcPr>
            <w:tcW w:w="6362" w:type="dxa"/>
            <w:vAlign w:val="center"/>
          </w:tcPr>
          <w:p w14:paraId="20B0F7D3" w14:textId="77777777" w:rsidR="00197CA0" w:rsidRPr="00042517" w:rsidRDefault="00197668" w:rsidP="00197CA0">
            <w:pPr>
              <w:jc w:val="center"/>
              <w:rPr>
                <w:u w:val="single"/>
              </w:rPr>
            </w:pPr>
            <w:r w:rsidRPr="00042517">
              <w:rPr>
                <w:u w:val="single"/>
              </w:rPr>
              <w:t>http://www.voluntaryprinciples.org/resources/</w:t>
            </w:r>
          </w:p>
        </w:tc>
      </w:tr>
      <w:tr w:rsidR="00042517" w:rsidRPr="00042517" w14:paraId="3D7C2DF9" w14:textId="77777777" w:rsidTr="00966EF5">
        <w:trPr>
          <w:trHeight w:val="1020"/>
          <w:jc w:val="center"/>
        </w:trPr>
        <w:tc>
          <w:tcPr>
            <w:tcW w:w="3256" w:type="dxa"/>
            <w:vAlign w:val="center"/>
          </w:tcPr>
          <w:p w14:paraId="2B0E80DB" w14:textId="77777777" w:rsidR="00197CA0" w:rsidRPr="00042517" w:rsidRDefault="00197CA0" w:rsidP="00197CA0">
            <w:pPr>
              <w:jc w:val="center"/>
            </w:pPr>
            <w:proofErr w:type="spellStart"/>
            <w:r w:rsidRPr="00042517">
              <w:lastRenderedPageBreak/>
              <w:t>Tangguh</w:t>
            </w:r>
            <w:proofErr w:type="spellEnd"/>
            <w:r w:rsidRPr="00042517">
              <w:t xml:space="preserve"> Independent Advisory Panel (TIAP) Report</w:t>
            </w:r>
            <w:r w:rsidR="00197668" w:rsidRPr="00042517">
              <w:t xml:space="preserve"> and BP Response</w:t>
            </w:r>
          </w:p>
        </w:tc>
        <w:tc>
          <w:tcPr>
            <w:tcW w:w="2754" w:type="dxa"/>
            <w:vAlign w:val="center"/>
          </w:tcPr>
          <w:p w14:paraId="66722746" w14:textId="77777777" w:rsidR="00197CA0" w:rsidRPr="00042517" w:rsidRDefault="00197668" w:rsidP="00197CA0">
            <w:pPr>
              <w:jc w:val="center"/>
            </w:pPr>
            <w:r w:rsidRPr="00042517">
              <w:t>December 2017 and January 2018</w:t>
            </w:r>
          </w:p>
        </w:tc>
        <w:tc>
          <w:tcPr>
            <w:tcW w:w="6362" w:type="dxa"/>
            <w:vAlign w:val="center"/>
          </w:tcPr>
          <w:p w14:paraId="4459A0D7" w14:textId="77777777" w:rsidR="00197CA0" w:rsidRPr="00042517" w:rsidRDefault="00197668" w:rsidP="00197CA0">
            <w:pPr>
              <w:jc w:val="center"/>
              <w:rPr>
                <w:u w:val="single"/>
              </w:rPr>
            </w:pPr>
            <w:r w:rsidRPr="00042517">
              <w:rPr>
                <w:u w:val="single"/>
              </w:rPr>
              <w:t>https://www.bp.com/en_id/indonesia/press-center/documents.html</w:t>
            </w:r>
          </w:p>
        </w:tc>
      </w:tr>
      <w:tr w:rsidR="00197668" w:rsidRPr="00042517" w14:paraId="52C4DCC9" w14:textId="77777777" w:rsidTr="00966EF5">
        <w:trPr>
          <w:trHeight w:val="1134"/>
          <w:jc w:val="center"/>
        </w:trPr>
        <w:tc>
          <w:tcPr>
            <w:tcW w:w="3256" w:type="dxa"/>
            <w:vAlign w:val="center"/>
          </w:tcPr>
          <w:p w14:paraId="5FFC8970" w14:textId="7DB87B24" w:rsidR="00197668" w:rsidRPr="00042517" w:rsidRDefault="00197668" w:rsidP="00197CA0">
            <w:pPr>
              <w:jc w:val="center"/>
            </w:pPr>
            <w:r w:rsidRPr="00042517">
              <w:t>BP Annual Slavery and Human Trafficking Statement</w:t>
            </w:r>
            <w:r w:rsidR="00013B02">
              <w:t xml:space="preserve"> 2017</w:t>
            </w:r>
            <w:r w:rsidR="00013B02">
              <w:rPr>
                <w:rFonts w:cstheme="minorHAnsi"/>
              </w:rPr>
              <w:t>*</w:t>
            </w:r>
          </w:p>
        </w:tc>
        <w:tc>
          <w:tcPr>
            <w:tcW w:w="2754" w:type="dxa"/>
            <w:vAlign w:val="center"/>
          </w:tcPr>
          <w:p w14:paraId="763181AC" w14:textId="586EEB48" w:rsidR="00197668" w:rsidRPr="00042517" w:rsidRDefault="00197668" w:rsidP="00197CA0">
            <w:pPr>
              <w:jc w:val="center"/>
            </w:pPr>
            <w:r w:rsidRPr="00042517">
              <w:t>June 201</w:t>
            </w:r>
            <w:r w:rsidR="00013B02">
              <w:t>8</w:t>
            </w:r>
          </w:p>
        </w:tc>
        <w:tc>
          <w:tcPr>
            <w:tcW w:w="6362" w:type="dxa"/>
            <w:vAlign w:val="center"/>
          </w:tcPr>
          <w:p w14:paraId="6448AA94" w14:textId="77777777" w:rsidR="00197668" w:rsidRPr="00042517" w:rsidRDefault="00197668" w:rsidP="00197CA0">
            <w:pPr>
              <w:jc w:val="center"/>
              <w:rPr>
                <w:u w:val="single"/>
              </w:rPr>
            </w:pPr>
            <w:r w:rsidRPr="00042517">
              <w:rPr>
                <w:u w:val="single"/>
              </w:rPr>
              <w:t>https://www.bp.com/en/global/corporate/sustainability/respecting-human-rights/labour-rights/modern-slavery.html</w:t>
            </w:r>
          </w:p>
        </w:tc>
      </w:tr>
    </w:tbl>
    <w:p w14:paraId="6556EFDF" w14:textId="77777777" w:rsidR="00197CA0" w:rsidRPr="00042517" w:rsidRDefault="00197CA0" w:rsidP="00197CA0"/>
    <w:sectPr w:rsidR="00197CA0" w:rsidRPr="00042517" w:rsidSect="001976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E253" w14:textId="77777777" w:rsidR="008533DF" w:rsidRDefault="008533DF" w:rsidP="008533DF">
      <w:pPr>
        <w:spacing w:after="0" w:line="240" w:lineRule="auto"/>
      </w:pPr>
      <w:r>
        <w:separator/>
      </w:r>
    </w:p>
  </w:endnote>
  <w:endnote w:type="continuationSeparator" w:id="0">
    <w:p w14:paraId="3341FE61" w14:textId="77777777" w:rsidR="008533DF" w:rsidRDefault="008533DF" w:rsidP="0085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7D56" w14:textId="77777777" w:rsidR="008533DF" w:rsidRDefault="0085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162C" w14:textId="77777777" w:rsidR="008533DF" w:rsidRDefault="00853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3681" w14:textId="77777777" w:rsidR="008533DF" w:rsidRDefault="00853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7789" w14:textId="77777777" w:rsidR="008533DF" w:rsidRDefault="008533DF" w:rsidP="008533DF">
      <w:pPr>
        <w:spacing w:after="0" w:line="240" w:lineRule="auto"/>
      </w:pPr>
      <w:r>
        <w:separator/>
      </w:r>
    </w:p>
  </w:footnote>
  <w:footnote w:type="continuationSeparator" w:id="0">
    <w:p w14:paraId="4A3555A0" w14:textId="77777777" w:rsidR="008533DF" w:rsidRDefault="008533DF" w:rsidP="0085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9338" w14:textId="77777777" w:rsidR="008533DF" w:rsidRDefault="0085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BD66" w14:textId="77777777" w:rsidR="008533DF" w:rsidRDefault="00853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09BD" w14:textId="77777777" w:rsidR="008533DF" w:rsidRDefault="008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0996"/>
    <w:multiLevelType w:val="hybridMultilevel"/>
    <w:tmpl w:val="F2B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DF"/>
    <w:rsid w:val="00013B02"/>
    <w:rsid w:val="00042517"/>
    <w:rsid w:val="00066165"/>
    <w:rsid w:val="00121CCF"/>
    <w:rsid w:val="00175042"/>
    <w:rsid w:val="00197668"/>
    <w:rsid w:val="00197CA0"/>
    <w:rsid w:val="002362A5"/>
    <w:rsid w:val="0040210D"/>
    <w:rsid w:val="00471938"/>
    <w:rsid w:val="00547A9F"/>
    <w:rsid w:val="00550709"/>
    <w:rsid w:val="008533DF"/>
    <w:rsid w:val="00966EF5"/>
    <w:rsid w:val="009F0490"/>
    <w:rsid w:val="00C36F55"/>
    <w:rsid w:val="00F8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4D88D"/>
  <w15:chartTrackingRefBased/>
  <w15:docId w15:val="{EF5A65B0-30D6-45F3-9AB7-5627A8C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3DF"/>
  </w:style>
  <w:style w:type="paragraph" w:styleId="Footer">
    <w:name w:val="footer"/>
    <w:basedOn w:val="Normal"/>
    <w:link w:val="FooterChar"/>
    <w:uiPriority w:val="99"/>
    <w:unhideWhenUsed/>
    <w:rsid w:val="0085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3DF"/>
  </w:style>
  <w:style w:type="paragraph" w:styleId="ListParagraph">
    <w:name w:val="List Paragraph"/>
    <w:basedOn w:val="Normal"/>
    <w:uiPriority w:val="34"/>
    <w:qFormat/>
    <w:rsid w:val="00197CA0"/>
    <w:pPr>
      <w:ind w:left="720"/>
      <w:contextualSpacing/>
    </w:pPr>
  </w:style>
  <w:style w:type="table" w:styleId="TableGrid">
    <w:name w:val="Table Grid"/>
    <w:basedOn w:val="TableNormal"/>
    <w:uiPriority w:val="39"/>
    <w:rsid w:val="0019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37E"/>
    <w:rPr>
      <w:color w:val="0563C1" w:themeColor="hyperlink"/>
      <w:u w:val="single"/>
    </w:rPr>
  </w:style>
  <w:style w:type="character" w:styleId="UnresolvedMention">
    <w:name w:val="Unresolved Mention"/>
    <w:basedOn w:val="DefaultParagraphFont"/>
    <w:uiPriority w:val="99"/>
    <w:semiHidden/>
    <w:unhideWhenUsed/>
    <w:rsid w:val="00F8237E"/>
    <w:rPr>
      <w:color w:val="808080"/>
      <w:shd w:val="clear" w:color="auto" w:fill="E6E6E6"/>
    </w:rPr>
  </w:style>
  <w:style w:type="character" w:styleId="FollowedHyperlink">
    <w:name w:val="FollowedHyperlink"/>
    <w:basedOn w:val="DefaultParagraphFont"/>
    <w:uiPriority w:val="99"/>
    <w:semiHidden/>
    <w:unhideWhenUsed/>
    <w:rsid w:val="00121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com/content/dam/bp/en/corporate/pdf/products-services/bp-supplier-expectations-english.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p.com/en/global/corporate/new-sustainability.html" TargetMode="External"/><Relationship Id="rId4" Type="http://schemas.openxmlformats.org/officeDocument/2006/relationships/settings" Target="settings.xml"/><Relationship Id="rId9" Type="http://schemas.openxmlformats.org/officeDocument/2006/relationships/hyperlink" Target="http://bp.com/annual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1FF7-1A2F-4F8A-90A8-B9FB4BB7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Nicholas</dc:creator>
  <cp:keywords/>
  <dc:description/>
  <cp:lastModifiedBy>Allen, Nicholas</cp:lastModifiedBy>
  <cp:revision>5</cp:revision>
  <dcterms:created xsi:type="dcterms:W3CDTF">2018-03-28T09:07:00Z</dcterms:created>
  <dcterms:modified xsi:type="dcterms:W3CDTF">2018-03-28T12:00:00Z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8c8a80-3a15-4016-b4c2-fc12516bfa38_Enabled">
    <vt:lpwstr>True</vt:lpwstr>
  </property>
  <property fmtid="{D5CDD505-2E9C-101B-9397-08002B2CF9AE}" pid="3" name="MSIP_Label_788c8a80-3a15-4016-b4c2-fc12516bfa38_SiteId">
    <vt:lpwstr>ea80952e-a476-42d4-aaf4-5457852b0f7e</vt:lpwstr>
  </property>
  <property fmtid="{D5CDD505-2E9C-101B-9397-08002B2CF9AE}" pid="4" name="MSIP_Label_788c8a80-3a15-4016-b4c2-fc12516bfa38_Ref">
    <vt:lpwstr>https://api.informationprotection.azure.com/api/ea80952e-a476-42d4-aaf4-5457852b0f7e</vt:lpwstr>
  </property>
  <property fmtid="{D5CDD505-2E9C-101B-9397-08002B2CF9AE}" pid="5" name="MSIP_Label_788c8a80-3a15-4016-b4c2-fc12516bfa38_Owner">
    <vt:lpwstr>Nicholas.Allen@uk.bp.com</vt:lpwstr>
  </property>
  <property fmtid="{D5CDD505-2E9C-101B-9397-08002B2CF9AE}" pid="6" name="MSIP_Label_788c8a80-3a15-4016-b4c2-fc12516bfa38_SetDate">
    <vt:lpwstr>2018-03-27T17:50:51.4349759+01:00</vt:lpwstr>
  </property>
  <property fmtid="{D5CDD505-2E9C-101B-9397-08002B2CF9AE}" pid="7" name="MSIP_Label_788c8a80-3a15-4016-b4c2-fc12516bfa38_Name">
    <vt:lpwstr>Public</vt:lpwstr>
  </property>
  <property fmtid="{D5CDD505-2E9C-101B-9397-08002B2CF9AE}" pid="8" name="MSIP_Label_788c8a80-3a15-4016-b4c2-fc12516bfa38_Application">
    <vt:lpwstr>Microsoft Azure Information Protection</vt:lpwstr>
  </property>
  <property fmtid="{D5CDD505-2E9C-101B-9397-08002B2CF9AE}" pid="9" name="MSIP_Label_788c8a80-3a15-4016-b4c2-fc12516bfa38_Extended_MSFT_Method">
    <vt:lpwstr>Manual</vt:lpwstr>
  </property>
  <property fmtid="{D5CDD505-2E9C-101B-9397-08002B2CF9AE}" pid="10" name="Sensitivity">
    <vt:lpwstr>Public</vt:lpwstr>
  </property>
</Properties>
</file>