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AD" w:rsidRDefault="008D5BAD" w:rsidP="008D5BAD">
      <w:pPr>
        <w:rPr>
          <w:rFonts w:ascii="Arial" w:hAnsi="Arial" w:cs="Arial"/>
          <w:b/>
          <w:bCs/>
          <w:sz w:val="20"/>
          <w:szCs w:val="20"/>
        </w:rPr>
      </w:pPr>
      <w:r>
        <w:rPr>
          <w:rFonts w:ascii="Arial" w:hAnsi="Arial" w:cs="Arial"/>
          <w:b/>
          <w:sz w:val="20"/>
          <w:szCs w:val="20"/>
        </w:rPr>
        <w:t xml:space="preserve">Total re </w:t>
      </w:r>
      <w:r w:rsidRPr="008D5BAD">
        <w:rPr>
          <w:rFonts w:ascii="Arial" w:hAnsi="Arial" w:cs="Arial"/>
          <w:b/>
          <w:bCs/>
          <w:sz w:val="20"/>
          <w:szCs w:val="20"/>
        </w:rPr>
        <w:t xml:space="preserve">Facing Finance report investigates abuses by 20 companies &amp; their ties to financial institutions </w:t>
      </w:r>
    </w:p>
    <w:p w:rsidR="008D5BAD" w:rsidRPr="008D5BAD" w:rsidRDefault="008D5BAD" w:rsidP="008D5BAD">
      <w:pPr>
        <w:rPr>
          <w:rFonts w:ascii="Arial" w:hAnsi="Arial" w:cs="Arial"/>
          <w:bCs/>
          <w:sz w:val="20"/>
          <w:szCs w:val="20"/>
        </w:rPr>
      </w:pPr>
      <w:r>
        <w:rPr>
          <w:rFonts w:ascii="Arial" w:hAnsi="Arial" w:cs="Arial"/>
          <w:bCs/>
          <w:sz w:val="20"/>
          <w:szCs w:val="20"/>
        </w:rPr>
        <w:t>22 Mar 2016</w:t>
      </w:r>
    </w:p>
    <w:p w:rsidR="00AF4144" w:rsidRDefault="00AF4144" w:rsidP="00AF4144">
      <w:pPr>
        <w:rPr>
          <w:rFonts w:ascii="Arial" w:hAnsi="Arial" w:cs="Arial"/>
          <w:i/>
          <w:sz w:val="20"/>
          <w:szCs w:val="20"/>
          <w:lang w:val="x-none"/>
        </w:rPr>
      </w:pPr>
      <w:r w:rsidRPr="00AF4144">
        <w:rPr>
          <w:rFonts w:ascii="Arial" w:hAnsi="Arial" w:cs="Arial"/>
          <w:i/>
          <w:sz w:val="20"/>
          <w:szCs w:val="20"/>
          <w:lang w:val="x-none"/>
        </w:rPr>
        <w:t>Business &amp; Human Rights Resource Centre invited</w:t>
      </w:r>
      <w:r w:rsidRPr="00AF4144">
        <w:rPr>
          <w:rFonts w:ascii="Arial" w:hAnsi="Arial" w:cs="Arial"/>
          <w:i/>
          <w:sz w:val="20"/>
          <w:szCs w:val="20"/>
        </w:rPr>
        <w:t xml:space="preserve"> </w:t>
      </w:r>
      <w:r>
        <w:rPr>
          <w:rFonts w:ascii="Arial" w:hAnsi="Arial" w:cs="Arial"/>
          <w:i/>
          <w:sz w:val="20"/>
          <w:szCs w:val="20"/>
        </w:rPr>
        <w:t>Total</w:t>
      </w:r>
      <w:r w:rsidRPr="00AF4144">
        <w:rPr>
          <w:rFonts w:ascii="Arial" w:hAnsi="Arial" w:cs="Arial"/>
          <w:i/>
          <w:sz w:val="20"/>
          <w:szCs w:val="20"/>
          <w:lang w:val="x-none"/>
        </w:rPr>
        <w:t xml:space="preserve"> to respond to the following </w:t>
      </w:r>
      <w:r>
        <w:rPr>
          <w:rFonts w:ascii="Arial" w:hAnsi="Arial" w:cs="Arial"/>
          <w:i/>
          <w:sz w:val="20"/>
          <w:szCs w:val="20"/>
        </w:rPr>
        <w:t>item</w:t>
      </w:r>
      <w:r w:rsidRPr="00AF4144">
        <w:rPr>
          <w:rFonts w:ascii="Arial" w:hAnsi="Arial" w:cs="Arial"/>
          <w:i/>
          <w:sz w:val="20"/>
          <w:szCs w:val="20"/>
          <w:lang w:val="x-none"/>
        </w:rPr>
        <w:t>:</w:t>
      </w:r>
    </w:p>
    <w:p w:rsidR="00AF4144" w:rsidRDefault="00AF4144" w:rsidP="00AF4144">
      <w:pPr>
        <w:pStyle w:val="ListParagraph"/>
        <w:numPr>
          <w:ilvl w:val="0"/>
          <w:numId w:val="1"/>
        </w:numPr>
        <w:rPr>
          <w:rFonts w:ascii="Arial" w:hAnsi="Arial" w:cs="Arial"/>
          <w:sz w:val="20"/>
          <w:szCs w:val="20"/>
        </w:rPr>
      </w:pPr>
      <w:r w:rsidRPr="00AF4144">
        <w:rPr>
          <w:rFonts w:ascii="Arial" w:hAnsi="Arial" w:cs="Arial"/>
          <w:sz w:val="20"/>
          <w:szCs w:val="20"/>
        </w:rPr>
        <w:t xml:space="preserve">"Dirty Profits 4: Report on Companies and Financial Institutions Benefitting from Violations of Human Rights," (pg. 44-45, 71, 74, 76), Facing Finance, 16 Feb 2016, </w:t>
      </w:r>
      <w:hyperlink r:id="rId5" w:history="1">
        <w:r w:rsidRPr="00492636">
          <w:rPr>
            <w:rStyle w:val="Hyperlink"/>
            <w:rFonts w:ascii="Arial" w:hAnsi="Arial" w:cs="Arial"/>
            <w:sz w:val="20"/>
            <w:szCs w:val="20"/>
          </w:rPr>
          <w:t>http://www.facing-finance.org/files/2016/02/ff_dp4_EN_WEB.pdf</w:t>
        </w:r>
      </w:hyperlink>
      <w:r>
        <w:rPr>
          <w:rFonts w:ascii="Arial" w:hAnsi="Arial" w:cs="Arial"/>
          <w:sz w:val="20"/>
          <w:szCs w:val="20"/>
        </w:rPr>
        <w:t xml:space="preserve"> </w:t>
      </w:r>
    </w:p>
    <w:p w:rsidR="00AF4144" w:rsidRPr="00AF4144" w:rsidRDefault="00AF4144" w:rsidP="00AF4144">
      <w:pPr>
        <w:rPr>
          <w:rFonts w:ascii="Arial" w:hAnsi="Arial" w:cs="Arial"/>
          <w:i/>
          <w:sz w:val="20"/>
          <w:szCs w:val="20"/>
        </w:rPr>
      </w:pPr>
      <w:r>
        <w:rPr>
          <w:rFonts w:ascii="Arial" w:hAnsi="Arial" w:cs="Arial"/>
          <w:i/>
          <w:sz w:val="20"/>
          <w:szCs w:val="20"/>
        </w:rPr>
        <w:t>Total sent us the following response:</w:t>
      </w:r>
    </w:p>
    <w:p w:rsidR="00AF4144" w:rsidRPr="00AF4144" w:rsidRDefault="00AF4144" w:rsidP="00AF4144">
      <w:pPr>
        <w:rPr>
          <w:rFonts w:ascii="Arial" w:hAnsi="Arial" w:cs="Arial"/>
          <w:sz w:val="20"/>
          <w:szCs w:val="20"/>
          <w:lang w:val="fr-FR"/>
        </w:rPr>
      </w:pPr>
      <w:r>
        <w:rPr>
          <w:rFonts w:ascii="Arial" w:hAnsi="Arial" w:cs="Arial"/>
          <w:sz w:val="20"/>
          <w:szCs w:val="20"/>
          <w:lang w:val="en-US"/>
        </w:rPr>
        <w:t>“</w:t>
      </w:r>
      <w:r w:rsidRPr="00AF4144">
        <w:rPr>
          <w:rFonts w:ascii="Arial" w:hAnsi="Arial" w:cs="Arial"/>
          <w:sz w:val="20"/>
          <w:szCs w:val="20"/>
          <w:lang w:val="en-US"/>
        </w:rPr>
        <w:t>In response to the 2015 Report “Facing Finance – Dirty Profits”, Total would like to clarify the following points:</w:t>
      </w:r>
    </w:p>
    <w:p w:rsidR="00AF4144" w:rsidRPr="00AF4144" w:rsidRDefault="00AF4144" w:rsidP="00AF4144">
      <w:pPr>
        <w:rPr>
          <w:rFonts w:ascii="Arial" w:hAnsi="Arial" w:cs="Arial"/>
          <w:sz w:val="20"/>
          <w:szCs w:val="20"/>
          <w:lang w:val="fr-FR"/>
        </w:rPr>
      </w:pPr>
      <w:r w:rsidRPr="00AF4144">
        <w:rPr>
          <w:rFonts w:ascii="Arial" w:hAnsi="Arial" w:cs="Arial"/>
          <w:sz w:val="20"/>
          <w:szCs w:val="20"/>
          <w:lang w:val="en-US"/>
        </w:rPr>
        <w:t>Regarding Climate Change: please note that Total will issue a detailed report on its strategy related to Climate change for its shareholders, in addition to other statements. This report will be communicated at the Group’s shareholders meeting, on the 24thof May 2016.</w:t>
      </w:r>
    </w:p>
    <w:p w:rsidR="00AF4144" w:rsidRPr="00AF4144" w:rsidRDefault="00AF4144" w:rsidP="00AF4144">
      <w:pPr>
        <w:rPr>
          <w:rFonts w:ascii="Arial" w:hAnsi="Arial" w:cs="Arial"/>
          <w:sz w:val="20"/>
          <w:szCs w:val="20"/>
          <w:lang w:val="fr-FR"/>
        </w:rPr>
      </w:pPr>
      <w:r w:rsidRPr="00AF4144">
        <w:rPr>
          <w:rFonts w:ascii="Arial" w:hAnsi="Arial" w:cs="Arial"/>
          <w:sz w:val="20"/>
          <w:szCs w:val="20"/>
          <w:lang w:val="en-US"/>
        </w:rPr>
        <w:t xml:space="preserve">Regarding trade associations: Total engaged a dialogue with </w:t>
      </w:r>
      <w:proofErr w:type="spellStart"/>
      <w:r w:rsidRPr="00AF4144">
        <w:rPr>
          <w:rFonts w:ascii="Arial" w:hAnsi="Arial" w:cs="Arial"/>
          <w:sz w:val="20"/>
          <w:szCs w:val="20"/>
          <w:lang w:val="en-US"/>
        </w:rPr>
        <w:t>ShareAction</w:t>
      </w:r>
      <w:proofErr w:type="spellEnd"/>
      <w:r w:rsidRPr="00AF4144">
        <w:rPr>
          <w:rFonts w:ascii="Arial" w:hAnsi="Arial" w:cs="Arial"/>
          <w:sz w:val="20"/>
          <w:szCs w:val="20"/>
          <w:lang w:val="en-US"/>
        </w:rPr>
        <w:t xml:space="preserve"> to address various points related to trade associations. As a result of these discussions, the Group took some of </w:t>
      </w:r>
      <w:proofErr w:type="spellStart"/>
      <w:r w:rsidRPr="00AF4144">
        <w:rPr>
          <w:rFonts w:ascii="Arial" w:hAnsi="Arial" w:cs="Arial"/>
          <w:sz w:val="20"/>
          <w:szCs w:val="20"/>
          <w:lang w:val="en-US"/>
        </w:rPr>
        <w:t>ShareAction’s</w:t>
      </w:r>
      <w:proofErr w:type="spellEnd"/>
      <w:r w:rsidRPr="00AF4144">
        <w:rPr>
          <w:rFonts w:ascii="Arial" w:hAnsi="Arial" w:cs="Arial"/>
          <w:sz w:val="20"/>
          <w:szCs w:val="20"/>
          <w:lang w:val="en-US"/>
        </w:rPr>
        <w:t xml:space="preserve"> points into consideration, and updated accordingly </w:t>
      </w:r>
      <w:proofErr w:type="gramStart"/>
      <w:r w:rsidRPr="00AF4144">
        <w:rPr>
          <w:rFonts w:ascii="Arial" w:hAnsi="Arial" w:cs="Arial"/>
          <w:sz w:val="20"/>
          <w:szCs w:val="20"/>
          <w:lang w:val="en-US"/>
        </w:rPr>
        <w:t>its  Lobbying</w:t>
      </w:r>
      <w:proofErr w:type="gramEnd"/>
      <w:r w:rsidRPr="00AF4144">
        <w:rPr>
          <w:rFonts w:ascii="Arial" w:hAnsi="Arial" w:cs="Arial"/>
          <w:sz w:val="20"/>
          <w:szCs w:val="20"/>
          <w:lang w:val="en-US"/>
        </w:rPr>
        <w:t xml:space="preserve"> Ethics charter, available on Total’s website: </w:t>
      </w:r>
      <w:hyperlink r:id="rId6" w:tgtFrame="_blank" w:history="1">
        <w:r w:rsidRPr="00AF4144">
          <w:rPr>
            <w:rStyle w:val="Hyperlink"/>
            <w:rFonts w:ascii="Arial" w:hAnsi="Arial" w:cs="Arial"/>
            <w:sz w:val="20"/>
            <w:szCs w:val="20"/>
            <w:lang w:val="fr-FR"/>
          </w:rPr>
          <w:t>http://www.total.com/sites/default/files/atoms/files/lobbying-ethics-charter_0.pdf</w:t>
        </w:r>
      </w:hyperlink>
    </w:p>
    <w:p w:rsidR="00AF4144" w:rsidRPr="00AF4144" w:rsidRDefault="00AF4144" w:rsidP="00AF4144">
      <w:pPr>
        <w:rPr>
          <w:rFonts w:ascii="Arial" w:hAnsi="Arial" w:cs="Arial"/>
          <w:sz w:val="20"/>
          <w:szCs w:val="20"/>
          <w:lang w:val="fr-FR"/>
        </w:rPr>
      </w:pPr>
      <w:r w:rsidRPr="00AF4144">
        <w:rPr>
          <w:rFonts w:ascii="Arial" w:hAnsi="Arial" w:cs="Arial"/>
          <w:sz w:val="20"/>
          <w:szCs w:val="20"/>
          <w:lang w:val="en-US"/>
        </w:rPr>
        <w:t xml:space="preserve">Regarding Morocco: the results of Total’s geological studies having not been encouraging, the reconnaissance authorization, which had been extended until December 2015, was not transformed into an exploration license. As already expressed to KLP, Total operated in the </w:t>
      </w:r>
      <w:proofErr w:type="spellStart"/>
      <w:r w:rsidRPr="00AF4144">
        <w:rPr>
          <w:rFonts w:ascii="Arial" w:hAnsi="Arial" w:cs="Arial"/>
          <w:sz w:val="20"/>
          <w:szCs w:val="20"/>
          <w:lang w:val="en-US"/>
        </w:rPr>
        <w:t>Anzarane</w:t>
      </w:r>
      <w:proofErr w:type="spellEnd"/>
      <w:r w:rsidRPr="00AF4144">
        <w:rPr>
          <w:rFonts w:ascii="Arial" w:hAnsi="Arial" w:cs="Arial"/>
          <w:sz w:val="20"/>
          <w:szCs w:val="20"/>
          <w:lang w:val="en-US"/>
        </w:rPr>
        <w:t xml:space="preserve"> area in compliance with international law, including the law of the sea, and in line with its Code of conduct, which refers to internationally recognized human rights standards.</w:t>
      </w:r>
    </w:p>
    <w:p w:rsidR="00AF4144" w:rsidRPr="00AF4144" w:rsidRDefault="00AF4144" w:rsidP="00AF4144">
      <w:pPr>
        <w:rPr>
          <w:rFonts w:ascii="Arial" w:hAnsi="Arial" w:cs="Arial"/>
          <w:sz w:val="20"/>
          <w:szCs w:val="20"/>
          <w:lang w:val="fr-FR"/>
        </w:rPr>
      </w:pPr>
      <w:r w:rsidRPr="00AF4144">
        <w:rPr>
          <w:rFonts w:ascii="Arial" w:hAnsi="Arial" w:cs="Arial"/>
          <w:sz w:val="20"/>
          <w:szCs w:val="20"/>
          <w:lang w:val="en-US"/>
        </w:rPr>
        <w:t xml:space="preserve">Regarding Iran: for Total’s response, please refer to the Group’s Registration Document, page 70, available at: </w:t>
      </w:r>
      <w:hyperlink r:id="rId7" w:tgtFrame="_blank" w:history="1">
        <w:r w:rsidRPr="00AF4144">
          <w:rPr>
            <w:rStyle w:val="Hyperlink"/>
            <w:rFonts w:ascii="Arial" w:hAnsi="Arial" w:cs="Arial"/>
            <w:sz w:val="20"/>
            <w:szCs w:val="20"/>
            <w:lang w:val="fr-FR"/>
          </w:rPr>
          <w:t>http://www.total.com/sites/default/files/atoms/files/registration_document_2015.pdf</w:t>
        </w:r>
      </w:hyperlink>
      <w:r>
        <w:rPr>
          <w:rFonts w:ascii="Arial" w:hAnsi="Arial" w:cs="Arial"/>
          <w:sz w:val="20"/>
          <w:szCs w:val="20"/>
        </w:rPr>
        <w:t>”</w:t>
      </w:r>
      <w:bookmarkStart w:id="0" w:name="_GoBack"/>
      <w:bookmarkEnd w:id="0"/>
    </w:p>
    <w:p w:rsidR="003E7F07" w:rsidRPr="00AF4144" w:rsidRDefault="00AF4144">
      <w:pPr>
        <w:rPr>
          <w:rFonts w:ascii="Arial" w:hAnsi="Arial" w:cs="Arial"/>
          <w:sz w:val="20"/>
          <w:szCs w:val="20"/>
          <w:lang w:val="fr-FR"/>
        </w:rPr>
      </w:pPr>
    </w:p>
    <w:p w:rsidR="008D5BAD" w:rsidRPr="008D5BAD" w:rsidRDefault="008D5BAD">
      <w:pPr>
        <w:rPr>
          <w:rFonts w:ascii="Arial" w:hAnsi="Arial" w:cs="Arial"/>
          <w:sz w:val="20"/>
          <w:szCs w:val="20"/>
        </w:rPr>
      </w:pPr>
    </w:p>
    <w:sectPr w:rsidR="008D5BAD" w:rsidRPr="008D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3B55"/>
    <w:multiLevelType w:val="hybridMultilevel"/>
    <w:tmpl w:val="F6E0894A"/>
    <w:lvl w:ilvl="0" w:tplc="6C8E0E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AD"/>
    <w:rsid w:val="005D69EC"/>
    <w:rsid w:val="00687E12"/>
    <w:rsid w:val="008D5BAD"/>
    <w:rsid w:val="009D598C"/>
    <w:rsid w:val="00AF41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20F1D-71DD-4FAE-91F8-1F71B1B5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B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BA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F4144"/>
    <w:pPr>
      <w:ind w:left="720"/>
      <w:contextualSpacing/>
    </w:pPr>
  </w:style>
  <w:style w:type="character" w:styleId="Hyperlink">
    <w:name w:val="Hyperlink"/>
    <w:basedOn w:val="DefaultParagraphFont"/>
    <w:uiPriority w:val="99"/>
    <w:unhideWhenUsed/>
    <w:rsid w:val="00AF4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1562">
      <w:bodyDiv w:val="1"/>
      <w:marLeft w:val="0"/>
      <w:marRight w:val="0"/>
      <w:marTop w:val="0"/>
      <w:marBottom w:val="0"/>
      <w:divBdr>
        <w:top w:val="none" w:sz="0" w:space="0" w:color="auto"/>
        <w:left w:val="none" w:sz="0" w:space="0" w:color="auto"/>
        <w:bottom w:val="none" w:sz="0" w:space="0" w:color="auto"/>
        <w:right w:val="none" w:sz="0" w:space="0" w:color="auto"/>
      </w:divBdr>
      <w:divsChild>
        <w:div w:id="1529487241">
          <w:marLeft w:val="0"/>
          <w:marRight w:val="0"/>
          <w:marTop w:val="0"/>
          <w:marBottom w:val="0"/>
          <w:divBdr>
            <w:top w:val="none" w:sz="0" w:space="0" w:color="auto"/>
            <w:left w:val="none" w:sz="0" w:space="0" w:color="auto"/>
            <w:bottom w:val="none" w:sz="0" w:space="0" w:color="auto"/>
            <w:right w:val="none" w:sz="0" w:space="0" w:color="auto"/>
          </w:divBdr>
        </w:div>
        <w:div w:id="1609433549">
          <w:marLeft w:val="0"/>
          <w:marRight w:val="0"/>
          <w:marTop w:val="0"/>
          <w:marBottom w:val="0"/>
          <w:divBdr>
            <w:top w:val="none" w:sz="0" w:space="0" w:color="auto"/>
            <w:left w:val="none" w:sz="0" w:space="0" w:color="auto"/>
            <w:bottom w:val="none" w:sz="0" w:space="0" w:color="auto"/>
            <w:right w:val="none" w:sz="0" w:space="0" w:color="auto"/>
          </w:divBdr>
        </w:div>
        <w:div w:id="547844567">
          <w:marLeft w:val="0"/>
          <w:marRight w:val="0"/>
          <w:marTop w:val="0"/>
          <w:marBottom w:val="0"/>
          <w:divBdr>
            <w:top w:val="none" w:sz="0" w:space="0" w:color="auto"/>
            <w:left w:val="none" w:sz="0" w:space="0" w:color="auto"/>
            <w:bottom w:val="none" w:sz="0" w:space="0" w:color="auto"/>
            <w:right w:val="none" w:sz="0" w:space="0" w:color="auto"/>
          </w:divBdr>
        </w:div>
        <w:div w:id="2042315198">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2133010267">
          <w:marLeft w:val="0"/>
          <w:marRight w:val="0"/>
          <w:marTop w:val="0"/>
          <w:marBottom w:val="0"/>
          <w:divBdr>
            <w:top w:val="none" w:sz="0" w:space="0" w:color="auto"/>
            <w:left w:val="none" w:sz="0" w:space="0" w:color="auto"/>
            <w:bottom w:val="none" w:sz="0" w:space="0" w:color="auto"/>
            <w:right w:val="none" w:sz="0" w:space="0" w:color="auto"/>
          </w:divBdr>
        </w:div>
        <w:div w:id="1665816534">
          <w:marLeft w:val="0"/>
          <w:marRight w:val="0"/>
          <w:marTop w:val="0"/>
          <w:marBottom w:val="0"/>
          <w:divBdr>
            <w:top w:val="none" w:sz="0" w:space="0" w:color="auto"/>
            <w:left w:val="none" w:sz="0" w:space="0" w:color="auto"/>
            <w:bottom w:val="none" w:sz="0" w:space="0" w:color="auto"/>
            <w:right w:val="none" w:sz="0" w:space="0" w:color="auto"/>
          </w:divBdr>
        </w:div>
        <w:div w:id="1356150099">
          <w:marLeft w:val="0"/>
          <w:marRight w:val="0"/>
          <w:marTop w:val="0"/>
          <w:marBottom w:val="0"/>
          <w:divBdr>
            <w:top w:val="none" w:sz="0" w:space="0" w:color="auto"/>
            <w:left w:val="none" w:sz="0" w:space="0" w:color="auto"/>
            <w:bottom w:val="none" w:sz="0" w:space="0" w:color="auto"/>
            <w:right w:val="none" w:sz="0" w:space="0" w:color="auto"/>
          </w:divBdr>
        </w:div>
        <w:div w:id="1291130521">
          <w:marLeft w:val="0"/>
          <w:marRight w:val="0"/>
          <w:marTop w:val="0"/>
          <w:marBottom w:val="0"/>
          <w:divBdr>
            <w:top w:val="none" w:sz="0" w:space="0" w:color="auto"/>
            <w:left w:val="none" w:sz="0" w:space="0" w:color="auto"/>
            <w:bottom w:val="none" w:sz="0" w:space="0" w:color="auto"/>
            <w:right w:val="none" w:sz="0" w:space="0" w:color="auto"/>
          </w:divBdr>
        </w:div>
      </w:divsChild>
    </w:div>
    <w:div w:id="535968055">
      <w:bodyDiv w:val="1"/>
      <w:marLeft w:val="0"/>
      <w:marRight w:val="0"/>
      <w:marTop w:val="0"/>
      <w:marBottom w:val="0"/>
      <w:divBdr>
        <w:top w:val="none" w:sz="0" w:space="0" w:color="auto"/>
        <w:left w:val="none" w:sz="0" w:space="0" w:color="auto"/>
        <w:bottom w:val="none" w:sz="0" w:space="0" w:color="auto"/>
        <w:right w:val="none" w:sz="0" w:space="0" w:color="auto"/>
      </w:divBdr>
    </w:div>
    <w:div w:id="932591543">
      <w:bodyDiv w:val="1"/>
      <w:marLeft w:val="0"/>
      <w:marRight w:val="0"/>
      <w:marTop w:val="0"/>
      <w:marBottom w:val="0"/>
      <w:divBdr>
        <w:top w:val="none" w:sz="0" w:space="0" w:color="auto"/>
        <w:left w:val="none" w:sz="0" w:space="0" w:color="auto"/>
        <w:bottom w:val="none" w:sz="0" w:space="0" w:color="auto"/>
        <w:right w:val="none" w:sz="0" w:space="0" w:color="auto"/>
      </w:divBdr>
    </w:div>
    <w:div w:id="1536309554">
      <w:bodyDiv w:val="1"/>
      <w:marLeft w:val="0"/>
      <w:marRight w:val="0"/>
      <w:marTop w:val="0"/>
      <w:marBottom w:val="0"/>
      <w:divBdr>
        <w:top w:val="none" w:sz="0" w:space="0" w:color="auto"/>
        <w:left w:val="none" w:sz="0" w:space="0" w:color="auto"/>
        <w:bottom w:val="none" w:sz="0" w:space="0" w:color="auto"/>
        <w:right w:val="none" w:sz="0" w:space="0" w:color="auto"/>
      </w:divBdr>
      <w:divsChild>
        <w:div w:id="548689492">
          <w:marLeft w:val="0"/>
          <w:marRight w:val="0"/>
          <w:marTop w:val="0"/>
          <w:marBottom w:val="0"/>
          <w:divBdr>
            <w:top w:val="none" w:sz="0" w:space="0" w:color="auto"/>
            <w:left w:val="none" w:sz="0" w:space="0" w:color="auto"/>
            <w:bottom w:val="none" w:sz="0" w:space="0" w:color="auto"/>
            <w:right w:val="none" w:sz="0" w:space="0" w:color="auto"/>
          </w:divBdr>
        </w:div>
        <w:div w:id="1905335496">
          <w:marLeft w:val="0"/>
          <w:marRight w:val="0"/>
          <w:marTop w:val="0"/>
          <w:marBottom w:val="0"/>
          <w:divBdr>
            <w:top w:val="none" w:sz="0" w:space="0" w:color="auto"/>
            <w:left w:val="none" w:sz="0" w:space="0" w:color="auto"/>
            <w:bottom w:val="none" w:sz="0" w:space="0" w:color="auto"/>
            <w:right w:val="none" w:sz="0" w:space="0" w:color="auto"/>
          </w:divBdr>
        </w:div>
        <w:div w:id="1014959243">
          <w:marLeft w:val="0"/>
          <w:marRight w:val="0"/>
          <w:marTop w:val="0"/>
          <w:marBottom w:val="0"/>
          <w:divBdr>
            <w:top w:val="none" w:sz="0" w:space="0" w:color="auto"/>
            <w:left w:val="none" w:sz="0" w:space="0" w:color="auto"/>
            <w:bottom w:val="none" w:sz="0" w:space="0" w:color="auto"/>
            <w:right w:val="none" w:sz="0" w:space="0" w:color="auto"/>
          </w:divBdr>
        </w:div>
        <w:div w:id="823622141">
          <w:marLeft w:val="0"/>
          <w:marRight w:val="0"/>
          <w:marTop w:val="0"/>
          <w:marBottom w:val="0"/>
          <w:divBdr>
            <w:top w:val="none" w:sz="0" w:space="0" w:color="auto"/>
            <w:left w:val="none" w:sz="0" w:space="0" w:color="auto"/>
            <w:bottom w:val="none" w:sz="0" w:space="0" w:color="auto"/>
            <w:right w:val="none" w:sz="0" w:space="0" w:color="auto"/>
          </w:divBdr>
        </w:div>
        <w:div w:id="129178990">
          <w:marLeft w:val="0"/>
          <w:marRight w:val="0"/>
          <w:marTop w:val="0"/>
          <w:marBottom w:val="0"/>
          <w:divBdr>
            <w:top w:val="none" w:sz="0" w:space="0" w:color="auto"/>
            <w:left w:val="none" w:sz="0" w:space="0" w:color="auto"/>
            <w:bottom w:val="none" w:sz="0" w:space="0" w:color="auto"/>
            <w:right w:val="none" w:sz="0" w:space="0" w:color="auto"/>
          </w:divBdr>
        </w:div>
        <w:div w:id="152337746">
          <w:marLeft w:val="0"/>
          <w:marRight w:val="0"/>
          <w:marTop w:val="0"/>
          <w:marBottom w:val="0"/>
          <w:divBdr>
            <w:top w:val="none" w:sz="0" w:space="0" w:color="auto"/>
            <w:left w:val="none" w:sz="0" w:space="0" w:color="auto"/>
            <w:bottom w:val="none" w:sz="0" w:space="0" w:color="auto"/>
            <w:right w:val="none" w:sz="0" w:space="0" w:color="auto"/>
          </w:divBdr>
        </w:div>
        <w:div w:id="1599604184">
          <w:marLeft w:val="0"/>
          <w:marRight w:val="0"/>
          <w:marTop w:val="0"/>
          <w:marBottom w:val="0"/>
          <w:divBdr>
            <w:top w:val="none" w:sz="0" w:space="0" w:color="auto"/>
            <w:left w:val="none" w:sz="0" w:space="0" w:color="auto"/>
            <w:bottom w:val="none" w:sz="0" w:space="0" w:color="auto"/>
            <w:right w:val="none" w:sz="0" w:space="0" w:color="auto"/>
          </w:divBdr>
        </w:div>
        <w:div w:id="955404797">
          <w:marLeft w:val="0"/>
          <w:marRight w:val="0"/>
          <w:marTop w:val="0"/>
          <w:marBottom w:val="0"/>
          <w:divBdr>
            <w:top w:val="none" w:sz="0" w:space="0" w:color="auto"/>
            <w:left w:val="none" w:sz="0" w:space="0" w:color="auto"/>
            <w:bottom w:val="none" w:sz="0" w:space="0" w:color="auto"/>
            <w:right w:val="none" w:sz="0" w:space="0" w:color="auto"/>
          </w:divBdr>
        </w:div>
        <w:div w:id="1767077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tal.com/sites/default/files/atoms/files/registration_document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tal.com/sites/default/files/atoms/files/lobbying-ethics-charter_0.pdf" TargetMode="External"/><Relationship Id="rId5" Type="http://schemas.openxmlformats.org/officeDocument/2006/relationships/hyperlink" Target="http://www.facing-finance.org/files/2016/02/ff_dp4_EN_WE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dc:creator>
  <cp:keywords/>
  <dc:description/>
  <cp:lastModifiedBy>Desktop 7</cp:lastModifiedBy>
  <cp:revision>1</cp:revision>
  <dcterms:created xsi:type="dcterms:W3CDTF">2016-03-29T10:25:00Z</dcterms:created>
  <dcterms:modified xsi:type="dcterms:W3CDTF">2016-03-29T10:49:00Z</dcterms:modified>
</cp:coreProperties>
</file>