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13" w:rsidRPr="00E163FF" w:rsidRDefault="00A42613" w:rsidP="00D27359">
      <w:pPr>
        <w:jc w:val="center"/>
        <w:rPr>
          <w:rFonts w:asciiTheme="majorHAnsi" w:hAnsiTheme="majorHAnsi"/>
          <w:b/>
          <w:lang w:val="es-ES"/>
        </w:rPr>
      </w:pPr>
    </w:p>
    <w:p w:rsidR="00C408BC" w:rsidRPr="00E163FF" w:rsidRDefault="00C408BC" w:rsidP="00C408BC">
      <w:pPr>
        <w:jc w:val="center"/>
        <w:rPr>
          <w:rFonts w:asciiTheme="majorHAnsi" w:hAnsiTheme="majorHAnsi"/>
          <w:b/>
          <w:lang w:val="es-ES"/>
        </w:rPr>
      </w:pPr>
      <w:r w:rsidRPr="00E163FF">
        <w:rPr>
          <w:rFonts w:ascii="Calibri" w:hAnsi="Calibri"/>
          <w:b/>
          <w:lang w:val="es-ES"/>
        </w:rPr>
        <w:t xml:space="preserve">El sector farmacéutico hace más para mejorar el acceso a la medicina en los países en desarrollo, pero su actuación en algunos aspectos es mejorable </w:t>
      </w:r>
    </w:p>
    <w:p w:rsidR="00C408BC" w:rsidRPr="00E163FF" w:rsidRDefault="00C408BC" w:rsidP="00C408BC">
      <w:pPr>
        <w:rPr>
          <w:rFonts w:asciiTheme="majorHAnsi" w:hAnsiTheme="majorHAnsi"/>
          <w:sz w:val="22"/>
          <w:szCs w:val="22"/>
          <w:lang w:val="es-ES"/>
        </w:rPr>
      </w:pPr>
    </w:p>
    <w:p w:rsidR="00C408BC" w:rsidRPr="00E163FF" w:rsidRDefault="00C408BC" w:rsidP="00C408BC">
      <w:pPr>
        <w:rPr>
          <w:rFonts w:asciiTheme="majorHAnsi" w:hAnsiTheme="majorHAnsi"/>
          <w:sz w:val="22"/>
          <w:szCs w:val="22"/>
          <w:lang w:val="es-ES"/>
        </w:rPr>
      </w:pPr>
      <w:r w:rsidRPr="009C504B">
        <w:rPr>
          <w:rFonts w:ascii="Calibri" w:hAnsi="Calibri"/>
          <w:b/>
          <w:sz w:val="22"/>
          <w:szCs w:val="22"/>
          <w:lang w:val="es-ES"/>
        </w:rPr>
        <w:t>Ámsterdam, Países Bajos</w:t>
      </w:r>
      <w:r w:rsidR="009C504B" w:rsidRPr="009C504B">
        <w:rPr>
          <w:rFonts w:ascii="Calibri" w:hAnsi="Calibri"/>
          <w:b/>
          <w:sz w:val="22"/>
          <w:szCs w:val="22"/>
          <w:lang w:val="es-ES"/>
        </w:rPr>
        <w:t>, 17 de noviembre 2014</w:t>
      </w:r>
      <w:r w:rsidR="009C504B">
        <w:rPr>
          <w:rFonts w:ascii="Calibri" w:hAnsi="Calibri"/>
          <w:b/>
          <w:sz w:val="22"/>
          <w:szCs w:val="22"/>
          <w:lang w:val="es-ES"/>
        </w:rPr>
        <w:t xml:space="preserve"> - </w:t>
      </w:r>
      <w:r w:rsidRPr="00E163FF">
        <w:rPr>
          <w:rFonts w:ascii="Calibri" w:hAnsi="Calibri"/>
          <w:sz w:val="22"/>
          <w:szCs w:val="22"/>
          <w:lang w:val="es-ES"/>
        </w:rPr>
        <w:t>Las empresas farmacéuticas líderes del mundo están haciendo más para mejorar el acceso a la medicina en los países en desarrollo, con una serie de nuevas iniciativas, ampliaciones e innovaciones en los últimos dos años, pero el sector sigue careciendo de diligencia en algunas prácticas importantes, según el Access to Medicine Index de 2014, publicado el lunes.</w:t>
      </w:r>
    </w:p>
    <w:p w:rsidR="00C408BC" w:rsidRPr="00E163FF" w:rsidRDefault="00C408BC" w:rsidP="00C408BC">
      <w:pPr>
        <w:rPr>
          <w:rFonts w:asciiTheme="majorHAnsi" w:hAnsiTheme="majorHAnsi"/>
          <w:sz w:val="22"/>
          <w:szCs w:val="22"/>
          <w:lang w:val="es-ES"/>
        </w:rPr>
      </w:pPr>
    </w:p>
    <w:p w:rsidR="00C408BC" w:rsidRPr="00E163FF" w:rsidRDefault="00C408BC" w:rsidP="00C408BC">
      <w:pPr>
        <w:spacing w:after="120"/>
        <w:rPr>
          <w:rFonts w:asciiTheme="majorHAnsi" w:hAnsiTheme="majorHAnsi"/>
          <w:sz w:val="22"/>
          <w:szCs w:val="22"/>
          <w:lang w:val="es-ES"/>
        </w:rPr>
      </w:pPr>
      <w:r w:rsidRPr="00E163FF">
        <w:rPr>
          <w:rFonts w:ascii="Calibri" w:hAnsi="Calibri"/>
          <w:sz w:val="22"/>
          <w:szCs w:val="22"/>
          <w:lang w:val="es-ES"/>
        </w:rPr>
        <w:t xml:space="preserve">GSK encabeza el índice por cuarta vez. Esto se debe a una buena actuación en la mayoría de las áreas, con varias prácticas innovadoras. Cuenta con un innovador modelo de negocio centrado en África, una gran cartera de productos relevantes para los países en desarrollo, una gran parte de esta cartera dedicada a las enfermedades significativas en estos países y numerosas asociaciones en </w:t>
      </w:r>
      <w:bookmarkStart w:id="0" w:name="_GoBack"/>
      <w:bookmarkEnd w:id="0"/>
      <w:r w:rsidRPr="00E163FF">
        <w:rPr>
          <w:rFonts w:ascii="Calibri" w:hAnsi="Calibri"/>
          <w:sz w:val="22"/>
          <w:szCs w:val="22"/>
          <w:lang w:val="es-ES"/>
        </w:rPr>
        <w:t xml:space="preserve">materia de propiedad intelectual orientadas al acceso a la medicina. </w:t>
      </w:r>
    </w:p>
    <w:p w:rsidR="00C408BC" w:rsidRPr="00E163FF" w:rsidRDefault="00C408BC" w:rsidP="00C408BC">
      <w:pPr>
        <w:rPr>
          <w:rFonts w:asciiTheme="majorHAnsi" w:hAnsiTheme="majorHAnsi" w:cstheme="minorHAnsi"/>
          <w:sz w:val="22"/>
          <w:szCs w:val="22"/>
          <w:lang w:val="es-ES"/>
        </w:rPr>
      </w:pPr>
      <w:r w:rsidRPr="00E163FF">
        <w:rPr>
          <w:rFonts w:ascii="Calibri" w:hAnsi="Calibri"/>
          <w:sz w:val="22"/>
          <w:szCs w:val="22"/>
          <w:lang w:val="es-ES"/>
        </w:rPr>
        <w:t xml:space="preserve">Novo Nordisk ha hecho el mayor progreso, mejorando en cinco de las siete áreas de análisis en las que se centra el índice. Esto ha dado lugar a un salto notable del 6º al 2º puesto, que se debe en parte al hecho de que sus actividades en materia de acceso a la medicina están bien gestionadas, integradas en su estrategia de negocio y bien orientadas a las necesidades locales. También aplica estrategias de precios orientadas al acceso a productos para la diabetes en todos los países menos desarrollados. </w:t>
      </w:r>
    </w:p>
    <w:p w:rsidR="00C408BC" w:rsidRPr="00E163FF" w:rsidRDefault="00C408BC" w:rsidP="00C408BC">
      <w:pPr>
        <w:rPr>
          <w:rFonts w:asciiTheme="majorHAnsi" w:hAnsiTheme="majorHAnsi" w:cstheme="minorHAnsi"/>
          <w:sz w:val="22"/>
          <w:szCs w:val="22"/>
          <w:lang w:val="es-ES"/>
        </w:rPr>
      </w:pPr>
    </w:p>
    <w:p w:rsidR="00C408BC" w:rsidRPr="00E163FF" w:rsidRDefault="00C408BC" w:rsidP="00C408BC">
      <w:pPr>
        <w:rPr>
          <w:rFonts w:asciiTheme="majorHAnsi" w:hAnsiTheme="majorHAnsi" w:cstheme="minorHAnsi"/>
          <w:sz w:val="22"/>
          <w:szCs w:val="22"/>
          <w:lang w:val="es-ES"/>
        </w:rPr>
      </w:pPr>
      <w:r w:rsidRPr="00E163FF">
        <w:rPr>
          <w:rFonts w:ascii="Calibri" w:hAnsi="Calibri"/>
          <w:sz w:val="22"/>
          <w:szCs w:val="22"/>
          <w:lang w:val="es-ES"/>
        </w:rPr>
        <w:t>Sanofi y Pfizer cayeron en sus clasificaciones de forma notable, mientras que Astellas, Daiichi Sankyo y Takeda se mantienen en la parte inferior de la tabla.</w:t>
      </w:r>
    </w:p>
    <w:p w:rsidR="00C408BC" w:rsidRPr="00E163FF" w:rsidRDefault="00C408BC" w:rsidP="00C408BC">
      <w:pPr>
        <w:rPr>
          <w:rFonts w:asciiTheme="majorHAnsi" w:hAnsiTheme="majorHAnsi" w:cstheme="minorHAnsi"/>
          <w:sz w:val="22"/>
          <w:szCs w:val="22"/>
          <w:lang w:val="es-ES"/>
        </w:rPr>
      </w:pPr>
    </w:p>
    <w:p w:rsidR="00C408BC" w:rsidRPr="00E163FF" w:rsidRDefault="00C408BC" w:rsidP="00C408BC">
      <w:pPr>
        <w:rPr>
          <w:rFonts w:asciiTheme="majorHAnsi" w:hAnsiTheme="majorHAnsi"/>
          <w:sz w:val="22"/>
          <w:szCs w:val="22"/>
          <w:lang w:val="es-ES"/>
        </w:rPr>
      </w:pPr>
      <w:r w:rsidRPr="00E163FF">
        <w:rPr>
          <w:rFonts w:ascii="Calibri" w:hAnsi="Calibri"/>
          <w:sz w:val="22"/>
          <w:szCs w:val="22"/>
          <w:lang w:val="es-ES"/>
        </w:rPr>
        <w:t>"Después de afinar lo que medimos y cómo lo hacemos, ahora tenemos una idea mucho más clara de las fortalezas, debilidades, avances y dificultades del sector y lo que se necesita para ser un líder en el acceso a la medicina", dijo Wim Leereveld, fundador y Director General del Access to Medicine Index. "Ninguna empresa se encuentra entre los cinco primeros puestos en todas las áreas que analizamos, pero los líderes tienden a desenvolverse bien en la mayor parte de ellas, aunque difieren en su enfoque. Las mejores clasificadas innovan constantemente y por lo general tienen que innovar en varias áreas para mantener su posición."</w:t>
      </w:r>
    </w:p>
    <w:p w:rsidR="00C408BC" w:rsidRPr="00E163FF" w:rsidRDefault="00C408BC" w:rsidP="00C408BC">
      <w:pPr>
        <w:rPr>
          <w:rFonts w:asciiTheme="majorHAnsi" w:hAnsiTheme="majorHAnsi"/>
          <w:sz w:val="22"/>
          <w:szCs w:val="22"/>
          <w:lang w:val="es-ES"/>
        </w:rPr>
      </w:pPr>
    </w:p>
    <w:p w:rsidR="00C408BC" w:rsidRPr="00E163FF" w:rsidRDefault="00C408BC" w:rsidP="00C408BC">
      <w:pPr>
        <w:rPr>
          <w:rFonts w:asciiTheme="majorHAnsi" w:hAnsiTheme="majorHAnsi"/>
          <w:sz w:val="22"/>
          <w:szCs w:val="22"/>
          <w:lang w:val="es-ES"/>
        </w:rPr>
      </w:pPr>
      <w:r w:rsidRPr="00E163FF">
        <w:rPr>
          <w:rFonts w:ascii="Calibri" w:hAnsi="Calibri"/>
          <w:sz w:val="22"/>
          <w:szCs w:val="22"/>
          <w:lang w:val="es-ES"/>
        </w:rPr>
        <w:t xml:space="preserve">El Access to Medicine Index es una iniciativa independiente que clasifica las empresas farmacéuticas líderes en el mundo en función de lo que están haciendo para los millones de personas de los países en desarrollo que no tienen acceso fiable a medicamentos, vacunas y otros elementos relacionados con las tecnologías de la salud, seguros, eficaces y asequibles. Se publica cada dos años. </w:t>
      </w:r>
    </w:p>
    <w:p w:rsidR="00C408BC" w:rsidRPr="00E163FF" w:rsidRDefault="00C408BC" w:rsidP="00C408BC">
      <w:pPr>
        <w:rPr>
          <w:rFonts w:asciiTheme="majorHAnsi" w:hAnsiTheme="majorHAnsi"/>
          <w:sz w:val="22"/>
          <w:szCs w:val="22"/>
          <w:lang w:val="es-ES"/>
        </w:rPr>
      </w:pPr>
    </w:p>
    <w:p w:rsidR="00C408BC" w:rsidRPr="00E163FF" w:rsidRDefault="00C408BC" w:rsidP="00C408BC">
      <w:pPr>
        <w:rPr>
          <w:rFonts w:asciiTheme="majorHAnsi" w:hAnsiTheme="majorHAnsi"/>
          <w:sz w:val="22"/>
          <w:szCs w:val="22"/>
          <w:lang w:val="es-ES"/>
        </w:rPr>
      </w:pPr>
      <w:r w:rsidRPr="00E163FF">
        <w:rPr>
          <w:rFonts w:ascii="Calibri" w:hAnsi="Calibri"/>
          <w:sz w:val="22"/>
          <w:szCs w:val="22"/>
          <w:lang w:val="es-ES"/>
        </w:rPr>
        <w:t xml:space="preserve">Puntúa a las empresas según su actuación, innovación, transparencia y compromisos en siete áreas de actividad consideradas esenciales para mejorar el acceso a la medicina. Las empresas se clasifican en función de 95 factores que abarcan estas áreas, incluyendo la investigación y el desarrollo de productos, la medida en que facilitan o se resisten a los esfuerzos para crear versiones genéricas de los medicamentos y cómo fijan los precios en los países en desarrollo. También se evalúan sus actividades como grupos de presión, ética en la comercialización y donaciones de productos, así como otras actividades filantrópicas. </w:t>
      </w:r>
    </w:p>
    <w:p w:rsidR="00C408BC" w:rsidRPr="00E163FF" w:rsidRDefault="00C408BC" w:rsidP="00C408BC">
      <w:pPr>
        <w:rPr>
          <w:rFonts w:asciiTheme="majorHAnsi" w:hAnsiTheme="majorHAnsi"/>
          <w:sz w:val="22"/>
          <w:szCs w:val="22"/>
          <w:lang w:val="es-ES"/>
        </w:rPr>
      </w:pPr>
    </w:p>
    <w:p w:rsidR="00C408BC" w:rsidRPr="00E163FF" w:rsidRDefault="00C408BC" w:rsidP="00C408BC">
      <w:pPr>
        <w:rPr>
          <w:rFonts w:asciiTheme="majorHAnsi" w:hAnsiTheme="majorHAnsi"/>
          <w:sz w:val="22"/>
          <w:szCs w:val="22"/>
          <w:lang w:val="es-ES"/>
        </w:rPr>
      </w:pPr>
      <w:r w:rsidRPr="00E163FF">
        <w:rPr>
          <w:rFonts w:ascii="Calibri" w:hAnsi="Calibri"/>
          <w:sz w:val="22"/>
          <w:szCs w:val="22"/>
          <w:lang w:val="es-ES"/>
        </w:rPr>
        <w:t xml:space="preserve">"Las empresas que tienen la mayor presencia en el mercado no son necesariamente las que ocupan los primeros puestos del índice. Observamos que cuatro empresas actualmente producen el 50 por ciento de todos los productos relevantes, siendo Sanofi la que produce más, seguida de Novartis, GSK y luego Pfizer. Pero están dispersas por todo el Índice", dijo K. Jayasree Iyer, Jefa de Investigación del Access to Medicine Index. "Esto significa que lo que define su clasificación en el </w:t>
      </w:r>
      <w:r w:rsidRPr="00E163FF">
        <w:rPr>
          <w:rFonts w:ascii="Calibri" w:hAnsi="Calibri"/>
          <w:sz w:val="22"/>
          <w:szCs w:val="22"/>
          <w:lang w:val="es-ES"/>
        </w:rPr>
        <w:lastRenderedPageBreak/>
        <w:t>índice tiene menos que ver con la cantidad de productos relevantes que tienen, que con lo que hacen con sus productos.  Hemos visto que esto, a su vez, tiende a estar estrechamente vinculado a la importancia que da la dirección superior de la empresa al acceso a la medicina."</w:t>
      </w:r>
    </w:p>
    <w:p w:rsidR="00C408BC" w:rsidRPr="00E163FF" w:rsidRDefault="00C408BC" w:rsidP="00C408BC">
      <w:pPr>
        <w:rPr>
          <w:rFonts w:asciiTheme="majorHAnsi" w:hAnsiTheme="majorHAnsi"/>
          <w:sz w:val="22"/>
          <w:szCs w:val="22"/>
          <w:lang w:val="es-ES"/>
        </w:rPr>
      </w:pPr>
    </w:p>
    <w:p w:rsidR="00C408BC" w:rsidRPr="00E163FF" w:rsidRDefault="00C408BC" w:rsidP="00C408BC">
      <w:pPr>
        <w:rPr>
          <w:rFonts w:asciiTheme="majorHAnsi" w:hAnsiTheme="majorHAnsi"/>
          <w:sz w:val="22"/>
          <w:szCs w:val="22"/>
          <w:lang w:val="es-ES"/>
        </w:rPr>
      </w:pPr>
      <w:r w:rsidRPr="00E163FF">
        <w:rPr>
          <w:rFonts w:ascii="Calibri" w:hAnsi="Calibri"/>
          <w:sz w:val="22"/>
          <w:szCs w:val="22"/>
          <w:lang w:val="es-ES"/>
        </w:rPr>
        <w:t>Las infecciones de las vías respiratorias bajas, la diabetes, la cirrosis hepática (hepatitis), el VIH / SIDA y la malaria están recibiendo la mayor parte de la atención de las empresas en general, mientras que las condiciones de salud materna y neonatal reciben relativamente poca atención, indicó Iyer. Agregó que las enfermedades tropicales desatendidas están menos atendidas que hace dos años, con una escalada de los programas de donación y un puñado de nuevos proyectos de desarrollo de medicamentos, algunos en asociación con organizaciones internacionales.</w:t>
      </w:r>
    </w:p>
    <w:p w:rsidR="00C408BC" w:rsidRPr="00E163FF" w:rsidRDefault="00C408BC" w:rsidP="00C408BC">
      <w:pPr>
        <w:rPr>
          <w:rFonts w:asciiTheme="majorHAnsi" w:hAnsiTheme="majorHAnsi"/>
          <w:sz w:val="22"/>
          <w:szCs w:val="22"/>
          <w:lang w:val="es-ES"/>
        </w:rPr>
      </w:pPr>
    </w:p>
    <w:p w:rsidR="00C408BC" w:rsidRPr="00E163FF" w:rsidRDefault="00C408BC" w:rsidP="00C408BC">
      <w:pPr>
        <w:rPr>
          <w:rFonts w:asciiTheme="majorHAnsi" w:hAnsiTheme="majorHAnsi"/>
          <w:b/>
          <w:sz w:val="22"/>
          <w:szCs w:val="22"/>
          <w:lang w:val="es-ES"/>
        </w:rPr>
      </w:pPr>
      <w:r w:rsidRPr="00E163FF">
        <w:rPr>
          <w:rFonts w:ascii="Calibri" w:hAnsi="Calibri"/>
          <w:b/>
          <w:sz w:val="22"/>
          <w:szCs w:val="22"/>
          <w:lang w:val="es-ES"/>
        </w:rPr>
        <w:t>El progreso en varios frentes</w:t>
      </w:r>
    </w:p>
    <w:p w:rsidR="00C408BC" w:rsidRPr="00E163FF" w:rsidRDefault="00C408BC" w:rsidP="00C408BC">
      <w:pPr>
        <w:rPr>
          <w:rFonts w:asciiTheme="majorHAnsi" w:hAnsiTheme="majorHAnsi"/>
          <w:sz w:val="22"/>
          <w:szCs w:val="22"/>
          <w:lang w:val="es-ES"/>
        </w:rPr>
      </w:pPr>
      <w:r w:rsidRPr="00E163FF">
        <w:rPr>
          <w:rFonts w:ascii="Calibri" w:hAnsi="Calibri"/>
          <w:sz w:val="22"/>
          <w:szCs w:val="22"/>
          <w:lang w:val="es-ES"/>
        </w:rPr>
        <w:t>El sector ha intensificado sus esfuerzos en varios frentes. Por ejemplo, está prestando más atención a los factores socioeconómicos, tales como la capacidad adquisitiva de las personas, adaptando cada vez más los precios a cada país.  Desde 2012, el número de productos de la cartera apropiada para los países en desarrollo ha crecido en 47 (137 nuevos, 90 eliminados). Más empresas están experimentando con modelos de negocio innovadores orientados al acceso; tres han introducido nuevos modelos y tres han ampliado modelos piloto. Las empresas están concediendo más licencias a empresas de los países en desarrollo para producir y distribuir versiones genéricas de sus medicamentos. Mientras tanto, las políticas y actividades para mejorar el acceso a la medicina siguen mejorando en cuanto a organización, contando las 20 empresas con algún tipo de representación a nivel del consejo de administración para las cuestiones de acceso a la medicina, y duplicándose ampliamente desde 2012 el número de empresas que vinculan los incentivos de rendimiento a la mejora del acceso a la medicina.</w:t>
      </w:r>
    </w:p>
    <w:p w:rsidR="00C408BC" w:rsidRPr="00E163FF" w:rsidRDefault="00C408BC" w:rsidP="00C408BC">
      <w:pPr>
        <w:rPr>
          <w:rFonts w:asciiTheme="majorHAnsi" w:hAnsiTheme="majorHAnsi"/>
          <w:sz w:val="22"/>
          <w:szCs w:val="22"/>
          <w:lang w:val="es-ES"/>
        </w:rPr>
      </w:pPr>
    </w:p>
    <w:p w:rsidR="00C408BC" w:rsidRPr="00E163FF" w:rsidRDefault="00C408BC" w:rsidP="00C408BC">
      <w:pPr>
        <w:rPr>
          <w:rFonts w:asciiTheme="majorHAnsi" w:hAnsiTheme="majorHAnsi"/>
          <w:b/>
          <w:sz w:val="22"/>
          <w:szCs w:val="22"/>
          <w:lang w:val="es-ES"/>
        </w:rPr>
      </w:pPr>
      <w:r w:rsidRPr="00E163FF">
        <w:rPr>
          <w:rFonts w:ascii="Calibri" w:hAnsi="Calibri"/>
          <w:b/>
          <w:sz w:val="22"/>
          <w:szCs w:val="22"/>
          <w:lang w:val="es-ES"/>
        </w:rPr>
        <w:t>Actuación mejorable en dos áreas</w:t>
      </w:r>
    </w:p>
    <w:p w:rsidR="00C408BC" w:rsidRPr="00E163FF" w:rsidRDefault="00C408BC" w:rsidP="00C408BC">
      <w:pPr>
        <w:spacing w:after="120"/>
        <w:rPr>
          <w:rFonts w:asciiTheme="majorHAnsi" w:hAnsiTheme="majorHAnsi"/>
          <w:sz w:val="22"/>
          <w:szCs w:val="22"/>
          <w:lang w:val="es-ES"/>
        </w:rPr>
      </w:pPr>
      <w:r w:rsidRPr="00E163FF">
        <w:rPr>
          <w:rFonts w:ascii="Calibri" w:hAnsi="Calibri"/>
          <w:sz w:val="22"/>
          <w:szCs w:val="22"/>
          <w:lang w:val="es-ES"/>
        </w:rPr>
        <w:t xml:space="preserve">Sin embargo, el progreso es desigual entre las áreas de actividad importantes, teniendo el sector dificultades para actuar en dos áreas importantes. </w:t>
      </w:r>
    </w:p>
    <w:p w:rsidR="00C408BC" w:rsidRPr="00E163FF" w:rsidRDefault="00C408BC" w:rsidP="00C408BC">
      <w:pPr>
        <w:spacing w:after="120"/>
        <w:rPr>
          <w:rFonts w:asciiTheme="majorHAnsi" w:hAnsiTheme="majorHAnsi"/>
          <w:sz w:val="22"/>
          <w:szCs w:val="22"/>
          <w:lang w:val="es-ES"/>
        </w:rPr>
      </w:pPr>
      <w:r w:rsidRPr="00E163FF">
        <w:rPr>
          <w:rFonts w:ascii="Calibri" w:hAnsi="Calibri"/>
          <w:sz w:val="22"/>
          <w:szCs w:val="22"/>
          <w:lang w:val="es-ES"/>
        </w:rPr>
        <w:t>En primer lugar, casi todas las empresas (18) han</w:t>
      </w:r>
      <w:r w:rsidR="00674C0E">
        <w:rPr>
          <w:rFonts w:ascii="Calibri" w:hAnsi="Calibri"/>
          <w:sz w:val="22"/>
          <w:szCs w:val="22"/>
          <w:lang w:val="es-ES"/>
        </w:rPr>
        <w:t xml:space="preserve"> sido objeto de acuerdos extrajudiciales y sentencias por</w:t>
      </w:r>
      <w:r w:rsidRPr="00E163FF">
        <w:rPr>
          <w:rFonts w:ascii="Calibri" w:hAnsi="Calibri"/>
          <w:sz w:val="22"/>
          <w:szCs w:val="22"/>
          <w:lang w:val="es-ES"/>
        </w:rPr>
        <w:t xml:space="preserve"> incumpli</w:t>
      </w:r>
      <w:r w:rsidR="00674C0E">
        <w:rPr>
          <w:rFonts w:ascii="Calibri" w:hAnsi="Calibri"/>
          <w:sz w:val="22"/>
          <w:szCs w:val="22"/>
          <w:lang w:val="es-ES"/>
        </w:rPr>
        <w:t>miento de</w:t>
      </w:r>
      <w:r w:rsidRPr="00E163FF">
        <w:rPr>
          <w:rFonts w:ascii="Calibri" w:hAnsi="Calibri"/>
          <w:sz w:val="22"/>
          <w:szCs w:val="22"/>
          <w:lang w:val="es-ES"/>
        </w:rPr>
        <w:t xml:space="preserve"> las normas en materia de comercialización ética, soborno o corrupción, o las leyes de competencia en los últimos dos años. Durante el período de análisis hubo denuncias de prácticas de corrupción de alto perfil en contra de varias empresas que operan en China. El caso en contra de GSK, una de esas empresas, se resolvió después del período analizado, y por lo tanto no afectó a su puntuación en el índice de 2014. Las infracciones contempladas en este índice comprenden desde pagar o incentivar de otra manera inapropiada a los médicos a recetar sus productos, y alentar a los médicos a recetar sus medicamentos para un uso fuera de lo indicado, hasta colusiones que retrasan la entrada en el mercado de los medicamentos genéricos y tergiversan la eficacia y seguridad de sus productos o las de sus competidores. El análisis del índice revela que no hay una correlación directa entre el tamaño de una empresa, la amplitud de su presencia geográfica y su incidencia de infracciones, lo que indica que las infracciones no son simplemente un gasto necesario para hacer negocios. Esta evidencia plantea interrogantes sobre el compromiso y la eficacia de la dirección de las empresas en este aspecto. </w:t>
      </w:r>
    </w:p>
    <w:p w:rsidR="00C408BC" w:rsidRPr="00E163FF" w:rsidRDefault="00C408BC" w:rsidP="00C408BC">
      <w:pPr>
        <w:spacing w:after="120"/>
        <w:rPr>
          <w:rFonts w:asciiTheme="majorHAnsi" w:hAnsiTheme="majorHAnsi"/>
          <w:sz w:val="22"/>
          <w:szCs w:val="22"/>
          <w:lang w:val="es-ES"/>
        </w:rPr>
      </w:pPr>
      <w:r w:rsidRPr="00E163FF">
        <w:rPr>
          <w:rFonts w:ascii="Calibri" w:hAnsi="Calibri"/>
          <w:sz w:val="22"/>
          <w:szCs w:val="22"/>
          <w:lang w:val="es-ES"/>
        </w:rPr>
        <w:t>En segundo lugar, las empresas siguen siendo reservadas en su divulgación de qué patentes están activas y cuándo expirarán: información que es muy útil para los compradores y los fabricantes de medicamentos genéricos. Dentro del período analizado, ninguna empresa dio a conocer públicamente de manera independiente el estado de sus patentes correspondientes a los productos relevantes para el índice.</w:t>
      </w:r>
    </w:p>
    <w:p w:rsidR="00C408BC" w:rsidRPr="00E163FF" w:rsidRDefault="00C408BC" w:rsidP="00C408BC">
      <w:pPr>
        <w:rPr>
          <w:rFonts w:asciiTheme="majorHAnsi" w:hAnsiTheme="majorHAnsi"/>
          <w:sz w:val="22"/>
          <w:szCs w:val="22"/>
          <w:lang w:val="es-ES"/>
        </w:rPr>
      </w:pPr>
    </w:p>
    <w:p w:rsidR="00C408BC" w:rsidRPr="00E163FF" w:rsidRDefault="00C408BC" w:rsidP="00C408BC">
      <w:pPr>
        <w:rPr>
          <w:rFonts w:asciiTheme="majorHAnsi" w:hAnsiTheme="majorHAnsi"/>
          <w:b/>
          <w:sz w:val="22"/>
          <w:szCs w:val="22"/>
          <w:lang w:val="es-ES"/>
        </w:rPr>
      </w:pPr>
      <w:r w:rsidRPr="00E163FF">
        <w:rPr>
          <w:rFonts w:ascii="Calibri" w:hAnsi="Calibri"/>
          <w:b/>
          <w:sz w:val="22"/>
          <w:szCs w:val="22"/>
          <w:lang w:val="es-ES"/>
        </w:rPr>
        <w:t>Análisis de investigación y desarrollo</w:t>
      </w:r>
    </w:p>
    <w:p w:rsidR="00C408BC" w:rsidRPr="00E163FF" w:rsidRDefault="00C408BC" w:rsidP="00C408BC">
      <w:pPr>
        <w:spacing w:after="120"/>
        <w:rPr>
          <w:rFonts w:asciiTheme="majorHAnsi" w:hAnsiTheme="majorHAnsi"/>
          <w:sz w:val="22"/>
          <w:szCs w:val="22"/>
          <w:lang w:val="es-ES"/>
        </w:rPr>
      </w:pPr>
      <w:r w:rsidRPr="00E163FF">
        <w:rPr>
          <w:rFonts w:ascii="Calibri" w:hAnsi="Calibri"/>
          <w:sz w:val="22"/>
          <w:szCs w:val="22"/>
          <w:lang w:val="es-ES"/>
        </w:rPr>
        <w:lastRenderedPageBreak/>
        <w:t xml:space="preserve">La investigación y el desarrollo (I + D) de las empresas farmacéuticas es un elemento crucial en la mejora del acceso a la medicina. El índice de 2014 revela la concentración de la investigación y el desarrollo correspondientes. Solo cinco empresas están desarrollando el 54% de los 327 productos de la cartera. Se contemplan todas las clases de enfermedades, pero más de la mitad de los productos en desarrollo se centran en tan solo cinco enfermedades: diabetes, infecciones de las vías respiratorias bajas, hepatitis, VIH / SIDA y malaria. </w:t>
      </w:r>
    </w:p>
    <w:p w:rsidR="00C408BC" w:rsidRPr="00E163FF" w:rsidRDefault="00C408BC" w:rsidP="00C408BC">
      <w:pPr>
        <w:spacing w:after="120"/>
        <w:rPr>
          <w:rFonts w:asciiTheme="majorHAnsi" w:hAnsiTheme="majorHAnsi"/>
          <w:sz w:val="22"/>
          <w:szCs w:val="22"/>
          <w:lang w:val="es-ES"/>
        </w:rPr>
      </w:pPr>
      <w:r w:rsidRPr="00E163FF">
        <w:rPr>
          <w:rFonts w:ascii="Calibri" w:hAnsi="Calibri"/>
          <w:sz w:val="22"/>
          <w:szCs w:val="22"/>
          <w:lang w:val="es-ES"/>
        </w:rPr>
        <w:t>Alrededor del 36% de la cartera se dedica a enfermedades no transmisibles, que son cada vez más importantes en los países en desarrollo. Es alentador que el 83% de los productos ha llegado a la etapa de desarrollo en la que se ensayan en personas, pero hay pocos planes para hacer que estos productos estén disponibles. Las estrategias de precios para estos también son limitadas y escasean para muchas enfermedades transmisibles.</w:t>
      </w:r>
    </w:p>
    <w:p w:rsidR="00C408BC" w:rsidRPr="00E163FF" w:rsidRDefault="00C408BC" w:rsidP="00C408BC">
      <w:pPr>
        <w:spacing w:after="120"/>
        <w:rPr>
          <w:rFonts w:asciiTheme="majorHAnsi" w:hAnsiTheme="majorHAnsi"/>
          <w:sz w:val="22"/>
          <w:szCs w:val="22"/>
          <w:lang w:val="es-ES"/>
        </w:rPr>
      </w:pPr>
      <w:r w:rsidRPr="00E163FF">
        <w:rPr>
          <w:rFonts w:ascii="Calibri" w:hAnsi="Calibri"/>
          <w:sz w:val="22"/>
          <w:szCs w:val="22"/>
          <w:lang w:val="es-ES"/>
        </w:rPr>
        <w:t xml:space="preserve">Más de la mitad de las empresas están desarrollando medicamentos adaptados a la población infantil, como líquidos, comprimidos masticables, dosis apropiadas para los niños o nuevas formulaciones. </w:t>
      </w:r>
    </w:p>
    <w:p w:rsidR="00C408BC" w:rsidRPr="00E163FF" w:rsidRDefault="00C408BC" w:rsidP="00C408BC">
      <w:pPr>
        <w:spacing w:after="120"/>
        <w:rPr>
          <w:rFonts w:asciiTheme="majorHAnsi" w:hAnsiTheme="majorHAnsi"/>
          <w:sz w:val="22"/>
          <w:szCs w:val="22"/>
          <w:lang w:val="es-ES"/>
        </w:rPr>
      </w:pPr>
      <w:r w:rsidRPr="00E163FF">
        <w:rPr>
          <w:rFonts w:ascii="Calibri" w:hAnsi="Calibri"/>
          <w:sz w:val="22"/>
          <w:szCs w:val="22"/>
          <w:lang w:val="es-ES"/>
        </w:rPr>
        <w:t xml:space="preserve">Los proyectos de investigación incluyen un medicamento antimicótico de Merck &amp; Co. sometido a ensayos clínicos para investigar si funciona para la enfermedad de Chagas, una enfermedad tropical desatendida que afecta a los países de Sudamérica, y el desarrollo por parte de GSK de un inhalador de bajo coste para los medicamentos para el asma y la EPOC para su uso en países en desarrollo. </w:t>
      </w:r>
    </w:p>
    <w:p w:rsidR="00C408BC" w:rsidRPr="00E163FF" w:rsidRDefault="00C408BC" w:rsidP="00C408BC">
      <w:pPr>
        <w:rPr>
          <w:rFonts w:asciiTheme="majorHAnsi" w:hAnsiTheme="majorHAnsi"/>
          <w:sz w:val="22"/>
          <w:szCs w:val="22"/>
          <w:lang w:val="es-ES"/>
        </w:rPr>
      </w:pPr>
      <w:r w:rsidRPr="00E163FF">
        <w:rPr>
          <w:rFonts w:ascii="Calibri" w:hAnsi="Calibri"/>
          <w:sz w:val="22"/>
          <w:szCs w:val="22"/>
          <w:lang w:val="es-ES"/>
        </w:rPr>
        <w:t>Desde el índice de 2012, al menos 30 productos de la cartera, para 11 enfermedades relevantes para los países en desarrollo, han llegado al mercado. Entre estos se incluyen:</w:t>
      </w:r>
    </w:p>
    <w:p w:rsidR="00C408BC" w:rsidRPr="00E163FF" w:rsidRDefault="00C408BC" w:rsidP="00C408BC">
      <w:pPr>
        <w:pStyle w:val="Prrafodelista"/>
        <w:numPr>
          <w:ilvl w:val="0"/>
          <w:numId w:val="1"/>
        </w:numPr>
        <w:rPr>
          <w:rFonts w:asciiTheme="majorHAnsi" w:hAnsiTheme="majorHAnsi"/>
          <w:sz w:val="22"/>
          <w:szCs w:val="22"/>
          <w:lang w:val="es-ES"/>
        </w:rPr>
      </w:pPr>
      <w:r w:rsidRPr="00E163FF">
        <w:rPr>
          <w:rFonts w:ascii="Calibri" w:hAnsi="Calibri"/>
          <w:sz w:val="22"/>
          <w:szCs w:val="22"/>
          <w:lang w:val="es-ES"/>
        </w:rPr>
        <w:t>Un nuevo tipo de píldora para la tuberculosis resistente a múltiples medicamentos, que es el primer nuevo medicamento para la enfermedad en 40 años. (Johnson &amp; Johnson)</w:t>
      </w:r>
    </w:p>
    <w:p w:rsidR="00C408BC" w:rsidRPr="00E163FF" w:rsidRDefault="00C408BC" w:rsidP="00C408BC">
      <w:pPr>
        <w:pStyle w:val="Prrafodelista"/>
        <w:numPr>
          <w:ilvl w:val="0"/>
          <w:numId w:val="1"/>
        </w:numPr>
        <w:rPr>
          <w:rFonts w:asciiTheme="majorHAnsi" w:hAnsiTheme="majorHAnsi"/>
          <w:sz w:val="22"/>
          <w:szCs w:val="22"/>
          <w:lang w:val="es-ES"/>
        </w:rPr>
      </w:pPr>
      <w:r w:rsidRPr="00E163FF">
        <w:rPr>
          <w:rFonts w:ascii="Calibri" w:hAnsi="Calibri"/>
          <w:sz w:val="22"/>
          <w:szCs w:val="22"/>
          <w:lang w:val="es-ES"/>
        </w:rPr>
        <w:t xml:space="preserve">Una nueva píldora, tomada una vez al día, que constituye un tratamiento completo del VIH. Gilead ha concedido licencias que permiten la distribución de versiones genéricas del medicamento en 100 países en desarrollo. </w:t>
      </w:r>
    </w:p>
    <w:p w:rsidR="00C408BC" w:rsidRPr="00E163FF" w:rsidRDefault="00C408BC" w:rsidP="00C408BC">
      <w:pPr>
        <w:pStyle w:val="Prrafodelista"/>
        <w:numPr>
          <w:ilvl w:val="0"/>
          <w:numId w:val="1"/>
        </w:numPr>
        <w:rPr>
          <w:rFonts w:asciiTheme="majorHAnsi" w:hAnsiTheme="majorHAnsi"/>
          <w:sz w:val="22"/>
          <w:szCs w:val="22"/>
          <w:lang w:val="es-ES"/>
        </w:rPr>
      </w:pPr>
      <w:r w:rsidRPr="00E163FF">
        <w:rPr>
          <w:rFonts w:ascii="Calibri" w:hAnsi="Calibri"/>
          <w:sz w:val="22"/>
          <w:szCs w:val="22"/>
          <w:lang w:val="es-ES"/>
        </w:rPr>
        <w:t xml:space="preserve">Un nuevo comprimido para el VIH de dosis para niños (Johnson &amp; Johnson) y la aprobación de un medicamento contra el VIH ya existente para administrarse a los niños (Bristol-Myers Squibb). Casi todos los niños con el VIH viven en el África subsahariana. </w:t>
      </w:r>
    </w:p>
    <w:p w:rsidR="00C408BC" w:rsidRPr="00E163FF" w:rsidRDefault="00C408BC" w:rsidP="00C408BC">
      <w:pPr>
        <w:pStyle w:val="Prrafodelista"/>
        <w:numPr>
          <w:ilvl w:val="0"/>
          <w:numId w:val="1"/>
        </w:numPr>
        <w:rPr>
          <w:rFonts w:asciiTheme="majorHAnsi" w:hAnsiTheme="majorHAnsi"/>
          <w:sz w:val="22"/>
          <w:szCs w:val="22"/>
          <w:lang w:val="es-ES"/>
        </w:rPr>
      </w:pPr>
      <w:r w:rsidRPr="00E163FF">
        <w:rPr>
          <w:rFonts w:ascii="Calibri" w:hAnsi="Calibri"/>
          <w:sz w:val="22"/>
          <w:szCs w:val="22"/>
          <w:lang w:val="es-ES"/>
        </w:rPr>
        <w:t>Una píldora revolucionaria que cura la hepatitis C, que es una enfermedad de alta carga en los países en desarrollo. La empresa ha concedido licencias que permiten la distribución de versiones genéricas del medicamento en más de 91 países en desarrollo. (Gilead)</w:t>
      </w:r>
    </w:p>
    <w:p w:rsidR="00C408BC" w:rsidRPr="00E163FF" w:rsidRDefault="00C408BC" w:rsidP="00C408BC">
      <w:pPr>
        <w:rPr>
          <w:rFonts w:asciiTheme="majorHAnsi" w:hAnsiTheme="majorHAnsi"/>
          <w:sz w:val="22"/>
          <w:szCs w:val="22"/>
          <w:lang w:val="es-ES"/>
        </w:rPr>
      </w:pPr>
    </w:p>
    <w:p w:rsidR="00C408BC" w:rsidRPr="00E163FF" w:rsidRDefault="00C408BC" w:rsidP="00C408BC">
      <w:pPr>
        <w:rPr>
          <w:rFonts w:asciiTheme="majorHAnsi" w:hAnsiTheme="majorHAnsi"/>
          <w:sz w:val="22"/>
          <w:szCs w:val="22"/>
          <w:lang w:val="es-ES"/>
        </w:rPr>
      </w:pPr>
      <w:r w:rsidRPr="00E163FF">
        <w:rPr>
          <w:rFonts w:ascii="Calibri" w:hAnsi="Calibri"/>
          <w:sz w:val="22"/>
          <w:szCs w:val="22"/>
          <w:lang w:val="es-ES"/>
        </w:rPr>
        <w:t>"Nuestras cartillas de calificaciones muestran el camino a seguir para que cada empresa aproveche al máximo sus oportunidades para mejorar el acceso a la medicina en función de sus fortalezas y posibilidades individuales. Todas tratan los temas del acceso de diferentes maneras, pero nuestro análisis indica que todas las empresas pueden hacer más. Mejorar el acceso a la medicina no es de la exclusiva responsabilidad del sector farmacéutico, pero este es un actor importante", dijo Leereveld.</w:t>
      </w:r>
    </w:p>
    <w:p w:rsidR="00C408BC" w:rsidRPr="00E163FF" w:rsidRDefault="00C408BC" w:rsidP="00C408BC">
      <w:pPr>
        <w:rPr>
          <w:rFonts w:asciiTheme="majorHAnsi" w:hAnsiTheme="majorHAnsi"/>
          <w:sz w:val="22"/>
          <w:szCs w:val="22"/>
          <w:lang w:val="es-ES"/>
        </w:rPr>
      </w:pPr>
    </w:p>
    <w:p w:rsidR="00C408BC" w:rsidRPr="00E163FF" w:rsidRDefault="00C408BC" w:rsidP="00C408BC">
      <w:pPr>
        <w:rPr>
          <w:rFonts w:asciiTheme="majorHAnsi" w:hAnsiTheme="majorHAnsi"/>
          <w:sz w:val="22"/>
          <w:szCs w:val="22"/>
          <w:lang w:val="es-ES"/>
        </w:rPr>
      </w:pPr>
    </w:p>
    <w:p w:rsidR="00C408BC" w:rsidRPr="00E163FF" w:rsidRDefault="00C408BC" w:rsidP="00C408BC">
      <w:pPr>
        <w:pStyle w:val="Prrafodelista"/>
        <w:widowControl w:val="0"/>
        <w:numPr>
          <w:ilvl w:val="0"/>
          <w:numId w:val="2"/>
        </w:numPr>
        <w:autoSpaceDE w:val="0"/>
        <w:autoSpaceDN w:val="0"/>
        <w:adjustRightInd w:val="0"/>
        <w:jc w:val="center"/>
        <w:rPr>
          <w:rFonts w:asciiTheme="majorHAnsi" w:hAnsiTheme="majorHAnsi" w:cstheme="minorHAnsi"/>
          <w:sz w:val="22"/>
          <w:szCs w:val="22"/>
          <w:lang w:val="es-ES"/>
        </w:rPr>
      </w:pPr>
      <w:r w:rsidRPr="00E163FF">
        <w:rPr>
          <w:rFonts w:ascii="Calibri" w:hAnsi="Calibri"/>
          <w:sz w:val="22"/>
          <w:szCs w:val="22"/>
          <w:lang w:val="es-ES"/>
        </w:rPr>
        <w:t>FIN DEL COMUNICADO DE PRENSA -</w:t>
      </w:r>
    </w:p>
    <w:p w:rsidR="00C408BC" w:rsidRPr="00E163FF" w:rsidRDefault="00C408BC" w:rsidP="00C408BC">
      <w:pPr>
        <w:widowControl w:val="0"/>
        <w:autoSpaceDE w:val="0"/>
        <w:autoSpaceDN w:val="0"/>
        <w:adjustRightInd w:val="0"/>
        <w:rPr>
          <w:rFonts w:asciiTheme="majorHAnsi" w:hAnsiTheme="majorHAnsi" w:cstheme="minorHAnsi"/>
          <w:b/>
          <w:sz w:val="20"/>
          <w:szCs w:val="26"/>
          <w:lang w:val="es-ES"/>
        </w:rPr>
      </w:pPr>
    </w:p>
    <w:p w:rsidR="00C408BC" w:rsidRPr="00E163FF" w:rsidRDefault="00C408BC" w:rsidP="00C408BC">
      <w:pPr>
        <w:rPr>
          <w:rFonts w:asciiTheme="majorHAnsi" w:hAnsiTheme="majorHAnsi" w:cstheme="minorHAnsi"/>
          <w:b/>
          <w:sz w:val="20"/>
          <w:szCs w:val="20"/>
          <w:lang w:val="es-ES"/>
        </w:rPr>
      </w:pPr>
      <w:r w:rsidRPr="00E163FF">
        <w:rPr>
          <w:rFonts w:ascii="Calibri" w:hAnsi="Calibri"/>
          <w:b/>
          <w:sz w:val="20"/>
          <w:szCs w:val="20"/>
          <w:lang w:val="es-ES"/>
        </w:rPr>
        <w:t xml:space="preserve">Notas para los periodistas: </w:t>
      </w:r>
    </w:p>
    <w:p w:rsidR="00C408BC" w:rsidRPr="00E163FF" w:rsidRDefault="00C408BC" w:rsidP="00C408BC">
      <w:pPr>
        <w:rPr>
          <w:rFonts w:asciiTheme="majorHAnsi" w:hAnsiTheme="majorHAnsi" w:cstheme="minorHAnsi"/>
          <w:sz w:val="20"/>
          <w:szCs w:val="20"/>
          <w:lang w:val="es-ES"/>
        </w:rPr>
      </w:pPr>
    </w:p>
    <w:p w:rsidR="00C408BC" w:rsidRPr="00E163FF" w:rsidRDefault="00C408BC" w:rsidP="00C408BC">
      <w:pPr>
        <w:rPr>
          <w:rFonts w:asciiTheme="majorHAnsi" w:hAnsiTheme="majorHAnsi" w:cstheme="minorHAnsi"/>
          <w:sz w:val="20"/>
          <w:szCs w:val="20"/>
          <w:lang w:val="es-ES"/>
        </w:rPr>
      </w:pPr>
      <w:r w:rsidRPr="00E163FF">
        <w:rPr>
          <w:rFonts w:ascii="Calibri" w:hAnsi="Calibri"/>
          <w:b/>
          <w:sz w:val="20"/>
          <w:szCs w:val="20"/>
          <w:lang w:val="es-ES"/>
        </w:rPr>
        <w:t>Materiales para los medios de comunicación</w:t>
      </w:r>
      <w:r w:rsidRPr="00E163FF">
        <w:rPr>
          <w:rFonts w:ascii="Calibri" w:hAnsi="Calibri"/>
          <w:sz w:val="20"/>
          <w:szCs w:val="20"/>
          <w:lang w:val="es-ES"/>
        </w:rPr>
        <w:t xml:space="preserve">: Están disponibles por petición el gráfico de clasificación, los puntos de datos para el trazado de este gráfico y las fotografías utilizadas en el informe (que ilustran algunos de los programas reales tratados). </w:t>
      </w:r>
    </w:p>
    <w:p w:rsidR="00C408BC" w:rsidRPr="00E163FF" w:rsidRDefault="00C408BC" w:rsidP="00C408BC">
      <w:pPr>
        <w:rPr>
          <w:rFonts w:asciiTheme="majorHAnsi" w:hAnsiTheme="majorHAnsi" w:cstheme="minorHAnsi"/>
          <w:sz w:val="20"/>
          <w:szCs w:val="20"/>
          <w:lang w:val="es-ES"/>
        </w:rPr>
      </w:pPr>
    </w:p>
    <w:p w:rsidR="00C408BC" w:rsidRPr="00E163FF" w:rsidRDefault="00C408BC" w:rsidP="00C408BC">
      <w:pPr>
        <w:rPr>
          <w:rFonts w:asciiTheme="majorHAnsi" w:hAnsiTheme="majorHAnsi" w:cstheme="minorHAnsi"/>
          <w:sz w:val="20"/>
          <w:szCs w:val="20"/>
          <w:lang w:val="es-ES"/>
        </w:rPr>
      </w:pPr>
      <w:r w:rsidRPr="00E163FF">
        <w:rPr>
          <w:rFonts w:ascii="Calibri" w:hAnsi="Calibri"/>
          <w:b/>
          <w:sz w:val="20"/>
          <w:szCs w:val="20"/>
          <w:lang w:val="es-ES"/>
        </w:rPr>
        <w:t>Acerca del Índice</w:t>
      </w:r>
      <w:r w:rsidRPr="00E163FF">
        <w:rPr>
          <w:rFonts w:ascii="Calibri" w:hAnsi="Calibri"/>
          <w:sz w:val="20"/>
          <w:szCs w:val="20"/>
          <w:lang w:val="es-ES"/>
        </w:rPr>
        <w:t xml:space="preserve">: El Access to Medicine Index es una publicación de la Access to Medicine Foundation, una organización sin fines de lucro con sede en los Países Bajos, que tiene como objetivo avanzar en el acceso a la medicina, alentando al sector farmacéutico para que desempeñe un mayor papel en la mejora del acceso a la medicina en los países menos desarrollados. La metodología del índice fue desarrollada y se refina </w:t>
      </w:r>
      <w:r w:rsidRPr="00E163FF">
        <w:rPr>
          <w:rFonts w:ascii="Calibri" w:hAnsi="Calibri"/>
          <w:sz w:val="20"/>
          <w:szCs w:val="20"/>
          <w:lang w:val="es-ES"/>
        </w:rPr>
        <w:lastRenderedPageBreak/>
        <w:t>continuamente en consulta con múltiples partes interesadas, incluyendo la Organización Mundial de la Salud, ONG, gobiernos, universidades e inversores institucionales. El Índice es un proyecto financiado por la Bill &amp; Melinda Gates Foundation, el Ministerio de Asuntos Exteriores de Holanda y el Departamento para el Desarrollo Internacional del Reino Unido.</w:t>
      </w:r>
    </w:p>
    <w:p w:rsidR="00C408BC" w:rsidRPr="00E163FF" w:rsidRDefault="00C408BC" w:rsidP="00C408BC">
      <w:pPr>
        <w:rPr>
          <w:rFonts w:asciiTheme="majorHAnsi" w:hAnsiTheme="majorHAnsi" w:cstheme="minorHAnsi"/>
          <w:sz w:val="20"/>
          <w:szCs w:val="20"/>
          <w:lang w:val="es-ES"/>
        </w:rPr>
      </w:pPr>
    </w:p>
    <w:p w:rsidR="00C408BC" w:rsidRPr="00E163FF" w:rsidRDefault="00C408BC" w:rsidP="00C408BC">
      <w:pPr>
        <w:rPr>
          <w:rFonts w:asciiTheme="majorHAnsi" w:hAnsiTheme="majorHAnsi"/>
          <w:lang w:val="es-ES"/>
        </w:rPr>
      </w:pPr>
    </w:p>
    <w:p w:rsidR="00C408BC" w:rsidRPr="00E163FF" w:rsidRDefault="00C408BC" w:rsidP="00C408BC">
      <w:pPr>
        <w:rPr>
          <w:rFonts w:asciiTheme="majorHAnsi" w:hAnsiTheme="majorHAnsi" w:cstheme="minorHAnsi"/>
          <w:b/>
          <w:sz w:val="20"/>
          <w:szCs w:val="20"/>
          <w:lang w:val="es-ES"/>
        </w:rPr>
      </w:pPr>
      <w:r w:rsidRPr="00E163FF">
        <w:rPr>
          <w:rFonts w:ascii="Calibri" w:hAnsi="Calibri"/>
          <w:b/>
          <w:sz w:val="20"/>
          <w:szCs w:val="20"/>
          <w:lang w:val="es-ES"/>
        </w:rPr>
        <w:t>Para obtener más información, comuníquese con:</w:t>
      </w:r>
    </w:p>
    <w:p w:rsidR="00C408BC" w:rsidRPr="00E163FF" w:rsidRDefault="00C408BC" w:rsidP="00C408BC">
      <w:pPr>
        <w:rPr>
          <w:rFonts w:asciiTheme="majorHAnsi" w:hAnsiTheme="majorHAnsi" w:cstheme="minorHAnsi"/>
          <w:sz w:val="20"/>
          <w:szCs w:val="20"/>
          <w:highlight w:val="yellow"/>
          <w:lang w:val="es-ES"/>
        </w:rPr>
      </w:pPr>
      <w:r w:rsidRPr="00E163FF">
        <w:rPr>
          <w:rFonts w:ascii="Calibri" w:hAnsi="Calibri"/>
          <w:sz w:val="20"/>
          <w:szCs w:val="20"/>
          <w:lang w:val="es-ES"/>
        </w:rPr>
        <w:t xml:space="preserve">Suzanne Wolf </w:t>
      </w:r>
    </w:p>
    <w:p w:rsidR="00C408BC" w:rsidRPr="00E163FF" w:rsidRDefault="00C408BC" w:rsidP="00C408BC">
      <w:pPr>
        <w:rPr>
          <w:rFonts w:asciiTheme="majorHAnsi" w:hAnsiTheme="majorHAnsi" w:cstheme="minorHAnsi"/>
          <w:sz w:val="20"/>
          <w:szCs w:val="20"/>
          <w:lang w:val="es-ES"/>
        </w:rPr>
      </w:pPr>
      <w:r w:rsidRPr="00E163FF">
        <w:rPr>
          <w:rFonts w:ascii="Calibri" w:hAnsi="Calibri"/>
          <w:sz w:val="20"/>
          <w:szCs w:val="20"/>
          <w:lang w:val="es-ES"/>
        </w:rPr>
        <w:t>Teléfono: + 31 6 29 40 40 90 o + 31 23 53 39 187</w:t>
      </w:r>
    </w:p>
    <w:p w:rsidR="004907E4" w:rsidRPr="00E163FF" w:rsidRDefault="00C408BC" w:rsidP="00C408BC">
      <w:pPr>
        <w:rPr>
          <w:lang w:val="es-ES"/>
        </w:rPr>
      </w:pPr>
      <w:r w:rsidRPr="00E163FF">
        <w:rPr>
          <w:rFonts w:ascii="Calibri" w:hAnsi="Calibri"/>
          <w:sz w:val="20"/>
          <w:szCs w:val="20"/>
          <w:lang w:val="es-ES"/>
        </w:rPr>
        <w:t xml:space="preserve">Correo electrónico: </w:t>
      </w:r>
      <w:hyperlink r:id="rId8" w:history="1">
        <w:r w:rsidRPr="00E163FF">
          <w:rPr>
            <w:rStyle w:val="Hipervnculo"/>
            <w:rFonts w:ascii="Calibri" w:hAnsi="Calibri"/>
            <w:sz w:val="20"/>
            <w:szCs w:val="20"/>
            <w:lang w:val="es-ES"/>
          </w:rPr>
          <w:t>swolf@atmindex.org</w:t>
        </w:r>
      </w:hyperlink>
      <w:r w:rsidRPr="00E163FF">
        <w:rPr>
          <w:rFonts w:ascii="Calibri" w:hAnsi="Calibri"/>
          <w:sz w:val="20"/>
          <w:szCs w:val="20"/>
          <w:lang w:val="es-ES"/>
        </w:rPr>
        <w:t xml:space="preserve"> Sitio web: </w:t>
      </w:r>
      <w:hyperlink r:id="rId9" w:history="1">
        <w:r w:rsidRPr="00E163FF">
          <w:rPr>
            <w:rStyle w:val="Hipervnculo"/>
            <w:rFonts w:ascii="Calibri" w:hAnsi="Calibri"/>
            <w:sz w:val="20"/>
            <w:szCs w:val="20"/>
            <w:lang w:val="es-ES"/>
          </w:rPr>
          <w:t>www.atmindex.org</w:t>
        </w:r>
      </w:hyperlink>
    </w:p>
    <w:sectPr w:rsidR="004907E4" w:rsidRPr="00E163FF" w:rsidSect="00CF69D2">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BD" w:rsidRDefault="00F343BD" w:rsidP="00A42613">
      <w:r>
        <w:separator/>
      </w:r>
    </w:p>
  </w:endnote>
  <w:endnote w:type="continuationSeparator" w:id="0">
    <w:p w:rsidR="00F343BD" w:rsidRDefault="00F343BD" w:rsidP="00A4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BD" w:rsidRDefault="00F343BD" w:rsidP="00A42613">
      <w:r>
        <w:separator/>
      </w:r>
    </w:p>
  </w:footnote>
  <w:footnote w:type="continuationSeparator" w:id="0">
    <w:p w:rsidR="00F343BD" w:rsidRDefault="00F343BD" w:rsidP="00A42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13" w:rsidRPr="00231B39" w:rsidRDefault="00A42613" w:rsidP="00A42613">
    <w:pPr>
      <w:pStyle w:val="Encabezado"/>
      <w:jc w:val="center"/>
      <w:rPr>
        <w:rFonts w:asciiTheme="majorHAnsi" w:hAnsiTheme="majorHAnsi"/>
        <w:b/>
        <w:sz w:val="22"/>
        <w:szCs w:val="22"/>
        <w:lang w:val="nl-NL"/>
      </w:rPr>
    </w:pPr>
    <w:r>
      <w:rPr>
        <w:rFonts w:ascii="Calibri" w:hAnsi="Calibri"/>
        <w:b/>
        <w:sz w:val="22"/>
        <w:szCs w:val="22"/>
      </w:rPr>
      <w:t xml:space="preserve"> </w:t>
    </w:r>
    <w:r w:rsidRPr="00231B39">
      <w:rPr>
        <w:rFonts w:ascii="Calibri" w:hAnsi="Calibri"/>
        <w:b/>
        <w:sz w:val="22"/>
        <w:szCs w:val="22"/>
        <w:lang w:val="nl-NL"/>
      </w:rPr>
      <w:t xml:space="preserve">- COMUNICADO DE PRENSA - </w:t>
    </w:r>
  </w:p>
  <w:p w:rsidR="00A42613" w:rsidRPr="00231B39" w:rsidRDefault="00A42613" w:rsidP="00A42613">
    <w:pPr>
      <w:pStyle w:val="Encabezado"/>
      <w:jc w:val="center"/>
      <w:rPr>
        <w:rFonts w:asciiTheme="majorHAnsi" w:hAnsiTheme="majorHAnsi"/>
        <w:b/>
        <w:sz w:val="22"/>
        <w:szCs w:val="22"/>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13F2"/>
    <w:multiLevelType w:val="hybridMultilevel"/>
    <w:tmpl w:val="3268462C"/>
    <w:lvl w:ilvl="0" w:tplc="8312BEC6">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3692D"/>
    <w:multiLevelType w:val="multilevel"/>
    <w:tmpl w:val="78A489C2"/>
    <w:lvl w:ilvl="0">
      <w:start w:val="1"/>
      <w:numFmt w:val="decimalZero"/>
      <w:lvlText w:val="(%1"/>
      <w:lvlJc w:val="left"/>
      <w:pPr>
        <w:ind w:left="800" w:hanging="800"/>
      </w:pPr>
      <w:rPr>
        <w:rFonts w:hint="default"/>
      </w:rPr>
    </w:lvl>
    <w:lvl w:ilvl="1">
      <w:start w:val="1"/>
      <w:numFmt w:val="decimalZero"/>
      <w:lvlText w:val="(%1.%2"/>
      <w:lvlJc w:val="left"/>
      <w:pPr>
        <w:ind w:left="1520" w:hanging="800"/>
      </w:pPr>
      <w:rPr>
        <w:rFonts w:hint="default"/>
      </w:rPr>
    </w:lvl>
    <w:lvl w:ilvl="2">
      <w:start w:val="1"/>
      <w:numFmt w:val="decimal"/>
      <w:lvlText w:val="(%1.%2.%3"/>
      <w:lvlJc w:val="left"/>
      <w:pPr>
        <w:ind w:left="2240" w:hanging="80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64D3E0C"/>
    <w:multiLevelType w:val="hybridMultilevel"/>
    <w:tmpl w:val="180C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BC"/>
    <w:rsid w:val="001573E1"/>
    <w:rsid w:val="00231B39"/>
    <w:rsid w:val="004907E4"/>
    <w:rsid w:val="004F34BE"/>
    <w:rsid w:val="005842E7"/>
    <w:rsid w:val="005A3478"/>
    <w:rsid w:val="00674C0E"/>
    <w:rsid w:val="00847EAB"/>
    <w:rsid w:val="00902D9C"/>
    <w:rsid w:val="009C504B"/>
    <w:rsid w:val="00A42613"/>
    <w:rsid w:val="00AB486D"/>
    <w:rsid w:val="00AF7B61"/>
    <w:rsid w:val="00B95990"/>
    <w:rsid w:val="00C408BC"/>
    <w:rsid w:val="00CC085C"/>
    <w:rsid w:val="00CF69D2"/>
    <w:rsid w:val="00D27359"/>
    <w:rsid w:val="00E163FF"/>
    <w:rsid w:val="00F343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BC"/>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408BC"/>
    <w:pPr>
      <w:ind w:left="720"/>
      <w:contextualSpacing/>
    </w:pPr>
    <w:rPr>
      <w:rFonts w:ascii="Cambria" w:eastAsia="MS Mincho" w:hAnsi="Cambria" w:cs="Times New Roman"/>
    </w:rPr>
  </w:style>
  <w:style w:type="character" w:styleId="Hipervnculo">
    <w:name w:val="Hyperlink"/>
    <w:basedOn w:val="Fuentedeprrafopredeter"/>
    <w:uiPriority w:val="99"/>
    <w:unhideWhenUsed/>
    <w:rsid w:val="00C408BC"/>
    <w:rPr>
      <w:color w:val="0000FF" w:themeColor="hyperlink"/>
      <w:u w:val="single"/>
    </w:rPr>
  </w:style>
  <w:style w:type="paragraph" w:styleId="Encabezado">
    <w:name w:val="header"/>
    <w:basedOn w:val="Normal"/>
    <w:link w:val="EncabezadoCar"/>
    <w:uiPriority w:val="99"/>
    <w:unhideWhenUsed/>
    <w:rsid w:val="00A42613"/>
    <w:pPr>
      <w:tabs>
        <w:tab w:val="center" w:pos="4536"/>
        <w:tab w:val="right" w:pos="9072"/>
      </w:tabs>
    </w:pPr>
  </w:style>
  <w:style w:type="character" w:customStyle="1" w:styleId="EncabezadoCar">
    <w:name w:val="Encabezado Car"/>
    <w:basedOn w:val="Fuentedeprrafopredeter"/>
    <w:link w:val="Encabezado"/>
    <w:uiPriority w:val="99"/>
    <w:rsid w:val="00A42613"/>
    <w:rPr>
      <w:lang w:val="en-US" w:eastAsia="en-US"/>
    </w:rPr>
  </w:style>
  <w:style w:type="paragraph" w:styleId="Piedepgina">
    <w:name w:val="footer"/>
    <w:basedOn w:val="Normal"/>
    <w:link w:val="PiedepginaCar"/>
    <w:uiPriority w:val="99"/>
    <w:unhideWhenUsed/>
    <w:rsid w:val="00A42613"/>
    <w:pPr>
      <w:tabs>
        <w:tab w:val="center" w:pos="4536"/>
        <w:tab w:val="right" w:pos="9072"/>
      </w:tabs>
    </w:pPr>
  </w:style>
  <w:style w:type="character" w:customStyle="1" w:styleId="PiedepginaCar">
    <w:name w:val="Pie de página Car"/>
    <w:basedOn w:val="Fuentedeprrafopredeter"/>
    <w:link w:val="Piedepgina"/>
    <w:uiPriority w:val="99"/>
    <w:rsid w:val="00A4261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BC"/>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408BC"/>
    <w:pPr>
      <w:ind w:left="720"/>
      <w:contextualSpacing/>
    </w:pPr>
    <w:rPr>
      <w:rFonts w:ascii="Cambria" w:eastAsia="MS Mincho" w:hAnsi="Cambria" w:cs="Times New Roman"/>
    </w:rPr>
  </w:style>
  <w:style w:type="character" w:styleId="Hipervnculo">
    <w:name w:val="Hyperlink"/>
    <w:basedOn w:val="Fuentedeprrafopredeter"/>
    <w:uiPriority w:val="99"/>
    <w:unhideWhenUsed/>
    <w:rsid w:val="00C408BC"/>
    <w:rPr>
      <w:color w:val="0000FF" w:themeColor="hyperlink"/>
      <w:u w:val="single"/>
    </w:rPr>
  </w:style>
  <w:style w:type="paragraph" w:styleId="Encabezado">
    <w:name w:val="header"/>
    <w:basedOn w:val="Normal"/>
    <w:link w:val="EncabezadoCar"/>
    <w:uiPriority w:val="99"/>
    <w:unhideWhenUsed/>
    <w:rsid w:val="00A42613"/>
    <w:pPr>
      <w:tabs>
        <w:tab w:val="center" w:pos="4536"/>
        <w:tab w:val="right" w:pos="9072"/>
      </w:tabs>
    </w:pPr>
  </w:style>
  <w:style w:type="character" w:customStyle="1" w:styleId="EncabezadoCar">
    <w:name w:val="Encabezado Car"/>
    <w:basedOn w:val="Fuentedeprrafopredeter"/>
    <w:link w:val="Encabezado"/>
    <w:uiPriority w:val="99"/>
    <w:rsid w:val="00A42613"/>
    <w:rPr>
      <w:lang w:val="en-US" w:eastAsia="en-US"/>
    </w:rPr>
  </w:style>
  <w:style w:type="paragraph" w:styleId="Piedepgina">
    <w:name w:val="footer"/>
    <w:basedOn w:val="Normal"/>
    <w:link w:val="PiedepginaCar"/>
    <w:uiPriority w:val="99"/>
    <w:unhideWhenUsed/>
    <w:rsid w:val="00A42613"/>
    <w:pPr>
      <w:tabs>
        <w:tab w:val="center" w:pos="4536"/>
        <w:tab w:val="right" w:pos="9072"/>
      </w:tabs>
    </w:pPr>
  </w:style>
  <w:style w:type="character" w:customStyle="1" w:styleId="PiedepginaCar">
    <w:name w:val="Pie de página Car"/>
    <w:basedOn w:val="Fuentedeprrafopredeter"/>
    <w:link w:val="Piedepgina"/>
    <w:uiPriority w:val="99"/>
    <w:rsid w:val="00A4261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lf@atmindex.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mindex.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10360</Characters>
  <Application>Microsoft Office Word</Application>
  <DocSecurity>0</DocSecurity>
  <Lines>86</Lines>
  <Paragraphs>24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Wolf Communicatie</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Wolf</dc:creator>
  <cp:lastModifiedBy>Amanda Romero</cp:lastModifiedBy>
  <cp:revision>2</cp:revision>
  <cp:lastPrinted>2014-11-04T20:51:00Z</cp:lastPrinted>
  <dcterms:created xsi:type="dcterms:W3CDTF">2014-11-17T15:37:00Z</dcterms:created>
  <dcterms:modified xsi:type="dcterms:W3CDTF">2014-11-17T15:37:00Z</dcterms:modified>
</cp:coreProperties>
</file>