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5C" w:rsidRPr="0078289D" w:rsidRDefault="001726C8" w:rsidP="0078289D">
      <w:pPr>
        <w:pStyle w:val="Cuerpo"/>
        <w:pBdr>
          <w:top w:val="none" w:sz="0" w:space="0" w:color="auto"/>
          <w:left w:val="none" w:sz="0" w:space="0" w:color="auto"/>
          <w:bottom w:val="none" w:sz="0" w:space="0" w:color="auto"/>
          <w:right w:val="none" w:sz="0" w:space="0" w:color="auto"/>
        </w:pBdr>
        <w:contextualSpacing/>
        <w:rPr>
          <w:rFonts w:ascii="Times New Roman" w:eastAsia="Times New Roman" w:cs="Times New Roman"/>
          <w:b/>
          <w:color w:val="auto"/>
          <w:sz w:val="28"/>
          <w:szCs w:val="28"/>
        </w:rPr>
      </w:pPr>
      <w:bookmarkStart w:id="0" w:name="_GoBack"/>
      <w:bookmarkEnd w:id="0"/>
      <w:r w:rsidRPr="0078289D">
        <w:rPr>
          <w:rFonts w:ascii="Times New Roman" w:eastAsia="Times New Roman" w:cs="Times New Roman"/>
          <w:b/>
          <w:color w:val="auto"/>
          <w:sz w:val="28"/>
          <w:szCs w:val="28"/>
        </w:rPr>
        <w:t>S</w:t>
      </w:r>
      <w:r w:rsidR="0078289D" w:rsidRPr="0078289D">
        <w:rPr>
          <w:rFonts w:ascii="Times New Roman" w:eastAsia="Times New Roman" w:cs="Times New Roman"/>
          <w:b/>
          <w:color w:val="auto"/>
          <w:sz w:val="28"/>
          <w:szCs w:val="28"/>
        </w:rPr>
        <w:t>entencia</w:t>
      </w:r>
      <w:r w:rsidRPr="0078289D">
        <w:rPr>
          <w:rFonts w:ascii="Times New Roman" w:eastAsia="Times New Roman" w:cs="Times New Roman"/>
          <w:b/>
          <w:color w:val="auto"/>
          <w:sz w:val="28"/>
          <w:szCs w:val="28"/>
        </w:rPr>
        <w:t xml:space="preserve"> C-</w:t>
      </w:r>
      <w:r w:rsidR="00F4681A" w:rsidRPr="0078289D">
        <w:rPr>
          <w:rFonts w:ascii="Times New Roman" w:eastAsia="Times New Roman" w:cs="Times New Roman"/>
          <w:b/>
          <w:color w:val="auto"/>
          <w:sz w:val="28"/>
          <w:szCs w:val="28"/>
        </w:rPr>
        <w:t>035</w:t>
      </w:r>
      <w:r w:rsidR="0078289D">
        <w:rPr>
          <w:rFonts w:ascii="Times New Roman" w:eastAsia="Times New Roman" w:cs="Times New Roman"/>
          <w:b/>
          <w:color w:val="auto"/>
          <w:sz w:val="28"/>
          <w:szCs w:val="28"/>
        </w:rPr>
        <w:t>/</w:t>
      </w:r>
      <w:r w:rsidR="00F4681A" w:rsidRPr="0078289D">
        <w:rPr>
          <w:rFonts w:ascii="Times New Roman" w:eastAsia="Times New Roman" w:cs="Times New Roman"/>
          <w:b/>
          <w:color w:val="auto"/>
          <w:sz w:val="28"/>
          <w:szCs w:val="28"/>
        </w:rPr>
        <w:t>16</w:t>
      </w:r>
    </w:p>
    <w:p w:rsidR="0078289D" w:rsidRDefault="0078289D" w:rsidP="0078289D">
      <w:pPr>
        <w:pStyle w:val="CuerpoA"/>
        <w:pBdr>
          <w:top w:val="none" w:sz="0" w:space="0" w:color="auto"/>
          <w:left w:val="none" w:sz="0" w:space="0" w:color="auto"/>
          <w:bottom w:val="none" w:sz="0" w:space="0" w:color="auto"/>
          <w:right w:val="none" w:sz="0" w:space="0" w:color="auto"/>
        </w:pBdr>
        <w:ind w:left="3119"/>
        <w:contextualSpacing/>
        <w:jc w:val="both"/>
        <w:rPr>
          <w:b/>
          <w:color w:val="auto"/>
          <w:sz w:val="28"/>
          <w:szCs w:val="28"/>
        </w:rPr>
      </w:pPr>
    </w:p>
    <w:p w:rsidR="0078289D" w:rsidRDefault="0078289D" w:rsidP="0078289D">
      <w:pPr>
        <w:pStyle w:val="CuerpoA"/>
        <w:pBdr>
          <w:top w:val="none" w:sz="0" w:space="0" w:color="auto"/>
          <w:left w:val="none" w:sz="0" w:space="0" w:color="auto"/>
          <w:bottom w:val="none" w:sz="0" w:space="0" w:color="auto"/>
          <w:right w:val="none" w:sz="0" w:space="0" w:color="auto"/>
        </w:pBdr>
        <w:ind w:left="3119"/>
        <w:contextualSpacing/>
        <w:jc w:val="both"/>
        <w:rPr>
          <w:b/>
          <w:color w:val="auto"/>
          <w:sz w:val="28"/>
          <w:szCs w:val="28"/>
        </w:rPr>
      </w:pPr>
    </w:p>
    <w:p w:rsidR="00A8045C" w:rsidRPr="0078289D" w:rsidRDefault="00A8045C"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r w:rsidRPr="0078289D">
        <w:rPr>
          <w:color w:val="auto"/>
          <w:sz w:val="28"/>
          <w:szCs w:val="28"/>
        </w:rPr>
        <w:t>Referencia:</w:t>
      </w:r>
      <w:r w:rsidR="0078289D" w:rsidRPr="0078289D">
        <w:rPr>
          <w:color w:val="auto"/>
          <w:sz w:val="28"/>
          <w:szCs w:val="28"/>
        </w:rPr>
        <w:t xml:space="preserve"> e</w:t>
      </w:r>
      <w:r w:rsidRPr="0078289D">
        <w:rPr>
          <w:color w:val="auto"/>
          <w:sz w:val="28"/>
          <w:szCs w:val="28"/>
        </w:rPr>
        <w:t xml:space="preserve">xpediente </w:t>
      </w:r>
      <w:r w:rsidR="00741FAA" w:rsidRPr="0078289D">
        <w:rPr>
          <w:color w:val="auto"/>
          <w:sz w:val="28"/>
          <w:szCs w:val="28"/>
        </w:rPr>
        <w:t>D-</w:t>
      </w:r>
      <w:r w:rsidR="00F85F70" w:rsidRPr="0078289D">
        <w:rPr>
          <w:color w:val="auto"/>
          <w:sz w:val="28"/>
          <w:szCs w:val="28"/>
        </w:rPr>
        <w:t>10864</w:t>
      </w:r>
    </w:p>
    <w:p w:rsidR="00A8045C" w:rsidRPr="0078289D" w:rsidRDefault="00A8045C"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p>
    <w:p w:rsidR="00A8045C" w:rsidRPr="0078289D" w:rsidRDefault="007063A4"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r w:rsidRPr="0078289D">
        <w:rPr>
          <w:color w:val="auto"/>
          <w:sz w:val="28"/>
          <w:szCs w:val="28"/>
        </w:rPr>
        <w:t xml:space="preserve">Asunto: </w:t>
      </w:r>
      <w:r w:rsidR="00B57D09" w:rsidRPr="0078289D">
        <w:rPr>
          <w:color w:val="auto"/>
          <w:sz w:val="28"/>
          <w:szCs w:val="28"/>
        </w:rPr>
        <w:t xml:space="preserve">Demanda de inconstitucionalidad </w:t>
      </w:r>
      <w:r w:rsidR="00F85F70" w:rsidRPr="0078289D">
        <w:rPr>
          <w:color w:val="auto"/>
          <w:sz w:val="28"/>
          <w:szCs w:val="28"/>
        </w:rPr>
        <w:t>contra el artículo 108 de la Ley 1450 de 2011, por la cual se aprueba el Plan Nacional de Desarrollo 2010-2014; y contra los artículos 20, 49, 50 (parcial), 51, 52 (parcial) y el parágrafo primero (parcial) del artículo 173 de la Ley 1753 de 2015, por la cual se aprueba el Plan Na</w:t>
      </w:r>
      <w:r w:rsidRPr="0078289D">
        <w:rPr>
          <w:color w:val="auto"/>
          <w:sz w:val="28"/>
          <w:szCs w:val="28"/>
        </w:rPr>
        <w:t>cional de Desarrollo 2014-2018</w:t>
      </w:r>
    </w:p>
    <w:p w:rsidR="00A8045C" w:rsidRPr="0078289D" w:rsidRDefault="00A8045C"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p>
    <w:p w:rsidR="00A8045C" w:rsidRPr="0078289D" w:rsidRDefault="00C51DC2"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r w:rsidRPr="0078289D">
        <w:rPr>
          <w:color w:val="auto"/>
          <w:sz w:val="28"/>
          <w:szCs w:val="28"/>
        </w:rPr>
        <w:t xml:space="preserve">Demandantes: </w:t>
      </w:r>
      <w:r w:rsidR="00D81A04" w:rsidRPr="0078289D">
        <w:rPr>
          <w:color w:val="auto"/>
          <w:sz w:val="28"/>
          <w:szCs w:val="28"/>
        </w:rPr>
        <w:t>A</w:t>
      </w:r>
      <w:r w:rsidR="007063A4" w:rsidRPr="0078289D">
        <w:rPr>
          <w:color w:val="auto"/>
          <w:sz w:val="28"/>
          <w:szCs w:val="28"/>
        </w:rPr>
        <w:t>lberto Castilla Salazar y otros</w:t>
      </w:r>
    </w:p>
    <w:p w:rsidR="00D81A04" w:rsidRPr="0078289D" w:rsidRDefault="00D81A04"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p>
    <w:p w:rsidR="00A8045C" w:rsidRPr="0078289D" w:rsidRDefault="00A8045C"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r w:rsidRPr="0078289D">
        <w:rPr>
          <w:color w:val="auto"/>
          <w:sz w:val="28"/>
          <w:szCs w:val="28"/>
        </w:rPr>
        <w:t xml:space="preserve">Magistrada </w:t>
      </w:r>
      <w:r w:rsidR="0078289D" w:rsidRPr="0078289D">
        <w:rPr>
          <w:color w:val="auto"/>
          <w:sz w:val="28"/>
          <w:szCs w:val="28"/>
        </w:rPr>
        <w:t>Ponente</w:t>
      </w:r>
      <w:r w:rsidRPr="0078289D">
        <w:rPr>
          <w:color w:val="auto"/>
          <w:sz w:val="28"/>
          <w:szCs w:val="28"/>
        </w:rPr>
        <w:t xml:space="preserve">: </w:t>
      </w:r>
    </w:p>
    <w:p w:rsidR="00A8045C" w:rsidRPr="0078289D" w:rsidRDefault="00A8045C" w:rsidP="0078289D">
      <w:pPr>
        <w:pStyle w:val="CuerpoA"/>
        <w:pBdr>
          <w:top w:val="none" w:sz="0" w:space="0" w:color="auto"/>
          <w:left w:val="none" w:sz="0" w:space="0" w:color="auto"/>
          <w:bottom w:val="none" w:sz="0" w:space="0" w:color="auto"/>
          <w:right w:val="none" w:sz="0" w:space="0" w:color="auto"/>
        </w:pBdr>
        <w:ind w:left="3969"/>
        <w:contextualSpacing/>
        <w:jc w:val="both"/>
        <w:rPr>
          <w:color w:val="auto"/>
          <w:sz w:val="28"/>
          <w:szCs w:val="28"/>
        </w:rPr>
      </w:pPr>
      <w:r w:rsidRPr="0078289D">
        <w:rPr>
          <w:color w:val="auto"/>
          <w:sz w:val="28"/>
          <w:szCs w:val="28"/>
        </w:rPr>
        <w:t>GLORIA STELLA ORTIZ DELGADO</w:t>
      </w:r>
    </w:p>
    <w:p w:rsidR="00A8045C" w:rsidRPr="0078289D" w:rsidRDefault="00A8045C" w:rsidP="0078289D">
      <w:pPr>
        <w:pStyle w:val="Textoindependiente3"/>
        <w:pBdr>
          <w:top w:val="none" w:sz="0" w:space="0" w:color="auto"/>
          <w:left w:val="none" w:sz="0" w:space="0" w:color="auto"/>
          <w:bottom w:val="none" w:sz="0" w:space="0" w:color="auto"/>
          <w:right w:val="none" w:sz="0" w:space="0" w:color="auto"/>
        </w:pBdr>
        <w:contextualSpacing/>
        <w:rPr>
          <w:color w:val="auto"/>
        </w:rPr>
      </w:pPr>
    </w:p>
    <w:p w:rsidR="00C5285B" w:rsidRPr="0078289D" w:rsidRDefault="00C5285B" w:rsidP="0078289D">
      <w:pPr>
        <w:pStyle w:val="Textoindependiente3"/>
        <w:pBdr>
          <w:top w:val="none" w:sz="0" w:space="0" w:color="auto"/>
          <w:left w:val="none" w:sz="0" w:space="0" w:color="auto"/>
          <w:bottom w:val="none" w:sz="0" w:space="0" w:color="auto"/>
          <w:right w:val="none" w:sz="0" w:space="0" w:color="auto"/>
        </w:pBdr>
        <w:contextualSpacing/>
        <w:rPr>
          <w:color w:val="auto"/>
        </w:rPr>
      </w:pPr>
    </w:p>
    <w:p w:rsidR="00A8045C" w:rsidRPr="0078289D" w:rsidRDefault="00A8045C" w:rsidP="0078289D">
      <w:pPr>
        <w:pStyle w:val="Textoindependiente3"/>
        <w:pBdr>
          <w:top w:val="none" w:sz="0" w:space="0" w:color="auto"/>
          <w:left w:val="none" w:sz="0" w:space="0" w:color="auto"/>
          <w:bottom w:val="none" w:sz="0" w:space="0" w:color="auto"/>
          <w:right w:val="none" w:sz="0" w:space="0" w:color="auto"/>
        </w:pBdr>
        <w:contextualSpacing/>
        <w:rPr>
          <w:color w:val="auto"/>
        </w:rPr>
      </w:pPr>
      <w:r w:rsidRPr="0078289D">
        <w:rPr>
          <w:rFonts w:eastAsia="Arial Unicode MS"/>
          <w:color w:val="auto"/>
        </w:rPr>
        <w:t xml:space="preserve">Bogotá, D. C., </w:t>
      </w:r>
      <w:r w:rsidR="00A958CF" w:rsidRPr="0078289D">
        <w:rPr>
          <w:rFonts w:eastAsia="Arial Unicode MS"/>
          <w:color w:val="auto"/>
        </w:rPr>
        <w:t>ocho</w:t>
      </w:r>
      <w:r w:rsidR="0029552A" w:rsidRPr="0078289D">
        <w:rPr>
          <w:rFonts w:eastAsia="Arial Unicode MS"/>
          <w:color w:val="auto"/>
        </w:rPr>
        <w:t xml:space="preserve"> (8) de febrero </w:t>
      </w:r>
      <w:r w:rsidRPr="0078289D">
        <w:rPr>
          <w:color w:val="auto"/>
        </w:rPr>
        <w:t xml:space="preserve">de dos mil </w:t>
      </w:r>
      <w:r w:rsidR="0029552A" w:rsidRPr="0078289D">
        <w:rPr>
          <w:color w:val="auto"/>
        </w:rPr>
        <w:t>dieciséis</w:t>
      </w:r>
      <w:r w:rsidRPr="0078289D">
        <w:rPr>
          <w:color w:val="auto"/>
        </w:rPr>
        <w:t xml:space="preserve"> (201</w:t>
      </w:r>
      <w:r w:rsidR="0029552A" w:rsidRPr="0078289D">
        <w:rPr>
          <w:color w:val="auto"/>
        </w:rPr>
        <w:t>6</w:t>
      </w:r>
      <w:r w:rsidRPr="0078289D">
        <w:rPr>
          <w:color w:val="auto"/>
        </w:rPr>
        <w:t>).</w:t>
      </w:r>
    </w:p>
    <w:p w:rsidR="00A8045C" w:rsidRPr="0078289D" w:rsidRDefault="00A8045C"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A8045C" w:rsidRPr="0078289D" w:rsidRDefault="001A69F4"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r w:rsidRPr="0078289D">
        <w:rPr>
          <w:color w:val="auto"/>
          <w:sz w:val="28"/>
          <w:szCs w:val="28"/>
        </w:rPr>
        <w:t xml:space="preserve">La Sala Plena de la Corte Constitucional, integrada por </w:t>
      </w:r>
      <w:r w:rsidR="00B56E97" w:rsidRPr="0078289D">
        <w:rPr>
          <w:color w:val="auto"/>
          <w:sz w:val="28"/>
          <w:szCs w:val="28"/>
        </w:rPr>
        <w:t>la Magistrada</w:t>
      </w:r>
      <w:r w:rsidRPr="0078289D">
        <w:rPr>
          <w:color w:val="auto"/>
          <w:sz w:val="28"/>
          <w:szCs w:val="28"/>
        </w:rPr>
        <w:t xml:space="preserve"> María Victoria Calle Correa, </w:t>
      </w:r>
      <w:r w:rsidR="00E07226" w:rsidRPr="0078289D">
        <w:rPr>
          <w:color w:val="auto"/>
          <w:sz w:val="28"/>
          <w:szCs w:val="28"/>
        </w:rPr>
        <w:t xml:space="preserve">quien la preside, </w:t>
      </w:r>
      <w:r w:rsidR="00B56E97" w:rsidRPr="0078289D">
        <w:rPr>
          <w:color w:val="auto"/>
          <w:sz w:val="28"/>
          <w:szCs w:val="28"/>
        </w:rPr>
        <w:t xml:space="preserve">los </w:t>
      </w:r>
      <w:r w:rsidR="006019D6" w:rsidRPr="0078289D">
        <w:rPr>
          <w:color w:val="auto"/>
          <w:sz w:val="28"/>
          <w:szCs w:val="28"/>
        </w:rPr>
        <w:t>M</w:t>
      </w:r>
      <w:r w:rsidR="00480338" w:rsidRPr="0078289D">
        <w:rPr>
          <w:color w:val="auto"/>
          <w:sz w:val="28"/>
          <w:szCs w:val="28"/>
        </w:rPr>
        <w:t>agistrados</w:t>
      </w:r>
      <w:r w:rsidR="007063A4" w:rsidRPr="0078289D">
        <w:rPr>
          <w:color w:val="auto"/>
          <w:sz w:val="28"/>
          <w:szCs w:val="28"/>
        </w:rPr>
        <w:t>,</w:t>
      </w:r>
      <w:r w:rsidRPr="0078289D">
        <w:rPr>
          <w:color w:val="auto"/>
          <w:sz w:val="28"/>
          <w:szCs w:val="28"/>
        </w:rPr>
        <w:t xml:space="preserve"> Luis Guillermo Guerrero Pérez, </w:t>
      </w:r>
      <w:r w:rsidR="000743A6" w:rsidRPr="0078289D">
        <w:rPr>
          <w:color w:val="auto"/>
          <w:sz w:val="28"/>
          <w:szCs w:val="28"/>
        </w:rPr>
        <w:t xml:space="preserve">Alejandro Linares Cantillo, </w:t>
      </w:r>
      <w:r w:rsidRPr="0078289D">
        <w:rPr>
          <w:color w:val="auto"/>
          <w:sz w:val="28"/>
          <w:szCs w:val="28"/>
        </w:rPr>
        <w:t>G</w:t>
      </w:r>
      <w:r w:rsidR="00DF589C" w:rsidRPr="0078289D">
        <w:rPr>
          <w:color w:val="auto"/>
          <w:sz w:val="28"/>
          <w:szCs w:val="28"/>
        </w:rPr>
        <w:t>abriel Eduardo Mendoza Martelo</w:t>
      </w:r>
      <w:r w:rsidRPr="0078289D">
        <w:rPr>
          <w:color w:val="auto"/>
          <w:sz w:val="28"/>
          <w:szCs w:val="28"/>
        </w:rPr>
        <w:t xml:space="preserve">, </w:t>
      </w:r>
      <w:r w:rsidR="00E07226" w:rsidRPr="0078289D">
        <w:rPr>
          <w:color w:val="auto"/>
          <w:sz w:val="28"/>
          <w:szCs w:val="28"/>
        </w:rPr>
        <w:t xml:space="preserve">Gloria Stella Ortiz Delgado, </w:t>
      </w:r>
      <w:r w:rsidRPr="0078289D">
        <w:rPr>
          <w:color w:val="auto"/>
          <w:sz w:val="28"/>
          <w:szCs w:val="28"/>
        </w:rPr>
        <w:t xml:space="preserve">Jorge Iván Palacio Palacio, Jorge Ignacio Pretelt Chaljub, </w:t>
      </w:r>
      <w:r w:rsidR="00DF589C" w:rsidRPr="0078289D">
        <w:rPr>
          <w:color w:val="auto"/>
          <w:sz w:val="28"/>
          <w:szCs w:val="28"/>
        </w:rPr>
        <w:t>Alberto Rojas Ríos</w:t>
      </w:r>
      <w:r w:rsidRPr="0078289D">
        <w:rPr>
          <w:color w:val="auto"/>
          <w:sz w:val="28"/>
          <w:szCs w:val="28"/>
        </w:rPr>
        <w:t xml:space="preserve"> y Luis Ernesto Vargas Silva, en cumplimiento de sus atribuciones constitucionales y de los requisitos y trámite establecidos en el Decreto 2067 de 1991, ha proferido la siguiente</w:t>
      </w:r>
    </w:p>
    <w:p w:rsidR="00A8045C" w:rsidRPr="0078289D" w:rsidRDefault="00A8045C"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A8045C" w:rsidRPr="0078289D" w:rsidRDefault="00A8045C" w:rsidP="0078289D">
      <w:pPr>
        <w:pStyle w:val="Ttulo5"/>
        <w:pBdr>
          <w:top w:val="none" w:sz="0" w:space="0" w:color="auto"/>
          <w:left w:val="none" w:sz="0" w:space="0" w:color="auto"/>
          <w:bottom w:val="none" w:sz="0" w:space="0" w:color="auto"/>
          <w:right w:val="none" w:sz="0" w:space="0" w:color="auto"/>
        </w:pBdr>
        <w:tabs>
          <w:tab w:val="clear" w:pos="1843"/>
        </w:tabs>
        <w:contextualSpacing/>
        <w:rPr>
          <w:b/>
          <w:color w:val="auto"/>
        </w:rPr>
      </w:pPr>
      <w:r w:rsidRPr="0078289D">
        <w:rPr>
          <w:b/>
          <w:color w:val="auto"/>
        </w:rPr>
        <w:t>SENTENCIA</w:t>
      </w:r>
    </w:p>
    <w:p w:rsidR="00A8045C" w:rsidRPr="0078289D" w:rsidRDefault="00A8045C" w:rsidP="0078289D">
      <w:pPr>
        <w:pStyle w:val="CuerpoA"/>
        <w:pBdr>
          <w:top w:val="none" w:sz="0" w:space="0" w:color="auto"/>
          <w:left w:val="none" w:sz="0" w:space="0" w:color="auto"/>
          <w:bottom w:val="none" w:sz="0" w:space="0" w:color="auto"/>
          <w:right w:val="none" w:sz="0" w:space="0" w:color="auto"/>
        </w:pBdr>
        <w:contextualSpacing/>
        <w:jc w:val="center"/>
        <w:rPr>
          <w:color w:val="auto"/>
          <w:sz w:val="28"/>
          <w:szCs w:val="28"/>
        </w:rPr>
      </w:pPr>
    </w:p>
    <w:p w:rsidR="00A8045C" w:rsidRPr="0078289D" w:rsidRDefault="00A8045C" w:rsidP="0078289D">
      <w:pPr>
        <w:pStyle w:val="CuerpoA"/>
        <w:pBdr>
          <w:top w:val="none" w:sz="0" w:space="0" w:color="auto"/>
          <w:left w:val="none" w:sz="0" w:space="0" w:color="auto"/>
          <w:bottom w:val="none" w:sz="0" w:space="0" w:color="auto"/>
          <w:right w:val="none" w:sz="0" w:space="0" w:color="auto"/>
        </w:pBdr>
        <w:tabs>
          <w:tab w:val="left" w:pos="2880"/>
        </w:tabs>
        <w:contextualSpacing/>
        <w:rPr>
          <w:b/>
          <w:color w:val="auto"/>
          <w:sz w:val="28"/>
          <w:szCs w:val="28"/>
        </w:rPr>
      </w:pPr>
      <w:r w:rsidRPr="0078289D">
        <w:rPr>
          <w:b/>
          <w:color w:val="auto"/>
          <w:sz w:val="28"/>
          <w:szCs w:val="28"/>
        </w:rPr>
        <w:t>I. ANTECEDENTES</w:t>
      </w:r>
    </w:p>
    <w:p w:rsidR="00A8045C" w:rsidRPr="0078289D" w:rsidRDefault="00A8045C"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A8045C" w:rsidRPr="0078289D" w:rsidRDefault="00457D36" w:rsidP="0078289D">
      <w:pPr>
        <w:pStyle w:val="Textoindependiente3"/>
        <w:pBdr>
          <w:top w:val="none" w:sz="0" w:space="0" w:color="auto"/>
          <w:left w:val="none" w:sz="0" w:space="0" w:color="auto"/>
          <w:bottom w:val="none" w:sz="0" w:space="0" w:color="auto"/>
          <w:right w:val="none" w:sz="0" w:space="0" w:color="auto"/>
        </w:pBdr>
        <w:contextualSpacing/>
      </w:pPr>
      <w:r w:rsidRPr="0078289D">
        <w:t>En ejercicio de la acción pública</w:t>
      </w:r>
      <w:r w:rsidR="0005003C" w:rsidRPr="0078289D">
        <w:t xml:space="preserve"> de inconstitucionalidad</w:t>
      </w:r>
      <w:r w:rsidRPr="0078289D">
        <w:t xml:space="preserve"> consagrada en el artículo 241 de la Constitución Política los ciudadanos </w:t>
      </w:r>
      <w:r w:rsidR="00D52F30" w:rsidRPr="0078289D">
        <w:rPr>
          <w:color w:val="auto"/>
        </w:rPr>
        <w:t>Alberto Castilla Salazar, Alirio Uribe Muñoz, Iván Cepeda Castro y Víctor Javier Correa Vélez, congresistas del Polo Democrático Alternativo;</w:t>
      </w:r>
      <w:r w:rsidR="000244D8" w:rsidRPr="0078289D">
        <w:rPr>
          <w:color w:val="auto"/>
        </w:rPr>
        <w:t xml:space="preserve"> Alirio García, </w:t>
      </w:r>
      <w:r w:rsidR="000244D8" w:rsidRPr="0078289D">
        <w:t xml:space="preserve">Eduardo León Navarro, Jimmy </w:t>
      </w:r>
      <w:r w:rsidR="00050DD4" w:rsidRPr="0078289D">
        <w:t>Alexánder</w:t>
      </w:r>
      <w:r w:rsidR="000244D8" w:rsidRPr="0078289D">
        <w:t xml:space="preserve"> Moreno, César Hernán Jerez Martínez, Lu</w:t>
      </w:r>
      <w:r w:rsidR="00D555DC" w:rsidRPr="0078289D">
        <w:t>z</w:t>
      </w:r>
      <w:r w:rsidR="000244D8" w:rsidRPr="0078289D">
        <w:t xml:space="preserve"> Perly Córdoba Mosquera, </w:t>
      </w:r>
      <w:r w:rsidR="0016232E" w:rsidRPr="0078289D">
        <w:t xml:space="preserve">Luis Ernesto Martínez </w:t>
      </w:r>
      <w:r w:rsidR="00601D32" w:rsidRPr="0078289D">
        <w:t>Santodomingo, Vladimir Angulo Cuero, Simón Eliécer Feria, Tarsicio Rivera Muñoz, Marly Yiseth Torres Guzmán, Gonzalo Wohlmeyer Gómez, Alexandra Bermúdez Osorio</w:t>
      </w:r>
      <w:r w:rsidR="00FA0796" w:rsidRPr="0078289D">
        <w:t xml:space="preserve">, </w:t>
      </w:r>
      <w:r w:rsidR="000743A6" w:rsidRPr="0078289D">
        <w:t xml:space="preserve">quienes se identifican como </w:t>
      </w:r>
      <w:r w:rsidR="00FA0796" w:rsidRPr="0078289D">
        <w:t>integrantes de la Cumbre Agraria, Campesina, Étnica y Popular;</w:t>
      </w:r>
      <w:r w:rsidR="00122957" w:rsidRPr="0078289D">
        <w:t xml:space="preserve"> y las ciudadanas</w:t>
      </w:r>
      <w:r w:rsidR="00FA0796" w:rsidRPr="0078289D">
        <w:t xml:space="preserve"> Ana Jimena Bautista Revelo, Viviana Tacha Gutiérrez y Adriana</w:t>
      </w:r>
      <w:r w:rsidR="005A4323" w:rsidRPr="0078289D">
        <w:t xml:space="preserve"> P</w:t>
      </w:r>
      <w:r w:rsidR="00FA0796" w:rsidRPr="0078289D">
        <w:t>atricia Fuentes López</w:t>
      </w:r>
      <w:r w:rsidR="0016232E" w:rsidRPr="0078289D">
        <w:t xml:space="preserve">, </w:t>
      </w:r>
      <w:r w:rsidRPr="0078289D">
        <w:t xml:space="preserve">presentaron ante esta Corporación demanda de inconstitucionalidad contra </w:t>
      </w:r>
      <w:r w:rsidR="00287C09" w:rsidRPr="0078289D">
        <w:rPr>
          <w:color w:val="auto"/>
        </w:rPr>
        <w:t>el artículo 108 de la Ley 1450 de 2011, por la cual se aprueba el Plan Nacional de Desarrollo 2010-</w:t>
      </w:r>
      <w:r w:rsidR="00287C09" w:rsidRPr="0078289D">
        <w:rPr>
          <w:color w:val="auto"/>
        </w:rPr>
        <w:lastRenderedPageBreak/>
        <w:t>2014; y contra los artículos 20, 49, 50 (parcial), 51, 52 (parcial) y el parágrafo primero (parcial) del artículo 173 de la Ley 1753 del 9 de junio de 2015, por la cual se aprueba el Plan Nacional de Desarrollo 2014-2018.</w:t>
      </w:r>
    </w:p>
    <w:p w:rsidR="00457D36" w:rsidRPr="0078289D" w:rsidRDefault="00457D36" w:rsidP="0078289D">
      <w:pPr>
        <w:pStyle w:val="Textoindependiente3"/>
        <w:pBdr>
          <w:top w:val="none" w:sz="0" w:space="0" w:color="auto"/>
          <w:left w:val="none" w:sz="0" w:space="0" w:color="auto"/>
          <w:bottom w:val="none" w:sz="0" w:space="0" w:color="auto"/>
          <w:right w:val="none" w:sz="0" w:space="0" w:color="auto"/>
        </w:pBdr>
        <w:contextualSpacing/>
      </w:pPr>
    </w:p>
    <w:p w:rsidR="005517C5" w:rsidRPr="0078289D" w:rsidRDefault="00966C0F"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r w:rsidRPr="0078289D">
        <w:rPr>
          <w:sz w:val="28"/>
          <w:szCs w:val="28"/>
        </w:rPr>
        <w:t xml:space="preserve">La demanda fue admitida </w:t>
      </w:r>
      <w:r w:rsidR="00333ABA" w:rsidRPr="0078289D">
        <w:rPr>
          <w:sz w:val="28"/>
          <w:szCs w:val="28"/>
        </w:rPr>
        <w:t>mediante</w:t>
      </w:r>
      <w:r w:rsidRPr="0078289D">
        <w:rPr>
          <w:sz w:val="28"/>
          <w:szCs w:val="28"/>
        </w:rPr>
        <w:t xml:space="preserve"> auto del </w:t>
      </w:r>
      <w:r w:rsidR="00EA5F8F" w:rsidRPr="0078289D">
        <w:rPr>
          <w:sz w:val="28"/>
          <w:szCs w:val="28"/>
        </w:rPr>
        <w:t>13 de julio</w:t>
      </w:r>
      <w:r w:rsidR="00C244FC" w:rsidRPr="0078289D">
        <w:rPr>
          <w:sz w:val="28"/>
          <w:szCs w:val="28"/>
        </w:rPr>
        <w:t xml:space="preserve"> de 2015</w:t>
      </w:r>
      <w:r w:rsidR="000C10DF" w:rsidRPr="0078289D">
        <w:rPr>
          <w:sz w:val="28"/>
          <w:szCs w:val="28"/>
        </w:rPr>
        <w:t xml:space="preserve">, </w:t>
      </w:r>
      <w:r w:rsidRPr="0078289D">
        <w:rPr>
          <w:sz w:val="28"/>
          <w:szCs w:val="28"/>
        </w:rPr>
        <w:t>en el que se comunicó</w:t>
      </w:r>
      <w:r w:rsidR="00E903E9" w:rsidRPr="0078289D">
        <w:rPr>
          <w:sz w:val="28"/>
          <w:szCs w:val="28"/>
        </w:rPr>
        <w:t xml:space="preserve"> la</w:t>
      </w:r>
      <w:r w:rsidRPr="0078289D">
        <w:rPr>
          <w:sz w:val="28"/>
          <w:szCs w:val="28"/>
        </w:rPr>
        <w:t xml:space="preserve"> iniciación del proceso al Presidente de la República, al Presidente </w:t>
      </w:r>
      <w:r w:rsidR="007D4CCF" w:rsidRPr="0078289D">
        <w:rPr>
          <w:sz w:val="28"/>
          <w:szCs w:val="28"/>
        </w:rPr>
        <w:t>del Congreso, a</w:t>
      </w:r>
      <w:r w:rsidR="00761CBF" w:rsidRPr="0078289D">
        <w:rPr>
          <w:sz w:val="28"/>
          <w:szCs w:val="28"/>
        </w:rPr>
        <w:t xml:space="preserve">l vicepresidente de la República, a los Ministros </w:t>
      </w:r>
      <w:r w:rsidR="00EB2A6C" w:rsidRPr="0078289D">
        <w:rPr>
          <w:sz w:val="28"/>
          <w:szCs w:val="28"/>
        </w:rPr>
        <w:t>de la Presidencia, de Minas y Energía del Interior, de Hacienda, de Agricultura y Desarrollo Rural de Ambiente, al Gerente</w:t>
      </w:r>
      <w:r w:rsidR="005517C5" w:rsidRPr="0078289D">
        <w:rPr>
          <w:sz w:val="28"/>
          <w:szCs w:val="28"/>
        </w:rPr>
        <w:t xml:space="preserve"> de</w:t>
      </w:r>
      <w:r w:rsidR="0093214C" w:rsidRPr="0078289D">
        <w:rPr>
          <w:sz w:val="28"/>
          <w:szCs w:val="28"/>
        </w:rPr>
        <w:t>l Instituto Colombiano de Desarrollo Rural, al Presidente de la Agencia Nacional de Minería, al Director de la Autoridad Nacional de Licencias Ambientales, a la Directora de Instituto Alexander von Humboldt, de</w:t>
      </w:r>
      <w:r w:rsidR="005517C5" w:rsidRPr="0078289D">
        <w:rPr>
          <w:sz w:val="28"/>
          <w:szCs w:val="28"/>
        </w:rPr>
        <w:t xml:space="preserve"> conformidad con lo dispuesto en el artículo 11 del Decreto 2067 de 1991. </w:t>
      </w:r>
    </w:p>
    <w:p w:rsidR="005517C5" w:rsidRPr="0078289D" w:rsidRDefault="005517C5"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p>
    <w:p w:rsidR="005D69A8" w:rsidRPr="0078289D" w:rsidRDefault="00EE3A54"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r w:rsidRPr="0078289D">
        <w:rPr>
          <w:sz w:val="28"/>
          <w:szCs w:val="28"/>
        </w:rPr>
        <w:t>Así mismo</w:t>
      </w:r>
      <w:r w:rsidR="00966C0F" w:rsidRPr="0078289D">
        <w:rPr>
          <w:sz w:val="28"/>
          <w:szCs w:val="28"/>
        </w:rPr>
        <w:t xml:space="preserve">, </w:t>
      </w:r>
      <w:r w:rsidR="004C37C3" w:rsidRPr="0078289D">
        <w:rPr>
          <w:sz w:val="28"/>
          <w:szCs w:val="28"/>
        </w:rPr>
        <w:t xml:space="preserve">se ordenó la comunicación del proceso a </w:t>
      </w:r>
      <w:r w:rsidR="00BC53D1" w:rsidRPr="0078289D">
        <w:rPr>
          <w:sz w:val="28"/>
          <w:szCs w:val="28"/>
        </w:rPr>
        <w:t>la Asociación Nacional de Empresarios de Colombia ANDI</w:t>
      </w:r>
      <w:r w:rsidR="00937C94" w:rsidRPr="0078289D">
        <w:rPr>
          <w:sz w:val="28"/>
          <w:szCs w:val="28"/>
        </w:rPr>
        <w:t>, a las Facultades de Derecho de las Universidades de los Andes,</w:t>
      </w:r>
      <w:r w:rsidR="00A93D85" w:rsidRPr="0078289D">
        <w:rPr>
          <w:sz w:val="28"/>
          <w:szCs w:val="28"/>
        </w:rPr>
        <w:t xml:space="preserve"> El</w:t>
      </w:r>
      <w:r w:rsidR="00937C94" w:rsidRPr="0078289D">
        <w:rPr>
          <w:sz w:val="28"/>
          <w:szCs w:val="28"/>
        </w:rPr>
        <w:t xml:space="preserve"> Rosario, Externado de Colombia, Nacional de Colombia, de Antioquia, la UIS, de Caldas, de Nariño, e igualmente a la </w:t>
      </w:r>
      <w:r w:rsidR="00A93D85" w:rsidRPr="0078289D">
        <w:rPr>
          <w:sz w:val="28"/>
          <w:szCs w:val="28"/>
        </w:rPr>
        <w:t xml:space="preserve">Organización Nacional Indígena de Colombia – ONIC-, a la Asociación Nacional de Usuarios Campesinos – ANUC-, y a la Autoridad Nacional Afrocolombiana – ANAFRO. </w:t>
      </w:r>
    </w:p>
    <w:p w:rsidR="005D69A8" w:rsidRPr="0078289D" w:rsidRDefault="005D69A8"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p>
    <w:p w:rsidR="00BC53D1" w:rsidRPr="0078289D" w:rsidRDefault="005D69A8"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r w:rsidRPr="0078289D">
        <w:rPr>
          <w:sz w:val="28"/>
          <w:szCs w:val="28"/>
        </w:rPr>
        <w:t xml:space="preserve">También se solicitó al Director de Asuntos Indígenas y al Director de Comunidades Negras, Afrocolombianas, Raizales y Palenqueras del Ministerio del Interior que, dentro del término de intervención ciudadana, informaran si las normas objeto de la demanda de inconstitucionalidad habían sido </w:t>
      </w:r>
      <w:r w:rsidR="005E0873" w:rsidRPr="0078289D">
        <w:rPr>
          <w:sz w:val="28"/>
          <w:szCs w:val="28"/>
        </w:rPr>
        <w:t>objeto</w:t>
      </w:r>
      <w:r w:rsidR="00A87FA0" w:rsidRPr="0078289D">
        <w:rPr>
          <w:sz w:val="28"/>
          <w:szCs w:val="28"/>
        </w:rPr>
        <w:t xml:space="preserve"> d</w:t>
      </w:r>
      <w:r w:rsidRPr="0078289D">
        <w:rPr>
          <w:sz w:val="28"/>
          <w:szCs w:val="28"/>
        </w:rPr>
        <w:t xml:space="preserve">e consulta previa </w:t>
      </w:r>
      <w:r w:rsidR="007D04C2" w:rsidRPr="0078289D">
        <w:rPr>
          <w:sz w:val="28"/>
          <w:szCs w:val="28"/>
        </w:rPr>
        <w:t xml:space="preserve">con las comunidades indígenas, negras, afrocolombianas y raizales, y que enviaran el soporte documental de las respectivas consultas. </w:t>
      </w:r>
    </w:p>
    <w:p w:rsidR="00BC53D1" w:rsidRPr="0078289D" w:rsidRDefault="00BC53D1"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p>
    <w:p w:rsidR="00A8045C" w:rsidRPr="0078289D" w:rsidRDefault="00966C0F"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r w:rsidRPr="0078289D">
        <w:rPr>
          <w:sz w:val="28"/>
          <w:szCs w:val="28"/>
        </w:rPr>
        <w:t>Cumplidos los trámites constitucionales y legales propios de esta clase de juicios y previo concepto del Procurador General de la Nación, procede la Corte a decidir de fondo la demanda en referenci</w:t>
      </w:r>
      <w:r w:rsidR="00BC53D1" w:rsidRPr="0078289D">
        <w:rPr>
          <w:sz w:val="28"/>
          <w:szCs w:val="28"/>
        </w:rPr>
        <w:t>a.</w:t>
      </w:r>
    </w:p>
    <w:p w:rsidR="00C5285B" w:rsidRPr="0078289D" w:rsidRDefault="00C5285B" w:rsidP="0078289D">
      <w:pPr>
        <w:pStyle w:val="CuerpoA"/>
        <w:pBdr>
          <w:top w:val="none" w:sz="0" w:space="0" w:color="auto"/>
          <w:left w:val="none" w:sz="0" w:space="0" w:color="auto"/>
          <w:bottom w:val="none" w:sz="0" w:space="0" w:color="auto"/>
          <w:right w:val="none" w:sz="0" w:space="0" w:color="auto"/>
        </w:pBdr>
        <w:contextualSpacing/>
        <w:rPr>
          <w:b/>
          <w:sz w:val="28"/>
          <w:szCs w:val="28"/>
        </w:rPr>
      </w:pPr>
    </w:p>
    <w:p w:rsidR="000F050B" w:rsidRPr="0078289D" w:rsidRDefault="000F050B" w:rsidP="0078289D">
      <w:pPr>
        <w:pStyle w:val="CuerpoA"/>
        <w:pBdr>
          <w:top w:val="none" w:sz="0" w:space="0" w:color="auto"/>
          <w:left w:val="none" w:sz="0" w:space="0" w:color="auto"/>
          <w:bottom w:val="none" w:sz="0" w:space="0" w:color="auto"/>
          <w:right w:val="none" w:sz="0" w:space="0" w:color="auto"/>
        </w:pBdr>
        <w:contextualSpacing/>
        <w:rPr>
          <w:b/>
          <w:color w:val="auto"/>
          <w:sz w:val="28"/>
          <w:szCs w:val="28"/>
        </w:rPr>
      </w:pPr>
      <w:r w:rsidRPr="0078289D">
        <w:rPr>
          <w:b/>
          <w:color w:val="auto"/>
          <w:sz w:val="28"/>
          <w:szCs w:val="28"/>
        </w:rPr>
        <w:t>LA DEMANDA</w:t>
      </w:r>
    </w:p>
    <w:p w:rsidR="000F050B" w:rsidRPr="0078289D" w:rsidRDefault="000F050B" w:rsidP="0078289D">
      <w:pPr>
        <w:pStyle w:val="CuerpoA"/>
        <w:pBdr>
          <w:top w:val="none" w:sz="0" w:space="0" w:color="auto"/>
          <w:left w:val="none" w:sz="0" w:space="0" w:color="auto"/>
          <w:bottom w:val="none" w:sz="0" w:space="0" w:color="auto"/>
          <w:right w:val="none" w:sz="0" w:space="0" w:color="auto"/>
        </w:pBdr>
        <w:contextualSpacing/>
        <w:jc w:val="both"/>
        <w:rPr>
          <w:b/>
          <w:color w:val="auto"/>
          <w:sz w:val="28"/>
          <w:szCs w:val="28"/>
        </w:rPr>
      </w:pPr>
    </w:p>
    <w:p w:rsidR="00804813" w:rsidRPr="0078289D" w:rsidRDefault="002235B7"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r w:rsidRPr="0078289D">
        <w:rPr>
          <w:color w:val="auto"/>
          <w:sz w:val="28"/>
          <w:szCs w:val="28"/>
        </w:rPr>
        <w:t>Debido a la complejidad y a la extensión de los temas planteados</w:t>
      </w:r>
      <w:r w:rsidR="00343F90" w:rsidRPr="0078289D">
        <w:rPr>
          <w:color w:val="auto"/>
          <w:sz w:val="28"/>
          <w:szCs w:val="28"/>
        </w:rPr>
        <w:t>, y a la cantidad de disposiciones acusadas</w:t>
      </w:r>
      <w:r w:rsidR="001B071D" w:rsidRPr="0078289D">
        <w:rPr>
          <w:color w:val="auto"/>
          <w:sz w:val="28"/>
          <w:szCs w:val="28"/>
        </w:rPr>
        <w:t>,</w:t>
      </w:r>
      <w:r w:rsidRPr="0078289D">
        <w:rPr>
          <w:color w:val="auto"/>
          <w:sz w:val="28"/>
          <w:szCs w:val="28"/>
        </w:rPr>
        <w:t xml:space="preserve"> la Sala Plena </w:t>
      </w:r>
      <w:r w:rsidR="00AF5635" w:rsidRPr="0078289D">
        <w:rPr>
          <w:color w:val="auto"/>
          <w:sz w:val="28"/>
          <w:szCs w:val="28"/>
        </w:rPr>
        <w:t>dividirá el análisis</w:t>
      </w:r>
      <w:r w:rsidR="0087228B" w:rsidRPr="0078289D">
        <w:rPr>
          <w:color w:val="auto"/>
          <w:sz w:val="28"/>
          <w:szCs w:val="28"/>
        </w:rPr>
        <w:t xml:space="preserve"> </w:t>
      </w:r>
      <w:r w:rsidR="00AF5635" w:rsidRPr="0078289D">
        <w:rPr>
          <w:color w:val="auto"/>
          <w:sz w:val="28"/>
          <w:szCs w:val="28"/>
        </w:rPr>
        <w:t>de la demanda</w:t>
      </w:r>
      <w:r w:rsidR="000F050B" w:rsidRPr="0078289D">
        <w:rPr>
          <w:color w:val="auto"/>
          <w:sz w:val="28"/>
          <w:szCs w:val="28"/>
        </w:rPr>
        <w:t xml:space="preserve"> en tres secciones</w:t>
      </w:r>
      <w:r w:rsidR="00AF5635" w:rsidRPr="0078289D">
        <w:rPr>
          <w:color w:val="auto"/>
          <w:sz w:val="28"/>
          <w:szCs w:val="28"/>
        </w:rPr>
        <w:t xml:space="preserve"> principales, cada una de las cuales a su vez est</w:t>
      </w:r>
      <w:r w:rsidR="00343F90" w:rsidRPr="0078289D">
        <w:rPr>
          <w:color w:val="auto"/>
          <w:sz w:val="28"/>
          <w:szCs w:val="28"/>
        </w:rPr>
        <w:t>á</w:t>
      </w:r>
      <w:r w:rsidR="00AF5635" w:rsidRPr="0078289D">
        <w:rPr>
          <w:color w:val="auto"/>
          <w:sz w:val="28"/>
          <w:szCs w:val="28"/>
        </w:rPr>
        <w:t xml:space="preserve"> dividida </w:t>
      </w:r>
      <w:r w:rsidR="00343F90" w:rsidRPr="0078289D">
        <w:rPr>
          <w:color w:val="auto"/>
          <w:sz w:val="28"/>
          <w:szCs w:val="28"/>
        </w:rPr>
        <w:t>en varias partes</w:t>
      </w:r>
      <w:r w:rsidR="001B071D" w:rsidRPr="0078289D">
        <w:rPr>
          <w:color w:val="auto"/>
          <w:sz w:val="28"/>
          <w:szCs w:val="28"/>
        </w:rPr>
        <w:t xml:space="preserve">, </w:t>
      </w:r>
      <w:r w:rsidR="00532147" w:rsidRPr="0078289D">
        <w:rPr>
          <w:color w:val="auto"/>
          <w:sz w:val="28"/>
          <w:szCs w:val="28"/>
        </w:rPr>
        <w:t xml:space="preserve">en las cuales la Corte </w:t>
      </w:r>
      <w:r w:rsidR="001B071D" w:rsidRPr="0078289D">
        <w:rPr>
          <w:color w:val="auto"/>
          <w:sz w:val="28"/>
          <w:szCs w:val="28"/>
        </w:rPr>
        <w:t>aborda uno o más cargos de inconstitucionalidad</w:t>
      </w:r>
      <w:r w:rsidR="000F050B" w:rsidRPr="0078289D">
        <w:rPr>
          <w:color w:val="auto"/>
          <w:sz w:val="28"/>
          <w:szCs w:val="28"/>
        </w:rPr>
        <w:t xml:space="preserve">. En la </w:t>
      </w:r>
      <w:r w:rsidR="000F050B" w:rsidRPr="0078289D">
        <w:rPr>
          <w:b/>
          <w:color w:val="auto"/>
          <w:sz w:val="28"/>
          <w:szCs w:val="28"/>
        </w:rPr>
        <w:t>primera</w:t>
      </w:r>
      <w:r w:rsidR="00D633BE" w:rsidRPr="0078289D">
        <w:rPr>
          <w:b/>
          <w:color w:val="auto"/>
          <w:sz w:val="28"/>
          <w:szCs w:val="28"/>
        </w:rPr>
        <w:t xml:space="preserve"> sección</w:t>
      </w:r>
      <w:r w:rsidR="000F050B" w:rsidRPr="0078289D">
        <w:rPr>
          <w:color w:val="auto"/>
          <w:sz w:val="28"/>
          <w:szCs w:val="28"/>
        </w:rPr>
        <w:t>, se incluyen los</w:t>
      </w:r>
      <w:r w:rsidR="00DD2689" w:rsidRPr="0078289D">
        <w:rPr>
          <w:color w:val="auto"/>
          <w:sz w:val="28"/>
          <w:szCs w:val="28"/>
        </w:rPr>
        <w:t xml:space="preserve"> argumentos de inconstitucionalidad </w:t>
      </w:r>
      <w:r w:rsidR="00FA75A1" w:rsidRPr="0078289D">
        <w:rPr>
          <w:color w:val="auto"/>
          <w:sz w:val="28"/>
          <w:szCs w:val="28"/>
        </w:rPr>
        <w:t>que presentan los accionantes contra</w:t>
      </w:r>
      <w:r w:rsidR="00DD2689" w:rsidRPr="0078289D">
        <w:rPr>
          <w:color w:val="auto"/>
          <w:sz w:val="28"/>
          <w:szCs w:val="28"/>
        </w:rPr>
        <w:t xml:space="preserve"> los</w:t>
      </w:r>
      <w:r w:rsidR="000F050B" w:rsidRPr="0078289D">
        <w:rPr>
          <w:color w:val="auto"/>
          <w:sz w:val="28"/>
          <w:szCs w:val="28"/>
        </w:rPr>
        <w:t xml:space="preserve"> artículos 108 de la Ley 1450 de 2011 y 20 de la Ley 1753 de 2015, los cuales </w:t>
      </w:r>
      <w:r w:rsidR="000F050B" w:rsidRPr="0078289D">
        <w:rPr>
          <w:b/>
          <w:color w:val="auto"/>
          <w:sz w:val="28"/>
          <w:szCs w:val="28"/>
        </w:rPr>
        <w:t>crean y amplían la figura de las Áreas de Reserva Estratégicas Mineras</w:t>
      </w:r>
      <w:r w:rsidR="00307348" w:rsidRPr="0078289D">
        <w:rPr>
          <w:b/>
          <w:color w:val="auto"/>
          <w:sz w:val="28"/>
          <w:szCs w:val="28"/>
        </w:rPr>
        <w:t xml:space="preserve"> (AEM)</w:t>
      </w:r>
      <w:r w:rsidR="000F050B" w:rsidRPr="0078289D">
        <w:rPr>
          <w:color w:val="auto"/>
          <w:sz w:val="28"/>
          <w:szCs w:val="28"/>
        </w:rPr>
        <w:t xml:space="preserve">. </w:t>
      </w:r>
    </w:p>
    <w:p w:rsidR="00804813" w:rsidRPr="0078289D" w:rsidRDefault="00804813"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2A6D01" w:rsidRPr="0078289D" w:rsidRDefault="000F050B"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r w:rsidRPr="0078289D">
        <w:rPr>
          <w:color w:val="auto"/>
          <w:sz w:val="28"/>
          <w:szCs w:val="28"/>
        </w:rPr>
        <w:t xml:space="preserve">En la </w:t>
      </w:r>
      <w:r w:rsidRPr="0078289D">
        <w:rPr>
          <w:b/>
          <w:color w:val="auto"/>
          <w:sz w:val="28"/>
          <w:szCs w:val="28"/>
        </w:rPr>
        <w:t>segunda</w:t>
      </w:r>
      <w:r w:rsidRPr="0078289D">
        <w:rPr>
          <w:color w:val="auto"/>
          <w:sz w:val="28"/>
          <w:szCs w:val="28"/>
        </w:rPr>
        <w:t xml:space="preserve"> </w:t>
      </w:r>
      <w:r w:rsidRPr="0078289D">
        <w:rPr>
          <w:b/>
          <w:color w:val="auto"/>
          <w:sz w:val="28"/>
          <w:szCs w:val="28"/>
        </w:rPr>
        <w:t>sección</w:t>
      </w:r>
      <w:r w:rsidRPr="0078289D">
        <w:rPr>
          <w:color w:val="auto"/>
          <w:sz w:val="28"/>
          <w:szCs w:val="28"/>
        </w:rPr>
        <w:t xml:space="preserve"> se analizan los artículos 49, 50 (parcial), 51 y 52 (parcial) de la Ley 1753 de 2015, los cuales desarrollan </w:t>
      </w:r>
      <w:r w:rsidR="00712F44" w:rsidRPr="0078289D">
        <w:rPr>
          <w:color w:val="auto"/>
          <w:sz w:val="28"/>
          <w:szCs w:val="28"/>
        </w:rPr>
        <w:t>el</w:t>
      </w:r>
      <w:r w:rsidRPr="0078289D">
        <w:rPr>
          <w:b/>
          <w:color w:val="auto"/>
          <w:sz w:val="28"/>
          <w:szCs w:val="28"/>
        </w:rPr>
        <w:t xml:space="preserve"> </w:t>
      </w:r>
      <w:r w:rsidR="00712F44" w:rsidRPr="0078289D">
        <w:rPr>
          <w:b/>
          <w:color w:val="auto"/>
          <w:sz w:val="28"/>
          <w:szCs w:val="28"/>
        </w:rPr>
        <w:t xml:space="preserve">Sistema de </w:t>
      </w:r>
      <w:r w:rsidRPr="0078289D">
        <w:rPr>
          <w:b/>
          <w:color w:val="auto"/>
          <w:sz w:val="28"/>
          <w:szCs w:val="28"/>
        </w:rPr>
        <w:t>Proyectos de Interés Nacional</w:t>
      </w:r>
      <w:r w:rsidR="00712F44" w:rsidRPr="0078289D">
        <w:rPr>
          <w:b/>
          <w:color w:val="auto"/>
          <w:sz w:val="28"/>
          <w:szCs w:val="28"/>
        </w:rPr>
        <w:t xml:space="preserve"> y Estratégico</w:t>
      </w:r>
      <w:r w:rsidRPr="0078289D">
        <w:rPr>
          <w:b/>
          <w:color w:val="auto"/>
          <w:sz w:val="28"/>
          <w:szCs w:val="28"/>
        </w:rPr>
        <w:t xml:space="preserve"> (PINE)</w:t>
      </w:r>
      <w:r w:rsidRPr="0078289D">
        <w:rPr>
          <w:color w:val="auto"/>
          <w:sz w:val="28"/>
          <w:szCs w:val="28"/>
        </w:rPr>
        <w:t xml:space="preserve">. </w:t>
      </w:r>
    </w:p>
    <w:p w:rsidR="002A6D01" w:rsidRPr="0078289D" w:rsidRDefault="002A6D01"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0F050B" w:rsidRPr="0078289D" w:rsidRDefault="000F050B"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r w:rsidRPr="0078289D">
        <w:rPr>
          <w:color w:val="auto"/>
          <w:sz w:val="28"/>
          <w:szCs w:val="28"/>
        </w:rPr>
        <w:t xml:space="preserve">Finalmente, en la </w:t>
      </w:r>
      <w:r w:rsidRPr="0078289D">
        <w:rPr>
          <w:b/>
          <w:color w:val="auto"/>
          <w:sz w:val="28"/>
          <w:szCs w:val="28"/>
        </w:rPr>
        <w:t>tercera</w:t>
      </w:r>
      <w:r w:rsidRPr="0078289D">
        <w:rPr>
          <w:color w:val="auto"/>
          <w:sz w:val="28"/>
          <w:szCs w:val="28"/>
        </w:rPr>
        <w:t xml:space="preserve"> </w:t>
      </w:r>
      <w:r w:rsidRPr="0078289D">
        <w:rPr>
          <w:b/>
          <w:color w:val="auto"/>
          <w:sz w:val="28"/>
          <w:szCs w:val="28"/>
        </w:rPr>
        <w:t>sección</w:t>
      </w:r>
      <w:r w:rsidRPr="0078289D">
        <w:rPr>
          <w:color w:val="auto"/>
          <w:sz w:val="28"/>
          <w:szCs w:val="28"/>
        </w:rPr>
        <w:t xml:space="preserve"> se estudia</w:t>
      </w:r>
      <w:r w:rsidR="00D633BE" w:rsidRPr="0078289D">
        <w:rPr>
          <w:color w:val="auto"/>
          <w:sz w:val="28"/>
          <w:szCs w:val="28"/>
        </w:rPr>
        <w:t>n los cargos de</w:t>
      </w:r>
      <w:r w:rsidRPr="0078289D">
        <w:rPr>
          <w:color w:val="auto"/>
          <w:sz w:val="28"/>
          <w:szCs w:val="28"/>
        </w:rPr>
        <w:t xml:space="preserve"> </w:t>
      </w:r>
      <w:r w:rsidR="00D633BE" w:rsidRPr="0078289D">
        <w:rPr>
          <w:color w:val="auto"/>
          <w:sz w:val="28"/>
          <w:szCs w:val="28"/>
        </w:rPr>
        <w:t>in</w:t>
      </w:r>
      <w:r w:rsidRPr="0078289D">
        <w:rPr>
          <w:color w:val="auto"/>
          <w:sz w:val="28"/>
          <w:szCs w:val="28"/>
        </w:rPr>
        <w:t xml:space="preserve">constitucionalidad </w:t>
      </w:r>
      <w:r w:rsidR="00D633BE" w:rsidRPr="0078289D">
        <w:rPr>
          <w:color w:val="auto"/>
          <w:sz w:val="28"/>
          <w:szCs w:val="28"/>
        </w:rPr>
        <w:t xml:space="preserve">planteados contra </w:t>
      </w:r>
      <w:r w:rsidRPr="0078289D">
        <w:rPr>
          <w:color w:val="auto"/>
          <w:sz w:val="28"/>
          <w:szCs w:val="28"/>
        </w:rPr>
        <w:t xml:space="preserve">el parágrafo del artículo 173 de la Ley 1753 de 2015, </w:t>
      </w:r>
      <w:r w:rsidR="00D633BE" w:rsidRPr="0078289D">
        <w:rPr>
          <w:color w:val="auto"/>
          <w:sz w:val="28"/>
          <w:szCs w:val="28"/>
        </w:rPr>
        <w:t xml:space="preserve">que </w:t>
      </w:r>
      <w:r w:rsidRPr="0078289D">
        <w:rPr>
          <w:color w:val="auto"/>
          <w:sz w:val="28"/>
          <w:szCs w:val="28"/>
        </w:rPr>
        <w:t xml:space="preserve">regula las </w:t>
      </w:r>
      <w:r w:rsidRPr="0078289D">
        <w:rPr>
          <w:b/>
          <w:color w:val="auto"/>
          <w:sz w:val="28"/>
          <w:szCs w:val="28"/>
        </w:rPr>
        <w:t>actividades extractivas en ecosistemas de páramo</w:t>
      </w:r>
      <w:r w:rsidR="00FE4F18" w:rsidRPr="0078289D">
        <w:rPr>
          <w:rStyle w:val="Refdenotaalpie"/>
          <w:color w:val="auto"/>
          <w:sz w:val="28"/>
          <w:szCs w:val="28"/>
        </w:rPr>
        <w:footnoteReference w:id="1"/>
      </w:r>
      <w:r w:rsidRPr="0078289D">
        <w:rPr>
          <w:color w:val="auto"/>
          <w:sz w:val="28"/>
          <w:szCs w:val="28"/>
        </w:rPr>
        <w:t xml:space="preserve">. </w:t>
      </w:r>
    </w:p>
    <w:p w:rsidR="000F050B" w:rsidRPr="0078289D" w:rsidRDefault="000F050B" w:rsidP="0078289D">
      <w:pPr>
        <w:pStyle w:val="CuerpoA"/>
        <w:pBdr>
          <w:top w:val="none" w:sz="0" w:space="0" w:color="auto"/>
          <w:left w:val="none" w:sz="0" w:space="0" w:color="auto"/>
          <w:bottom w:val="none" w:sz="0" w:space="0" w:color="auto"/>
          <w:right w:val="none" w:sz="0" w:space="0" w:color="auto"/>
        </w:pBdr>
        <w:contextualSpacing/>
        <w:jc w:val="both"/>
        <w:rPr>
          <w:color w:val="auto"/>
          <w:sz w:val="28"/>
          <w:szCs w:val="28"/>
        </w:rPr>
      </w:pPr>
    </w:p>
    <w:p w:rsidR="00CA17F5" w:rsidRPr="0078289D" w:rsidRDefault="009A68E3"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r w:rsidRPr="0078289D">
        <w:rPr>
          <w:sz w:val="28"/>
          <w:szCs w:val="28"/>
        </w:rPr>
        <w:t>Al inicio de cada sección</w:t>
      </w:r>
      <w:r w:rsidR="001313DD" w:rsidRPr="0078289D">
        <w:rPr>
          <w:sz w:val="28"/>
          <w:szCs w:val="28"/>
        </w:rPr>
        <w:t xml:space="preserve"> l</w:t>
      </w:r>
      <w:r w:rsidR="00B059EA" w:rsidRPr="0078289D">
        <w:rPr>
          <w:sz w:val="28"/>
          <w:szCs w:val="28"/>
        </w:rPr>
        <w:t xml:space="preserve">a Corte transcribirá los textos demandados, </w:t>
      </w:r>
      <w:r w:rsidR="001218F0" w:rsidRPr="0078289D">
        <w:rPr>
          <w:sz w:val="28"/>
          <w:szCs w:val="28"/>
        </w:rPr>
        <w:t>los cargos de inconstitucionalidad p</w:t>
      </w:r>
      <w:r w:rsidR="00B059EA" w:rsidRPr="0078289D">
        <w:rPr>
          <w:sz w:val="28"/>
          <w:szCs w:val="28"/>
        </w:rPr>
        <w:t>resentados por los demandantes,</w:t>
      </w:r>
      <w:r w:rsidR="001218F0" w:rsidRPr="0078289D">
        <w:rPr>
          <w:sz w:val="28"/>
          <w:szCs w:val="28"/>
        </w:rPr>
        <w:t xml:space="preserve"> </w:t>
      </w:r>
      <w:r w:rsidR="00532147" w:rsidRPr="0078289D">
        <w:rPr>
          <w:sz w:val="28"/>
          <w:szCs w:val="28"/>
        </w:rPr>
        <w:t xml:space="preserve">el concepto </w:t>
      </w:r>
      <w:r w:rsidR="001218F0" w:rsidRPr="0078289D">
        <w:rPr>
          <w:sz w:val="28"/>
          <w:szCs w:val="28"/>
        </w:rPr>
        <w:t>del Ministerio Público</w:t>
      </w:r>
      <w:r w:rsidR="004E1928" w:rsidRPr="0078289D">
        <w:rPr>
          <w:sz w:val="28"/>
          <w:szCs w:val="28"/>
        </w:rPr>
        <w:t xml:space="preserve"> </w:t>
      </w:r>
      <w:r w:rsidR="007F60FF" w:rsidRPr="0078289D">
        <w:rPr>
          <w:sz w:val="28"/>
          <w:szCs w:val="28"/>
        </w:rPr>
        <w:t xml:space="preserve">y </w:t>
      </w:r>
      <w:r w:rsidR="00532147" w:rsidRPr="0078289D">
        <w:rPr>
          <w:sz w:val="28"/>
          <w:szCs w:val="28"/>
        </w:rPr>
        <w:t xml:space="preserve">las intervenciones </w:t>
      </w:r>
      <w:r w:rsidR="006E33C1" w:rsidRPr="0078289D">
        <w:rPr>
          <w:sz w:val="28"/>
          <w:szCs w:val="28"/>
        </w:rPr>
        <w:t xml:space="preserve">de las </w:t>
      </w:r>
      <w:r w:rsidR="007F60FF" w:rsidRPr="0078289D">
        <w:rPr>
          <w:sz w:val="28"/>
          <w:szCs w:val="28"/>
        </w:rPr>
        <w:t xml:space="preserve">demás </w:t>
      </w:r>
      <w:r w:rsidR="0023214A" w:rsidRPr="0078289D">
        <w:rPr>
          <w:sz w:val="28"/>
          <w:szCs w:val="28"/>
        </w:rPr>
        <w:t xml:space="preserve">entidades públicas, organizaciones de la sociedad civil y ciudadanos </w:t>
      </w:r>
      <w:r w:rsidR="007F60FF" w:rsidRPr="0078289D">
        <w:rPr>
          <w:sz w:val="28"/>
          <w:szCs w:val="28"/>
        </w:rPr>
        <w:t>intervinientes</w:t>
      </w:r>
      <w:r w:rsidR="006E33C1" w:rsidRPr="0078289D">
        <w:rPr>
          <w:sz w:val="28"/>
          <w:szCs w:val="28"/>
        </w:rPr>
        <w:t>,</w:t>
      </w:r>
      <w:r w:rsidR="001313DD" w:rsidRPr="0078289D">
        <w:rPr>
          <w:sz w:val="28"/>
          <w:szCs w:val="28"/>
        </w:rPr>
        <w:t xml:space="preserve"> en contra </w:t>
      </w:r>
      <w:r w:rsidR="006E33C1" w:rsidRPr="0078289D">
        <w:rPr>
          <w:sz w:val="28"/>
          <w:szCs w:val="28"/>
        </w:rPr>
        <w:t xml:space="preserve">o a favor </w:t>
      </w:r>
      <w:r w:rsidR="001313DD" w:rsidRPr="0078289D">
        <w:rPr>
          <w:sz w:val="28"/>
          <w:szCs w:val="28"/>
        </w:rPr>
        <w:t>de las disposiciones normativas respectivas</w:t>
      </w:r>
      <w:r w:rsidR="007F60FF" w:rsidRPr="0078289D">
        <w:rPr>
          <w:sz w:val="28"/>
          <w:szCs w:val="28"/>
        </w:rPr>
        <w:t xml:space="preserve">. </w:t>
      </w:r>
      <w:r w:rsidR="001313DD" w:rsidRPr="0078289D">
        <w:rPr>
          <w:sz w:val="28"/>
          <w:szCs w:val="28"/>
        </w:rPr>
        <w:t xml:space="preserve">Posteriormente la Corte abordará el análisis de constitucionalidad sobre las disposiciones de la respectiva sección de la demanda. </w:t>
      </w:r>
    </w:p>
    <w:p w:rsidR="005E4EFB" w:rsidRPr="0078289D" w:rsidRDefault="005E4EFB" w:rsidP="0078289D">
      <w:pPr>
        <w:pStyle w:val="CuerpoA"/>
        <w:pBdr>
          <w:top w:val="none" w:sz="0" w:space="0" w:color="auto"/>
          <w:left w:val="none" w:sz="0" w:space="0" w:color="auto"/>
          <w:bottom w:val="none" w:sz="0" w:space="0" w:color="auto"/>
          <w:right w:val="none" w:sz="0" w:space="0" w:color="auto"/>
        </w:pBdr>
        <w:contextualSpacing/>
        <w:jc w:val="both"/>
        <w:rPr>
          <w:sz w:val="28"/>
          <w:szCs w:val="28"/>
        </w:rPr>
      </w:pPr>
    </w:p>
    <w:p w:rsidR="0044693A" w:rsidRPr="0078289D" w:rsidRDefault="00E7299D" w:rsidP="0078289D">
      <w:pPr>
        <w:pStyle w:val="CuerpoA"/>
        <w:pBdr>
          <w:top w:val="none" w:sz="0" w:space="0" w:color="auto"/>
          <w:left w:val="none" w:sz="0" w:space="0" w:color="auto"/>
          <w:bottom w:val="none" w:sz="0" w:space="0" w:color="auto"/>
          <w:right w:val="none" w:sz="0" w:space="0" w:color="auto"/>
        </w:pBdr>
        <w:contextualSpacing/>
        <w:jc w:val="center"/>
        <w:rPr>
          <w:b/>
          <w:sz w:val="28"/>
          <w:szCs w:val="28"/>
        </w:rPr>
      </w:pPr>
      <w:r w:rsidRPr="0078289D">
        <w:rPr>
          <w:b/>
          <w:sz w:val="28"/>
          <w:szCs w:val="28"/>
        </w:rPr>
        <w:t>PRIMER</w:t>
      </w:r>
      <w:r w:rsidR="0044693A" w:rsidRPr="0078289D">
        <w:rPr>
          <w:b/>
          <w:sz w:val="28"/>
          <w:szCs w:val="28"/>
        </w:rPr>
        <w:t>A SECCIÓN DE LA DEMANDA</w:t>
      </w:r>
    </w:p>
    <w:p w:rsidR="0044693A" w:rsidRPr="0078289D" w:rsidRDefault="0044693A" w:rsidP="0078289D">
      <w:pPr>
        <w:pStyle w:val="CuerpoA"/>
        <w:pBdr>
          <w:top w:val="none" w:sz="0" w:space="0" w:color="auto"/>
          <w:left w:val="none" w:sz="0" w:space="0" w:color="auto"/>
          <w:bottom w:val="none" w:sz="0" w:space="0" w:color="auto"/>
          <w:right w:val="none" w:sz="0" w:space="0" w:color="auto"/>
        </w:pBdr>
        <w:contextualSpacing/>
        <w:jc w:val="both"/>
        <w:rPr>
          <w:b/>
          <w:sz w:val="28"/>
          <w:szCs w:val="28"/>
        </w:rPr>
      </w:pPr>
    </w:p>
    <w:p w:rsidR="001218F0" w:rsidRPr="0078289D" w:rsidRDefault="00CF76E0" w:rsidP="0078289D">
      <w:pPr>
        <w:pStyle w:val="CuerpoA"/>
        <w:pBdr>
          <w:top w:val="none" w:sz="0" w:space="0" w:color="auto"/>
          <w:left w:val="none" w:sz="0" w:space="0" w:color="auto"/>
          <w:bottom w:val="none" w:sz="0" w:space="0" w:color="auto"/>
          <w:right w:val="none" w:sz="0" w:space="0" w:color="auto"/>
        </w:pBdr>
        <w:contextualSpacing/>
        <w:jc w:val="both"/>
        <w:rPr>
          <w:b/>
          <w:sz w:val="28"/>
          <w:szCs w:val="28"/>
        </w:rPr>
      </w:pPr>
      <w:r w:rsidRPr="0078289D">
        <w:rPr>
          <w:b/>
          <w:sz w:val="28"/>
          <w:szCs w:val="28"/>
        </w:rPr>
        <w:t xml:space="preserve">Normas </w:t>
      </w:r>
      <w:r w:rsidR="0085006D" w:rsidRPr="0078289D">
        <w:rPr>
          <w:b/>
          <w:sz w:val="28"/>
          <w:szCs w:val="28"/>
        </w:rPr>
        <w:t xml:space="preserve">demandadas </w:t>
      </w:r>
      <w:r w:rsidRPr="0078289D">
        <w:rPr>
          <w:b/>
          <w:sz w:val="28"/>
          <w:szCs w:val="28"/>
        </w:rPr>
        <w:t>referidas a la creación y ampliación de Áreas de Reservas Estratégicas Mineras</w:t>
      </w:r>
      <w:r w:rsidR="00C5285B" w:rsidRPr="0078289D">
        <w:rPr>
          <w:b/>
          <w:sz w:val="28"/>
          <w:szCs w:val="28"/>
        </w:rPr>
        <w:t>, AEM</w:t>
      </w:r>
    </w:p>
    <w:p w:rsidR="00E7299D" w:rsidRPr="0078289D" w:rsidRDefault="00E7299D" w:rsidP="0078289D">
      <w:pPr>
        <w:pStyle w:val="CuerpoA"/>
        <w:pBdr>
          <w:top w:val="none" w:sz="0" w:space="0" w:color="auto"/>
          <w:left w:val="none" w:sz="0" w:space="0" w:color="auto"/>
          <w:bottom w:val="none" w:sz="0" w:space="0" w:color="auto"/>
          <w:right w:val="none" w:sz="0" w:space="0" w:color="auto"/>
        </w:pBdr>
        <w:contextualSpacing/>
        <w:jc w:val="both"/>
        <w:rPr>
          <w:b/>
          <w:sz w:val="28"/>
          <w:szCs w:val="28"/>
        </w:rPr>
      </w:pPr>
    </w:p>
    <w:p w:rsidR="007F60FF" w:rsidRPr="0078289D" w:rsidRDefault="007F60FF" w:rsidP="0078289D">
      <w:pPr>
        <w:pStyle w:val="CuerpoA"/>
        <w:pBdr>
          <w:top w:val="none" w:sz="0" w:space="0" w:color="auto"/>
          <w:left w:val="none" w:sz="0" w:space="0" w:color="auto"/>
          <w:bottom w:val="none" w:sz="0" w:space="0" w:color="auto"/>
          <w:right w:val="none" w:sz="0" w:space="0" w:color="auto"/>
        </w:pBdr>
        <w:contextualSpacing/>
        <w:jc w:val="both"/>
        <w:rPr>
          <w:b/>
          <w:sz w:val="28"/>
          <w:szCs w:val="28"/>
        </w:rPr>
      </w:pPr>
      <w:r w:rsidRPr="0078289D">
        <w:rPr>
          <w:sz w:val="28"/>
          <w:szCs w:val="28"/>
        </w:rPr>
        <w:t xml:space="preserve">En </w:t>
      </w:r>
      <w:r w:rsidR="006E33C1" w:rsidRPr="0078289D">
        <w:rPr>
          <w:sz w:val="28"/>
          <w:szCs w:val="28"/>
        </w:rPr>
        <w:t xml:space="preserve">esta </w:t>
      </w:r>
      <w:r w:rsidRPr="0078289D">
        <w:rPr>
          <w:sz w:val="28"/>
          <w:szCs w:val="28"/>
        </w:rPr>
        <w:t xml:space="preserve">sección de la demanda los accionantes solicitan la declaratoria de </w:t>
      </w:r>
      <w:r w:rsidRPr="0078289D">
        <w:rPr>
          <w:b/>
          <w:sz w:val="28"/>
          <w:szCs w:val="28"/>
        </w:rPr>
        <w:t>inexequibilidad</w:t>
      </w:r>
      <w:r w:rsidRPr="0078289D">
        <w:rPr>
          <w:sz w:val="28"/>
          <w:szCs w:val="28"/>
        </w:rPr>
        <w:t xml:space="preserve"> de los artículos 108 de la Ley 1450 de 2</w:t>
      </w:r>
      <w:r w:rsidR="002E63FE" w:rsidRPr="0078289D">
        <w:rPr>
          <w:sz w:val="28"/>
          <w:szCs w:val="28"/>
        </w:rPr>
        <w:t>011 y 20 de la Ley 1753 de 2015</w:t>
      </w:r>
      <w:r w:rsidR="00307348" w:rsidRPr="0078289D">
        <w:rPr>
          <w:sz w:val="28"/>
          <w:szCs w:val="28"/>
        </w:rPr>
        <w:t xml:space="preserve">. </w:t>
      </w:r>
      <w:r w:rsidR="00E36272" w:rsidRPr="0078289D">
        <w:rPr>
          <w:sz w:val="28"/>
          <w:szCs w:val="28"/>
        </w:rPr>
        <w:t>L</w:t>
      </w:r>
      <w:r w:rsidR="00307348" w:rsidRPr="0078289D">
        <w:rPr>
          <w:sz w:val="28"/>
          <w:szCs w:val="28"/>
        </w:rPr>
        <w:t xml:space="preserve">as </w:t>
      </w:r>
      <w:r w:rsidR="00E00976" w:rsidRPr="0078289D">
        <w:rPr>
          <w:sz w:val="28"/>
          <w:szCs w:val="28"/>
        </w:rPr>
        <w:t>disposiciones</w:t>
      </w:r>
      <w:r w:rsidR="00307348" w:rsidRPr="0078289D">
        <w:rPr>
          <w:sz w:val="28"/>
          <w:szCs w:val="28"/>
        </w:rPr>
        <w:t xml:space="preserve"> demandadas</w:t>
      </w:r>
      <w:r w:rsidR="00E36272" w:rsidRPr="0078289D">
        <w:rPr>
          <w:sz w:val="28"/>
          <w:szCs w:val="28"/>
        </w:rPr>
        <w:t xml:space="preserve"> son las siguientes</w:t>
      </w:r>
      <w:r w:rsidR="00307348" w:rsidRPr="0078289D">
        <w:rPr>
          <w:sz w:val="28"/>
          <w:szCs w:val="28"/>
        </w:rPr>
        <w:t>:</w:t>
      </w:r>
    </w:p>
    <w:p w:rsidR="00A60947" w:rsidRPr="0078289D" w:rsidRDefault="00A60947" w:rsidP="0078289D">
      <w:pPr>
        <w:pStyle w:val="CuerpoA"/>
        <w:pBdr>
          <w:top w:val="none" w:sz="0" w:space="0" w:color="auto"/>
          <w:left w:val="none" w:sz="0" w:space="0" w:color="auto"/>
          <w:bottom w:val="none" w:sz="0" w:space="0" w:color="auto"/>
          <w:right w:val="none" w:sz="0" w:space="0" w:color="auto"/>
        </w:pBdr>
        <w:contextualSpacing/>
        <w:jc w:val="both"/>
        <w:rPr>
          <w:b/>
          <w:sz w:val="28"/>
          <w:szCs w:val="28"/>
        </w:rPr>
      </w:pPr>
    </w:p>
    <w:p w:rsidR="0064561B" w:rsidRPr="0078289D" w:rsidRDefault="002701C3"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center"/>
        <w:rPr>
          <w:rStyle w:val="Textoennegrita"/>
          <w:rFonts w:ascii="Times New Roman" w:hAnsi="Times New Roman"/>
          <w:i/>
          <w:sz w:val="28"/>
          <w:szCs w:val="28"/>
        </w:rPr>
      </w:pPr>
      <w:r w:rsidRPr="0078289D">
        <w:rPr>
          <w:rStyle w:val="Textoennegrita"/>
          <w:rFonts w:ascii="Times New Roman" w:hAnsi="Times New Roman"/>
          <w:i/>
          <w:sz w:val="28"/>
          <w:szCs w:val="28"/>
        </w:rPr>
        <w:t>“</w:t>
      </w:r>
      <w:r w:rsidR="0064561B" w:rsidRPr="0078289D">
        <w:rPr>
          <w:rStyle w:val="Textoennegrita"/>
          <w:rFonts w:ascii="Times New Roman" w:hAnsi="Times New Roman"/>
          <w:i/>
          <w:sz w:val="28"/>
          <w:szCs w:val="28"/>
        </w:rPr>
        <w:t>LEY 1450 DE 2011</w:t>
      </w:r>
    </w:p>
    <w:p w:rsidR="0064561B" w:rsidRPr="0078289D" w:rsidRDefault="0064561B" w:rsidP="0078289D">
      <w:pPr>
        <w:pStyle w:val="NormalWeb"/>
        <w:pBdr>
          <w:top w:val="none" w:sz="0" w:space="0" w:color="auto"/>
          <w:left w:val="none" w:sz="0" w:space="0" w:color="auto"/>
          <w:bottom w:val="none" w:sz="0" w:space="0" w:color="auto"/>
          <w:right w:val="none" w:sz="0" w:space="0" w:color="auto"/>
        </w:pBdr>
        <w:spacing w:before="0" w:after="0"/>
        <w:ind w:left="567"/>
        <w:jc w:val="center"/>
        <w:rPr>
          <w:rFonts w:ascii="Times New Roman" w:hAnsi="Times New Roman" w:cs="Times New Roman"/>
          <w:i/>
          <w:sz w:val="28"/>
          <w:szCs w:val="28"/>
          <w:shd w:val="clear" w:color="auto" w:fill="FFFFFF"/>
        </w:rPr>
      </w:pPr>
      <w:r w:rsidRPr="0078289D">
        <w:rPr>
          <w:rStyle w:val="Textoennegrita"/>
          <w:rFonts w:ascii="Times New Roman" w:hAnsi="Times New Roman"/>
          <w:i/>
          <w:sz w:val="28"/>
          <w:szCs w:val="28"/>
          <w:shd w:val="clear" w:color="auto" w:fill="FFFFFF"/>
        </w:rPr>
        <w:t>Por la cual se expide el Plan Nacional de Desarrollo, 2010-2014.</w:t>
      </w:r>
    </w:p>
    <w:p w:rsidR="004E1928" w:rsidRPr="0078289D" w:rsidRDefault="004E1928" w:rsidP="0078289D">
      <w:pPr>
        <w:pStyle w:val="CuerpoA"/>
        <w:pBdr>
          <w:top w:val="none" w:sz="0" w:space="0" w:color="auto"/>
          <w:left w:val="none" w:sz="0" w:space="0" w:color="auto"/>
          <w:bottom w:val="none" w:sz="0" w:space="0" w:color="auto"/>
          <w:right w:val="none" w:sz="0" w:space="0" w:color="auto"/>
        </w:pBdr>
        <w:ind w:left="567"/>
        <w:contextualSpacing/>
        <w:jc w:val="both"/>
        <w:rPr>
          <w:b/>
          <w:i/>
          <w:color w:val="auto"/>
          <w:sz w:val="28"/>
          <w:szCs w:val="28"/>
        </w:rPr>
      </w:pPr>
    </w:p>
    <w:p w:rsidR="007C18B7" w:rsidRPr="0078289D" w:rsidRDefault="007C18B7"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both"/>
        <w:rPr>
          <w:rFonts w:ascii="Times New Roman" w:hAnsi="Times New Roman" w:cs="Times New Roman"/>
          <w:i/>
          <w:sz w:val="28"/>
          <w:szCs w:val="28"/>
          <w:u w:val="single"/>
        </w:rPr>
      </w:pPr>
      <w:r w:rsidRPr="0078289D">
        <w:rPr>
          <w:rFonts w:ascii="Times New Roman" w:hAnsi="Times New Roman" w:cs="Times New Roman"/>
          <w:bCs/>
          <w:i/>
          <w:sz w:val="28"/>
          <w:szCs w:val="28"/>
          <w:u w:val="single"/>
        </w:rPr>
        <w:t>Artículo </w:t>
      </w:r>
      <w:bookmarkStart w:id="1" w:name="108"/>
      <w:bookmarkEnd w:id="1"/>
      <w:r w:rsidRPr="0078289D">
        <w:rPr>
          <w:rFonts w:ascii="Times New Roman" w:hAnsi="Times New Roman" w:cs="Times New Roman"/>
          <w:bCs/>
          <w:i/>
          <w:sz w:val="28"/>
          <w:szCs w:val="28"/>
          <w:u w:val="single"/>
        </w:rPr>
        <w:t> 108.</w:t>
      </w:r>
      <w:r w:rsidRPr="0078289D">
        <w:rPr>
          <w:rStyle w:val="apple-converted-space"/>
          <w:rFonts w:ascii="Times New Roman" w:hAnsi="Times New Roman"/>
          <w:bCs/>
          <w:i/>
          <w:sz w:val="28"/>
          <w:szCs w:val="28"/>
          <w:u w:val="single"/>
        </w:rPr>
        <w:t> </w:t>
      </w:r>
      <w:r w:rsidRPr="0078289D">
        <w:rPr>
          <w:rStyle w:val="nfasis"/>
          <w:rFonts w:ascii="Times New Roman" w:hAnsi="Times New Roman"/>
          <w:bCs/>
          <w:sz w:val="28"/>
          <w:szCs w:val="28"/>
          <w:u w:val="single"/>
        </w:rPr>
        <w:t>Reservas mineras estratégicas.</w:t>
      </w:r>
      <w:r w:rsidRPr="0078289D">
        <w:rPr>
          <w:rStyle w:val="apple-converted-space"/>
          <w:rFonts w:ascii="Times New Roman" w:hAnsi="Times New Roman"/>
          <w:iCs/>
          <w:sz w:val="28"/>
          <w:szCs w:val="28"/>
          <w:u w:val="single"/>
        </w:rPr>
        <w:t> </w:t>
      </w:r>
      <w:r w:rsidRPr="0078289D">
        <w:rPr>
          <w:rFonts w:ascii="Times New Roman" w:hAnsi="Times New Roman" w:cs="Times New Roman"/>
          <w:i/>
          <w:sz w:val="28"/>
          <w:szCs w:val="28"/>
          <w:u w:val="single"/>
        </w:rPr>
        <w:t>La autoridad minera determinará los minerales de interés estratégico para el país, respecto de los cuales podrá delimitar áreas especiales en áreas que se encuentren libres, sobre las cuales no se recibirán nuevas propuestas ni se suscribirán contratos de concesión minera.</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both"/>
        <w:rPr>
          <w:rFonts w:ascii="Times New Roman" w:hAnsi="Times New Roman" w:cs="Times New Roman"/>
          <w:i/>
          <w:sz w:val="28"/>
          <w:szCs w:val="28"/>
          <w:u w:val="single"/>
        </w:rPr>
      </w:pPr>
    </w:p>
    <w:p w:rsidR="007C18B7" w:rsidRPr="0078289D" w:rsidRDefault="007C18B7"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Lo anterior con el fin de que estas áreas sean otorgadas en contrato de concesión especial a través de un proceso de selección objetiva, en el cual la autoridad minera establecerá en los términos de referencia, las contraprestaciones económicas mínimas distintas de las regalías, que los interesados deben ofrecer.</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both"/>
        <w:rPr>
          <w:rFonts w:ascii="Times New Roman" w:hAnsi="Times New Roman" w:cs="Times New Roman"/>
          <w:bCs/>
          <w:i/>
          <w:sz w:val="28"/>
          <w:szCs w:val="28"/>
          <w:u w:val="single"/>
        </w:rPr>
      </w:pPr>
    </w:p>
    <w:p w:rsidR="007C18B7" w:rsidRPr="0078289D" w:rsidRDefault="007C18B7" w:rsidP="0078289D">
      <w:pPr>
        <w:pStyle w:val="NormalWeb"/>
        <w:pBdr>
          <w:top w:val="none" w:sz="0" w:space="0" w:color="auto"/>
          <w:left w:val="none" w:sz="0" w:space="0" w:color="auto"/>
          <w:bottom w:val="none" w:sz="0" w:space="0" w:color="auto"/>
          <w:right w:val="none" w:sz="0" w:space="0" w:color="auto"/>
        </w:pBdr>
        <w:shd w:val="clear" w:color="auto" w:fill="FFFFFF"/>
        <w:spacing w:before="0" w:after="0"/>
        <w:ind w:left="567"/>
        <w:jc w:val="both"/>
        <w:rPr>
          <w:rFonts w:ascii="Times New Roman" w:hAnsi="Times New Roman" w:cs="Times New Roman"/>
          <w:i/>
          <w:sz w:val="28"/>
          <w:szCs w:val="28"/>
          <w:u w:val="single"/>
        </w:rPr>
      </w:pPr>
      <w:r w:rsidRPr="0078289D">
        <w:rPr>
          <w:rFonts w:ascii="Times New Roman" w:hAnsi="Times New Roman" w:cs="Times New Roman"/>
          <w:bCs/>
          <w:i/>
          <w:sz w:val="28"/>
          <w:szCs w:val="28"/>
          <w:u w:val="single"/>
        </w:rPr>
        <w:t>Parágrafo.</w:t>
      </w:r>
      <w:r w:rsidRPr="0078289D">
        <w:rPr>
          <w:rStyle w:val="apple-converted-space"/>
          <w:rFonts w:ascii="Times New Roman" w:hAnsi="Times New Roman"/>
          <w:i/>
          <w:sz w:val="28"/>
          <w:szCs w:val="28"/>
          <w:u w:val="single"/>
        </w:rPr>
        <w:t> </w:t>
      </w:r>
      <w:r w:rsidRPr="0078289D">
        <w:rPr>
          <w:rFonts w:ascii="Times New Roman" w:hAnsi="Times New Roman" w:cs="Times New Roman"/>
          <w:i/>
          <w:sz w:val="28"/>
          <w:szCs w:val="28"/>
          <w:u w:val="single"/>
        </w:rPr>
        <w:t xml:space="preserve">En todos los contratos de concesión minera podrán solicitarse prórrogas de la etapa de exploración por periodos de dos años cada una, hasta por un término total de once (11) años, para lo </w:t>
      </w:r>
      <w:r w:rsidRPr="0078289D">
        <w:rPr>
          <w:rFonts w:ascii="Times New Roman" w:hAnsi="Times New Roman" w:cs="Times New Roman"/>
          <w:i/>
          <w:sz w:val="28"/>
          <w:szCs w:val="28"/>
          <w:u w:val="single"/>
        </w:rPr>
        <w:lastRenderedPageBreak/>
        <w:t>cual el concesionario deberá sustentar las razones técnicas y económicas respectivas, el cumplimiento Minero-Ambientales, describir y demostrar los trabajos de exploración ejecutados y los que faltan por realizar especificando su duración, las inversiones a efectuar y demostrar que se encuentra al día en las obligaciones de pago del canon superficiario y que mantiene vigente la póliza Minero-Ambiental</w:t>
      </w:r>
      <w:r w:rsidR="0011792D" w:rsidRPr="0078289D">
        <w:rPr>
          <w:rFonts w:ascii="Times New Roman" w:hAnsi="Times New Roman" w:cs="Times New Roman"/>
          <w:i/>
          <w:sz w:val="28"/>
          <w:szCs w:val="28"/>
          <w:u w:val="single"/>
        </w:rPr>
        <w:t>"</w:t>
      </w:r>
      <w:r w:rsidRPr="0078289D">
        <w:rPr>
          <w:rFonts w:ascii="Times New Roman" w:hAnsi="Times New Roman" w:cs="Times New Roman"/>
          <w:i/>
          <w:sz w:val="28"/>
          <w:szCs w:val="28"/>
          <w:u w:val="single"/>
        </w:rPr>
        <w:t>.</w:t>
      </w:r>
    </w:p>
    <w:p w:rsidR="008E4841" w:rsidRPr="0078289D" w:rsidRDefault="008E4841" w:rsidP="0078289D">
      <w:pPr>
        <w:pStyle w:val="CuerpoA"/>
        <w:pBdr>
          <w:top w:val="none" w:sz="0" w:space="0" w:color="auto"/>
          <w:left w:val="none" w:sz="0" w:space="0" w:color="auto"/>
          <w:bottom w:val="none" w:sz="0" w:space="0" w:color="auto"/>
          <w:right w:val="none" w:sz="0" w:space="0" w:color="auto"/>
        </w:pBdr>
        <w:ind w:left="567"/>
        <w:contextualSpacing/>
        <w:jc w:val="center"/>
        <w:rPr>
          <w:b/>
          <w:color w:val="auto"/>
          <w:sz w:val="28"/>
          <w:szCs w:val="28"/>
        </w:rPr>
      </w:pPr>
    </w:p>
    <w:p w:rsidR="00417F4D" w:rsidRPr="0078289D" w:rsidRDefault="00417F4D" w:rsidP="0078289D">
      <w:pPr>
        <w:pStyle w:val="centrado"/>
        <w:spacing w:before="0" w:beforeAutospacing="0" w:after="0" w:afterAutospacing="0"/>
        <w:ind w:left="567"/>
        <w:jc w:val="center"/>
        <w:rPr>
          <w:rFonts w:eastAsia="Arial Unicode MS"/>
          <w:b/>
          <w:bCs/>
          <w:i/>
          <w:color w:val="000000"/>
          <w:sz w:val="28"/>
          <w:szCs w:val="28"/>
          <w:lang w:val="es-ES_tradnl"/>
        </w:rPr>
      </w:pPr>
      <w:r w:rsidRPr="0078289D">
        <w:rPr>
          <w:rFonts w:eastAsia="Arial Unicode MS"/>
          <w:b/>
          <w:i/>
          <w:sz w:val="28"/>
          <w:szCs w:val="28"/>
          <w:lang w:val="es-ES_tradnl"/>
        </w:rPr>
        <w:t>LEY 1753 DE 2015</w:t>
      </w:r>
    </w:p>
    <w:p w:rsidR="00417F4D" w:rsidRPr="0078289D" w:rsidRDefault="00417F4D" w:rsidP="0078289D">
      <w:pPr>
        <w:pStyle w:val="centrado"/>
        <w:spacing w:before="0" w:beforeAutospacing="0" w:after="0" w:afterAutospacing="0"/>
        <w:ind w:left="567"/>
        <w:jc w:val="center"/>
        <w:rPr>
          <w:rFonts w:eastAsia="Arial Unicode MS"/>
          <w:b/>
          <w:bCs/>
          <w:i/>
          <w:color w:val="000000"/>
          <w:sz w:val="28"/>
          <w:szCs w:val="28"/>
          <w:lang w:val="es-ES_tradnl"/>
        </w:rPr>
      </w:pPr>
      <w:r w:rsidRPr="0078289D">
        <w:rPr>
          <w:rFonts w:eastAsia="Arial Unicode MS"/>
          <w:b/>
          <w:bCs/>
          <w:i/>
          <w:color w:val="000000"/>
          <w:sz w:val="28"/>
          <w:szCs w:val="28"/>
          <w:lang w:val="es-ES_tradnl"/>
        </w:rPr>
        <w:t>Diario Oficial No. 49.538 de 9 de junio de 2015</w:t>
      </w:r>
    </w:p>
    <w:p w:rsidR="00417F4D" w:rsidRPr="0078289D" w:rsidRDefault="00417F4D" w:rsidP="0078289D">
      <w:pPr>
        <w:pStyle w:val="centrado"/>
        <w:spacing w:before="0" w:beforeAutospacing="0" w:after="0" w:afterAutospacing="0"/>
        <w:ind w:left="567"/>
        <w:jc w:val="center"/>
        <w:rPr>
          <w:rFonts w:eastAsia="Arial Unicode MS"/>
          <w:b/>
          <w:bCs/>
          <w:i/>
          <w:color w:val="000000"/>
          <w:sz w:val="28"/>
          <w:szCs w:val="28"/>
          <w:lang w:val="es-ES_tradnl"/>
        </w:rPr>
      </w:pPr>
      <w:r w:rsidRPr="0078289D">
        <w:rPr>
          <w:rFonts w:eastAsia="Arial Unicode MS"/>
          <w:b/>
          <w:bCs/>
          <w:i/>
          <w:color w:val="000000"/>
          <w:sz w:val="28"/>
          <w:szCs w:val="28"/>
          <w:lang w:val="es-ES_tradnl"/>
        </w:rPr>
        <w:t>Por la cual se expide el Plan Nacional de Desarrollo 2014-2018 “Todos por un nuevo país”.</w:t>
      </w:r>
    </w:p>
    <w:p w:rsidR="00417F4D" w:rsidRPr="0078289D" w:rsidRDefault="00417F4D" w:rsidP="0078289D">
      <w:pPr>
        <w:pStyle w:val="CuerpoA"/>
        <w:pBdr>
          <w:top w:val="none" w:sz="0" w:space="0" w:color="auto"/>
          <w:left w:val="none" w:sz="0" w:space="0" w:color="auto"/>
          <w:bottom w:val="none" w:sz="0" w:space="0" w:color="auto"/>
          <w:right w:val="none" w:sz="0" w:space="0" w:color="auto"/>
        </w:pBdr>
        <w:ind w:left="567"/>
        <w:contextualSpacing/>
        <w:jc w:val="both"/>
        <w:rPr>
          <w:b/>
          <w:color w:val="auto"/>
          <w:sz w:val="28"/>
          <w:szCs w:val="28"/>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bookmarkStart w:id="2" w:name="20"/>
      <w:bookmarkEnd w:id="2"/>
      <w:r w:rsidRPr="0078289D">
        <w:rPr>
          <w:rFonts w:ascii="Times New Roman" w:hAnsi="Times New Roman" w:cs="Times New Roman"/>
          <w:i/>
          <w:sz w:val="28"/>
          <w:szCs w:val="28"/>
          <w:u w:val="single"/>
        </w:rPr>
        <w:t>ARTÍCULO 20. ÁREAS DE RESERVA PARA EL DESARROLLO MINERO. </w:t>
      </w:r>
      <w:r w:rsidRPr="0078289D">
        <w:rPr>
          <w:rFonts w:ascii="Times New Roman" w:hAnsi="Times New Roman" w:cs="Times New Roman"/>
          <w:i/>
          <w:sz w:val="28"/>
          <w:szCs w:val="28"/>
        </w:rPr>
        <w:t>Las áreas de reserva para el desarrollo minero serán las siguientes:</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rPr>
        <w:t xml:space="preserve">Áreas de Reserva Estratégica Mineras: </w:t>
      </w:r>
      <w:r w:rsidRPr="0078289D">
        <w:rPr>
          <w:rFonts w:ascii="Times New Roman" w:hAnsi="Times New Roman" w:cs="Times New Roman"/>
          <w:i/>
          <w:sz w:val="28"/>
          <w:szCs w:val="28"/>
          <w:u w:val="single"/>
        </w:rPr>
        <w:t>La Autoridad Minera Nacional determinará los minerales de interés estratégico para el país, respecto de los cuales, con base en la información geocientífica disponible, podrá delimitar indefinidamente áreas especiales que se encuentren libres.</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Estas áreas serán objeto de evaluación sobre su potencial minero, para lo cual se deberán adelantar estudios geológicos mineros por parte del Servicio Geológico Colombiano y/o por terceros contratados por la Autoridad Minera Nacional. Con base en dicha evaluación, esta Autoridad seleccionará las áreas que presenten un alto potencial minero.</w:t>
      </w: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 xml:space="preserve">Estas áreas se otorgarán mediante proceso de selección objetiva. </w:t>
      </w:r>
      <w:r w:rsidRPr="0078289D">
        <w:rPr>
          <w:rFonts w:ascii="Times New Roman" w:hAnsi="Times New Roman" w:cs="Times New Roman"/>
          <w:i/>
          <w:sz w:val="28"/>
          <w:szCs w:val="28"/>
        </w:rPr>
        <w:t xml:space="preserve">En los términos de referencia de este proceso, la Autoridad Nacional Minera establecerá los requisitos mínimos de participación, los factores de calificación, las obligaciones especiales del concesionario y podrá establecer las contraprestaciones económicas mínimas adicionales a las regalías. </w:t>
      </w:r>
      <w:r w:rsidRPr="0078289D">
        <w:rPr>
          <w:rFonts w:ascii="Times New Roman" w:hAnsi="Times New Roman" w:cs="Times New Roman"/>
          <w:i/>
          <w:sz w:val="28"/>
          <w:szCs w:val="28"/>
          <w:u w:val="single"/>
        </w:rPr>
        <w:t>Sobre estas áreas no se recibirán nuevas propuestas ni se suscribirán contratos de concesión minera. Para estos efectos la Autoridad Minera contará con la colaboración del Ministerio de Ambiente y Desarrollo Sostenible.</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La Autoridad Nacional Minera dará por terminada la delimitación, cuando las áreas evaluadas no sean seleccionadas, caso en el cual quedarán libres para ser otorgadas mediante el régimen ordinario del Código de Minas. Cuando no se presente licitante u oferente la Autoridad Nacional Minera podrá mantener la delimitación para un futuro proceso de selección sin perjuicio de darla por terminada en cualquier tiempo.</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 xml:space="preserve">El Gobierno nacional reglamentará la materia a que aluden los incisos anteriores. En los Contratos Especiales de Exploración y Explotación que se deriven de estas delimitaciones, se podrán establecer reglas y </w:t>
      </w:r>
      <w:r w:rsidRPr="0078289D">
        <w:rPr>
          <w:rFonts w:ascii="Times New Roman" w:hAnsi="Times New Roman" w:cs="Times New Roman"/>
          <w:i/>
          <w:sz w:val="28"/>
          <w:szCs w:val="28"/>
          <w:u w:val="single"/>
        </w:rPr>
        <w:lastRenderedPageBreak/>
        <w:t>obligaciones especiales adicionales o distintas a las establecidas en el Código de Minas.</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Por su parte, la información geológica, geoquímica y geofísica que el Servicio Geológico Colombiano genere a partir de la declaratoria de las áreas estratégicas mineras por parte de la Autoridad Minera y que permita evaluar el potencial mineral de tales áreas, tendrá el carácter de reservada por el mismo término en que la Autoridad Minera declare dichas zonas como estratégicas mineras o hasta tanto deba darse a conocer en desarrollo de los procesos de selección objetiva que adelante la Autoridad Minera para el otorgamiento de contratos de concesión especial en estas áreas.</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Áreas de Reserva para la formalización: La Autoridad Minera Nacional podrá delimitar áreas de Reserva Estratégica Minera para la formalización de pequeños mineros, sobre áreas libres o aquellas que sean entregadas a través de la figura de devolución de áreas para la formalización minera.</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Áreas de Reserva para el desarrollo minero-energético: El Ministerio de Minas y Energía delimitará las zonas estratégicas para el desarrollo minero-energético en un término no mayor de doce (12) meses, contados a partir de la entrada en vigencia de la presente ley. Estas zonas se declaran por un término de dos (2) años prorrogables por el mismo término y su objetivo es permitir el manejo ordenado de los recursos naturales no renovables propendiendo por la maximización del uso de los recursos ajustándose a las mejores prácticas internacionalmente aceptadas.</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Sobre estas áreas no se recibirán nuevas propuestas ni se suscribirán contratos de concesión minera de carbón. Lo anterior con el fin de que estas áreas sean otorgadas por la autoridad correspondiente a través de un proceso de selección objetiva, en el cual dicha autoridad establecerá los términos de referencia.</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En casos de superposiciones de áreas entre yacimientos no convencionales y títulos mineros, en virtud de un acuerdo operacional, la Autoridad Minera Nacional autorizará la suspensión de los títulos mineros sin afectar el tiempo contractual.</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Ante la suspensión del título minero por la causal antes señalada, el titular minero podrá solicitar la modificación del instrumento de control ambiental, incluyendo un capítulo de cierre temporal. La autoridad ambiental tramitará dicha modificación.</w:t>
      </w:r>
    </w:p>
    <w:p w:rsidR="00E00976" w:rsidRPr="0078289D" w:rsidRDefault="00E009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No podrán ser áreas de reservas para el desarrollo minero las áreas delimitadas como páramos y humedales.</w:t>
      </w:r>
    </w:p>
    <w:p w:rsidR="00BD4376" w:rsidRPr="0078289D" w:rsidRDefault="00BD43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p>
    <w:p w:rsidR="00CF4F6C"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r w:rsidRPr="0078289D">
        <w:rPr>
          <w:rFonts w:ascii="Times New Roman" w:hAnsi="Times New Roman" w:cs="Times New Roman"/>
          <w:i/>
          <w:sz w:val="28"/>
          <w:szCs w:val="28"/>
        </w:rPr>
        <w:lastRenderedPageBreak/>
        <w:t>PARÁGRAFO 1o. Las áreas estratégicas mineras creadas con base en el artículo </w:t>
      </w:r>
      <w:hyperlink r:id="rId8" w:anchor="108" w:history="1">
        <w:r w:rsidRPr="0078289D">
          <w:rPr>
            <w:rFonts w:ascii="Times New Roman" w:hAnsi="Times New Roman" w:cs="Times New Roman"/>
            <w:i/>
            <w:sz w:val="28"/>
            <w:szCs w:val="28"/>
          </w:rPr>
          <w:t>108</w:t>
        </w:r>
      </w:hyperlink>
      <w:r w:rsidRPr="0078289D">
        <w:rPr>
          <w:rFonts w:ascii="Times New Roman" w:hAnsi="Times New Roman" w:cs="Times New Roman"/>
          <w:i/>
          <w:sz w:val="28"/>
          <w:szCs w:val="28"/>
        </w:rPr>
        <w:t> de la Ley 1450 de 2011 mantendrán su vigencia pero se sujetarán al régimen previsto en el presente artículo.</w:t>
      </w:r>
    </w:p>
    <w:p w:rsidR="00BD4376" w:rsidRPr="0078289D" w:rsidRDefault="00BD437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p>
    <w:p w:rsidR="000F050B" w:rsidRPr="0078289D" w:rsidRDefault="00CF4F6C"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rPr>
      </w:pPr>
      <w:r w:rsidRPr="0078289D">
        <w:rPr>
          <w:rFonts w:ascii="Times New Roman" w:hAnsi="Times New Roman" w:cs="Times New Roman"/>
          <w:i/>
          <w:sz w:val="28"/>
          <w:szCs w:val="28"/>
        </w:rPr>
        <w:t>PARÁGRAFO 2o. No podrán declararse áreas de reserva para el desarrollo minero en zonas de exclusión de conformidad con lo dispues</w:t>
      </w:r>
      <w:r w:rsidR="000F050B" w:rsidRPr="0078289D">
        <w:rPr>
          <w:rFonts w:ascii="Times New Roman" w:hAnsi="Times New Roman" w:cs="Times New Roman"/>
          <w:i/>
          <w:sz w:val="28"/>
          <w:szCs w:val="28"/>
        </w:rPr>
        <w:t>to por la normatividad vigente</w:t>
      </w:r>
      <w:r w:rsidR="004B146C" w:rsidRPr="0078289D">
        <w:rPr>
          <w:rFonts w:ascii="Times New Roman" w:hAnsi="Times New Roman" w:cs="Times New Roman"/>
          <w:i/>
          <w:sz w:val="28"/>
          <w:szCs w:val="28"/>
        </w:rPr>
        <w:t>”</w:t>
      </w:r>
      <w:r w:rsidR="000F050B" w:rsidRPr="0078289D">
        <w:rPr>
          <w:rFonts w:ascii="Times New Roman" w:hAnsi="Times New Roman" w:cs="Times New Roman"/>
          <w:i/>
          <w:sz w:val="28"/>
          <w:szCs w:val="28"/>
        </w:rPr>
        <w:t>.</w:t>
      </w:r>
    </w:p>
    <w:p w:rsidR="00664771" w:rsidRPr="0078289D" w:rsidRDefault="0066477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p>
    <w:p w:rsidR="00664771" w:rsidRPr="0078289D" w:rsidRDefault="0085006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r w:rsidRPr="0078289D">
        <w:rPr>
          <w:rFonts w:ascii="Times New Roman" w:hAnsi="Times New Roman" w:cs="Times New Roman"/>
          <w:b/>
          <w:sz w:val="28"/>
          <w:szCs w:val="28"/>
        </w:rPr>
        <w:t>Concepto de la violación</w:t>
      </w:r>
    </w:p>
    <w:p w:rsidR="00664771" w:rsidRPr="0078289D" w:rsidRDefault="0066477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p>
    <w:p w:rsidR="002E63FE" w:rsidRPr="0078289D" w:rsidRDefault="005357B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Los accionantes</w:t>
      </w:r>
      <w:r w:rsidR="005864BE" w:rsidRPr="0078289D">
        <w:rPr>
          <w:rFonts w:ascii="Times New Roman" w:hAnsi="Times New Roman" w:cs="Times New Roman"/>
          <w:sz w:val="28"/>
          <w:szCs w:val="28"/>
        </w:rPr>
        <w:t xml:space="preserve"> </w:t>
      </w:r>
      <w:r w:rsidR="003914AB" w:rsidRPr="0078289D">
        <w:rPr>
          <w:rFonts w:ascii="Times New Roman" w:hAnsi="Times New Roman" w:cs="Times New Roman"/>
          <w:sz w:val="28"/>
          <w:szCs w:val="28"/>
        </w:rPr>
        <w:t>inician</w:t>
      </w:r>
      <w:r w:rsidR="002E63FE" w:rsidRPr="0078289D">
        <w:rPr>
          <w:rFonts w:ascii="Times New Roman" w:hAnsi="Times New Roman" w:cs="Times New Roman"/>
          <w:sz w:val="28"/>
          <w:szCs w:val="28"/>
        </w:rPr>
        <w:t xml:space="preserve"> su argumentación</w:t>
      </w:r>
      <w:r w:rsidR="003914AB" w:rsidRPr="0078289D">
        <w:rPr>
          <w:rFonts w:ascii="Times New Roman" w:hAnsi="Times New Roman" w:cs="Times New Roman"/>
          <w:sz w:val="28"/>
          <w:szCs w:val="28"/>
        </w:rPr>
        <w:t xml:space="preserve"> con una breve explicación </w:t>
      </w:r>
      <w:r w:rsidR="002E63FE" w:rsidRPr="0078289D">
        <w:rPr>
          <w:rFonts w:ascii="Times New Roman" w:hAnsi="Times New Roman" w:cs="Times New Roman"/>
          <w:sz w:val="28"/>
          <w:szCs w:val="28"/>
        </w:rPr>
        <w:t xml:space="preserve">conceptual </w:t>
      </w:r>
      <w:r w:rsidR="003914AB" w:rsidRPr="0078289D">
        <w:rPr>
          <w:rFonts w:ascii="Times New Roman" w:hAnsi="Times New Roman" w:cs="Times New Roman"/>
          <w:sz w:val="28"/>
          <w:szCs w:val="28"/>
        </w:rPr>
        <w:t>de la figura de</w:t>
      </w:r>
      <w:r w:rsidR="001F086C" w:rsidRPr="0078289D">
        <w:rPr>
          <w:rFonts w:ascii="Times New Roman" w:hAnsi="Times New Roman" w:cs="Times New Roman"/>
          <w:sz w:val="28"/>
          <w:szCs w:val="28"/>
        </w:rPr>
        <w:t xml:space="preserve"> las</w:t>
      </w:r>
      <w:r w:rsidR="003914AB" w:rsidRPr="0078289D">
        <w:rPr>
          <w:rFonts w:ascii="Times New Roman" w:hAnsi="Times New Roman" w:cs="Times New Roman"/>
          <w:sz w:val="28"/>
          <w:szCs w:val="28"/>
        </w:rPr>
        <w:t xml:space="preserve"> Áreas de Reserva Estratégicas Mineras (AEM). Así, </w:t>
      </w:r>
      <w:r w:rsidR="005864BE" w:rsidRPr="0078289D">
        <w:rPr>
          <w:rFonts w:ascii="Times New Roman" w:hAnsi="Times New Roman" w:cs="Times New Roman"/>
          <w:sz w:val="28"/>
          <w:szCs w:val="28"/>
        </w:rPr>
        <w:t>m</w:t>
      </w:r>
      <w:r w:rsidR="00F0158B" w:rsidRPr="0078289D">
        <w:rPr>
          <w:rFonts w:ascii="Times New Roman" w:hAnsi="Times New Roman" w:cs="Times New Roman"/>
          <w:sz w:val="28"/>
          <w:szCs w:val="28"/>
        </w:rPr>
        <w:t xml:space="preserve">anifiestan </w:t>
      </w:r>
      <w:r w:rsidR="00F253CE" w:rsidRPr="0078289D">
        <w:rPr>
          <w:rFonts w:ascii="Times New Roman" w:hAnsi="Times New Roman" w:cs="Times New Roman"/>
          <w:sz w:val="28"/>
          <w:szCs w:val="28"/>
        </w:rPr>
        <w:t xml:space="preserve">que las </w:t>
      </w:r>
      <w:r w:rsidR="00531085" w:rsidRPr="0078289D">
        <w:rPr>
          <w:rFonts w:ascii="Times New Roman" w:hAnsi="Times New Roman" w:cs="Times New Roman"/>
          <w:sz w:val="28"/>
          <w:szCs w:val="28"/>
        </w:rPr>
        <w:t xml:space="preserve">AEM </w:t>
      </w:r>
      <w:r w:rsidR="0063216F" w:rsidRPr="0078289D">
        <w:rPr>
          <w:rFonts w:ascii="Times New Roman" w:hAnsi="Times New Roman" w:cs="Times New Roman"/>
          <w:sz w:val="28"/>
          <w:szCs w:val="28"/>
        </w:rPr>
        <w:t>son áreas del territorio nacional delimitadas por el nivel central para ser ofertadas a particulares</w:t>
      </w:r>
      <w:r w:rsidR="00620F17" w:rsidRPr="0078289D">
        <w:rPr>
          <w:rFonts w:ascii="Times New Roman" w:hAnsi="Times New Roman" w:cs="Times New Roman"/>
          <w:sz w:val="28"/>
          <w:szCs w:val="28"/>
        </w:rPr>
        <w:t xml:space="preserve"> para el desarrollo de proyectos minero energéticos</w:t>
      </w:r>
      <w:r w:rsidR="004C1A76" w:rsidRPr="0078289D">
        <w:rPr>
          <w:rFonts w:ascii="Times New Roman" w:hAnsi="Times New Roman" w:cs="Times New Roman"/>
          <w:sz w:val="28"/>
          <w:szCs w:val="28"/>
        </w:rPr>
        <w:t>,</w:t>
      </w:r>
      <w:r w:rsidR="0063216F" w:rsidRPr="0078289D">
        <w:rPr>
          <w:rFonts w:ascii="Times New Roman" w:hAnsi="Times New Roman" w:cs="Times New Roman"/>
          <w:sz w:val="28"/>
          <w:szCs w:val="28"/>
        </w:rPr>
        <w:t xml:space="preserve"> y sobre las cuales no se aceptarán nuevas ofertas</w:t>
      </w:r>
      <w:r w:rsidR="0081072F" w:rsidRPr="0078289D">
        <w:rPr>
          <w:rFonts w:ascii="Times New Roman" w:hAnsi="Times New Roman" w:cs="Times New Roman"/>
          <w:sz w:val="28"/>
          <w:szCs w:val="28"/>
        </w:rPr>
        <w:t xml:space="preserve">, siempre y cuando </w:t>
      </w:r>
      <w:r w:rsidR="006A6003" w:rsidRPr="0078289D">
        <w:rPr>
          <w:rFonts w:ascii="Times New Roman" w:hAnsi="Times New Roman" w:cs="Times New Roman"/>
          <w:sz w:val="28"/>
          <w:szCs w:val="28"/>
        </w:rPr>
        <w:t>la Autoridad Nacional</w:t>
      </w:r>
      <w:r w:rsidR="0081072F" w:rsidRPr="0078289D">
        <w:rPr>
          <w:rFonts w:ascii="Times New Roman" w:hAnsi="Times New Roman" w:cs="Times New Roman"/>
          <w:sz w:val="28"/>
          <w:szCs w:val="28"/>
        </w:rPr>
        <w:t xml:space="preserve"> </w:t>
      </w:r>
      <w:r w:rsidR="00BB70B0" w:rsidRPr="0078289D">
        <w:rPr>
          <w:rFonts w:ascii="Times New Roman" w:hAnsi="Times New Roman" w:cs="Times New Roman"/>
          <w:sz w:val="28"/>
          <w:szCs w:val="28"/>
        </w:rPr>
        <w:t xml:space="preserve">Minera </w:t>
      </w:r>
      <w:r w:rsidR="00AF6949" w:rsidRPr="0078289D">
        <w:rPr>
          <w:rFonts w:ascii="Times New Roman" w:hAnsi="Times New Roman" w:cs="Times New Roman"/>
          <w:sz w:val="28"/>
          <w:szCs w:val="28"/>
        </w:rPr>
        <w:t xml:space="preserve">determine </w:t>
      </w:r>
      <w:r w:rsidR="000B1843" w:rsidRPr="0078289D">
        <w:rPr>
          <w:rFonts w:ascii="Times New Roman" w:hAnsi="Times New Roman" w:cs="Times New Roman"/>
          <w:sz w:val="28"/>
          <w:szCs w:val="28"/>
        </w:rPr>
        <w:t>que en éstas se encuentran</w:t>
      </w:r>
      <w:r w:rsidR="0081072F" w:rsidRPr="0078289D">
        <w:rPr>
          <w:rFonts w:ascii="Times New Roman" w:hAnsi="Times New Roman" w:cs="Times New Roman"/>
          <w:sz w:val="28"/>
          <w:szCs w:val="28"/>
        </w:rPr>
        <w:t xml:space="preserve"> minera</w:t>
      </w:r>
      <w:r w:rsidR="000B1843" w:rsidRPr="0078289D">
        <w:rPr>
          <w:rFonts w:ascii="Times New Roman" w:hAnsi="Times New Roman" w:cs="Times New Roman"/>
          <w:sz w:val="28"/>
          <w:szCs w:val="28"/>
        </w:rPr>
        <w:t>les estratégicos para el país</w:t>
      </w:r>
      <w:r w:rsidR="0063216F" w:rsidRPr="0078289D">
        <w:rPr>
          <w:rFonts w:ascii="Times New Roman" w:hAnsi="Times New Roman" w:cs="Times New Roman"/>
          <w:sz w:val="28"/>
          <w:szCs w:val="28"/>
        </w:rPr>
        <w:t xml:space="preserve">. </w:t>
      </w:r>
    </w:p>
    <w:p w:rsidR="002E63FE" w:rsidRPr="0078289D" w:rsidRDefault="002E63F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63216F" w:rsidRPr="0078289D" w:rsidRDefault="004C1A76"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 juicio de los accionantes</w:t>
      </w:r>
      <w:r w:rsidR="0063216F" w:rsidRPr="0078289D">
        <w:rPr>
          <w:rFonts w:ascii="Times New Roman" w:hAnsi="Times New Roman" w:cs="Times New Roman"/>
          <w:sz w:val="28"/>
          <w:szCs w:val="28"/>
        </w:rPr>
        <w:t xml:space="preserve">, </w:t>
      </w:r>
      <w:r w:rsidR="008E4841" w:rsidRPr="0078289D">
        <w:rPr>
          <w:rFonts w:ascii="Times New Roman" w:hAnsi="Times New Roman" w:cs="Times New Roman"/>
          <w:sz w:val="28"/>
          <w:szCs w:val="28"/>
        </w:rPr>
        <w:t>esta figura</w:t>
      </w:r>
      <w:r w:rsidR="00CB3C57" w:rsidRPr="0078289D">
        <w:rPr>
          <w:rFonts w:ascii="Times New Roman" w:hAnsi="Times New Roman" w:cs="Times New Roman"/>
          <w:sz w:val="28"/>
          <w:szCs w:val="28"/>
        </w:rPr>
        <w:t xml:space="preserve"> incluye</w:t>
      </w:r>
      <w:r w:rsidR="002C4E59" w:rsidRPr="0078289D">
        <w:rPr>
          <w:rFonts w:ascii="Times New Roman" w:hAnsi="Times New Roman" w:cs="Times New Roman"/>
          <w:sz w:val="28"/>
          <w:szCs w:val="28"/>
        </w:rPr>
        <w:t xml:space="preserve"> una modificación de</w:t>
      </w:r>
      <w:r w:rsidR="0063216F" w:rsidRPr="0078289D">
        <w:rPr>
          <w:rFonts w:ascii="Times New Roman" w:hAnsi="Times New Roman" w:cs="Times New Roman"/>
          <w:sz w:val="28"/>
          <w:szCs w:val="28"/>
        </w:rPr>
        <w:t>l sistema de concesión previsto en el Código de Minas o Ley 648 de 2001. De un lado</w:t>
      </w:r>
      <w:r w:rsidR="00917E0F" w:rsidRPr="0078289D">
        <w:rPr>
          <w:rFonts w:ascii="Times New Roman" w:hAnsi="Times New Roman" w:cs="Times New Roman"/>
          <w:sz w:val="28"/>
          <w:szCs w:val="28"/>
        </w:rPr>
        <w:t>, incluye áreas delimitadas</w:t>
      </w:r>
      <w:r w:rsidR="00BB70B0" w:rsidRPr="0078289D">
        <w:rPr>
          <w:rFonts w:ascii="Times New Roman" w:hAnsi="Times New Roman" w:cs="Times New Roman"/>
          <w:sz w:val="28"/>
          <w:szCs w:val="28"/>
        </w:rPr>
        <w:t>,</w:t>
      </w:r>
      <w:r w:rsidR="00917E0F" w:rsidRPr="0078289D">
        <w:rPr>
          <w:rFonts w:ascii="Times New Roman" w:hAnsi="Times New Roman" w:cs="Times New Roman"/>
          <w:sz w:val="28"/>
          <w:szCs w:val="28"/>
        </w:rPr>
        <w:t xml:space="preserve"> </w:t>
      </w:r>
      <w:r w:rsidR="00BB70B0" w:rsidRPr="0078289D">
        <w:rPr>
          <w:rFonts w:ascii="Times New Roman" w:hAnsi="Times New Roman" w:cs="Times New Roman"/>
          <w:sz w:val="28"/>
          <w:szCs w:val="28"/>
        </w:rPr>
        <w:t xml:space="preserve">destinadas </w:t>
      </w:r>
      <w:r w:rsidR="0063216F" w:rsidRPr="0078289D">
        <w:rPr>
          <w:rFonts w:ascii="Times New Roman" w:hAnsi="Times New Roman" w:cs="Times New Roman"/>
          <w:sz w:val="28"/>
          <w:szCs w:val="28"/>
        </w:rPr>
        <w:t xml:space="preserve">exclusivamente a la actividad minera. De otro lado, no son los particulares quienes solicitan el otorgamiento de una licencia de concesión, sino que es la Administración Central la que oferta las referidas áreas a través de un mecanismo especial denominado </w:t>
      </w:r>
      <w:r w:rsidR="0063216F" w:rsidRPr="0078289D">
        <w:rPr>
          <w:rFonts w:ascii="Times New Roman" w:hAnsi="Times New Roman" w:cs="Times New Roman"/>
          <w:i/>
          <w:sz w:val="28"/>
          <w:szCs w:val="28"/>
        </w:rPr>
        <w:t>“rondas mineras”</w:t>
      </w:r>
      <w:r w:rsidR="0063216F" w:rsidRPr="0078289D">
        <w:rPr>
          <w:rFonts w:ascii="Times New Roman" w:hAnsi="Times New Roman" w:cs="Times New Roman"/>
          <w:sz w:val="28"/>
          <w:szCs w:val="28"/>
        </w:rPr>
        <w:t>, el cual difiere del proceso de concesión minera previsto en la Ley 648 de 2001.</w:t>
      </w:r>
    </w:p>
    <w:p w:rsidR="00B076DF" w:rsidRPr="0078289D" w:rsidRDefault="00B076D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77290" w:rsidRPr="0078289D" w:rsidRDefault="001D52EC"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Así, c</w:t>
      </w:r>
      <w:r w:rsidR="00584E4F" w:rsidRPr="0078289D">
        <w:rPr>
          <w:rFonts w:ascii="Times New Roman" w:hAnsi="Times New Roman" w:cs="Times New Roman"/>
          <w:sz w:val="28"/>
          <w:szCs w:val="28"/>
        </w:rPr>
        <w:t xml:space="preserve">omo </w:t>
      </w:r>
      <w:r w:rsidR="00584E4F" w:rsidRPr="0078289D">
        <w:rPr>
          <w:rFonts w:ascii="Times New Roman" w:hAnsi="Times New Roman" w:cs="Times New Roman"/>
          <w:b/>
          <w:sz w:val="28"/>
          <w:szCs w:val="28"/>
        </w:rPr>
        <w:t>primer cargo</w:t>
      </w:r>
      <w:r w:rsidR="00584E4F" w:rsidRPr="0078289D">
        <w:rPr>
          <w:rFonts w:ascii="Times New Roman" w:hAnsi="Times New Roman" w:cs="Times New Roman"/>
          <w:sz w:val="28"/>
          <w:szCs w:val="28"/>
        </w:rPr>
        <w:t xml:space="preserve">, señalan que la creación y ampliación de Áreas de Reserva Estratégica Minera (AEM) </w:t>
      </w:r>
      <w:r w:rsidR="00584E4F" w:rsidRPr="0078289D">
        <w:rPr>
          <w:rFonts w:ascii="Times New Roman" w:hAnsi="Times New Roman" w:cs="Times New Roman"/>
          <w:b/>
          <w:sz w:val="28"/>
          <w:szCs w:val="28"/>
        </w:rPr>
        <w:t xml:space="preserve">desconocen los mandatos </w:t>
      </w:r>
      <w:r w:rsidR="007217B7" w:rsidRPr="0078289D">
        <w:rPr>
          <w:rFonts w:ascii="Times New Roman" w:hAnsi="Times New Roman" w:cs="Times New Roman"/>
          <w:b/>
          <w:sz w:val="28"/>
          <w:szCs w:val="28"/>
        </w:rPr>
        <w:t xml:space="preserve">constitucionales </w:t>
      </w:r>
      <w:r w:rsidR="00584E4F" w:rsidRPr="0078289D">
        <w:rPr>
          <w:rFonts w:ascii="Times New Roman" w:hAnsi="Times New Roman" w:cs="Times New Roman"/>
          <w:b/>
          <w:sz w:val="28"/>
          <w:szCs w:val="28"/>
        </w:rPr>
        <w:t>de</w:t>
      </w:r>
      <w:r w:rsidR="00014683" w:rsidRPr="0078289D">
        <w:rPr>
          <w:rFonts w:ascii="Times New Roman" w:hAnsi="Times New Roman" w:cs="Times New Roman"/>
          <w:b/>
          <w:sz w:val="28"/>
          <w:szCs w:val="28"/>
        </w:rPr>
        <w:t xml:space="preserve"> protección de los trabajadores agropecuarios</w:t>
      </w:r>
      <w:r w:rsidR="00D36BCD" w:rsidRPr="0078289D">
        <w:rPr>
          <w:rFonts w:ascii="Times New Roman" w:hAnsi="Times New Roman" w:cs="Times New Roman"/>
          <w:b/>
          <w:sz w:val="28"/>
          <w:szCs w:val="28"/>
        </w:rPr>
        <w:t xml:space="preserve"> y</w:t>
      </w:r>
      <w:r w:rsidR="00014683" w:rsidRPr="0078289D">
        <w:rPr>
          <w:rFonts w:ascii="Times New Roman" w:hAnsi="Times New Roman" w:cs="Times New Roman"/>
          <w:b/>
          <w:sz w:val="28"/>
          <w:szCs w:val="28"/>
        </w:rPr>
        <w:t xml:space="preserve"> de la producción agropecuaria, </w:t>
      </w:r>
      <w:r w:rsidR="00B076DF" w:rsidRPr="0078289D">
        <w:rPr>
          <w:rFonts w:ascii="Times New Roman" w:hAnsi="Times New Roman" w:cs="Times New Roman"/>
          <w:b/>
          <w:sz w:val="28"/>
          <w:szCs w:val="28"/>
        </w:rPr>
        <w:t>de los cuales dependen</w:t>
      </w:r>
      <w:r w:rsidR="00D36BCD" w:rsidRPr="0078289D">
        <w:rPr>
          <w:rFonts w:ascii="Times New Roman" w:hAnsi="Times New Roman" w:cs="Times New Roman"/>
          <w:b/>
          <w:sz w:val="28"/>
          <w:szCs w:val="28"/>
        </w:rPr>
        <w:t xml:space="preserve"> los</w:t>
      </w:r>
      <w:r w:rsidR="00014683" w:rsidRPr="0078289D">
        <w:rPr>
          <w:rFonts w:ascii="Times New Roman" w:hAnsi="Times New Roman" w:cs="Times New Roman"/>
          <w:b/>
          <w:sz w:val="28"/>
          <w:szCs w:val="28"/>
        </w:rPr>
        <w:t xml:space="preserve"> derecho</w:t>
      </w:r>
      <w:r w:rsidR="007217B7" w:rsidRPr="0078289D">
        <w:rPr>
          <w:rFonts w:ascii="Times New Roman" w:hAnsi="Times New Roman" w:cs="Times New Roman"/>
          <w:b/>
          <w:sz w:val="28"/>
          <w:szCs w:val="28"/>
        </w:rPr>
        <w:t>s</w:t>
      </w:r>
      <w:r w:rsidR="00014683" w:rsidRPr="0078289D">
        <w:rPr>
          <w:rFonts w:ascii="Times New Roman" w:hAnsi="Times New Roman" w:cs="Times New Roman"/>
          <w:b/>
          <w:sz w:val="28"/>
          <w:szCs w:val="28"/>
        </w:rPr>
        <w:t xml:space="preserve"> a la alimentación</w:t>
      </w:r>
      <w:r w:rsidR="00D36BCD" w:rsidRPr="0078289D">
        <w:rPr>
          <w:rFonts w:ascii="Times New Roman" w:hAnsi="Times New Roman" w:cs="Times New Roman"/>
          <w:b/>
          <w:sz w:val="28"/>
          <w:szCs w:val="28"/>
        </w:rPr>
        <w:t xml:space="preserve">, soberanía y seguridad alimentaria, consagrados en </w:t>
      </w:r>
      <w:r w:rsidR="0027390B" w:rsidRPr="0078289D">
        <w:rPr>
          <w:rFonts w:ascii="Times New Roman" w:hAnsi="Times New Roman" w:cs="Times New Roman"/>
          <w:b/>
          <w:sz w:val="28"/>
          <w:szCs w:val="28"/>
        </w:rPr>
        <w:t>los artículos 64, 65 y</w:t>
      </w:r>
      <w:r w:rsidR="00584E4F" w:rsidRPr="0078289D">
        <w:rPr>
          <w:rFonts w:ascii="Times New Roman" w:hAnsi="Times New Roman" w:cs="Times New Roman"/>
          <w:b/>
          <w:sz w:val="28"/>
          <w:szCs w:val="28"/>
        </w:rPr>
        <w:t xml:space="preserve"> 66 de la Constitución Pol</w:t>
      </w:r>
      <w:r w:rsidR="00014683" w:rsidRPr="0078289D">
        <w:rPr>
          <w:rFonts w:ascii="Times New Roman" w:hAnsi="Times New Roman" w:cs="Times New Roman"/>
          <w:b/>
          <w:sz w:val="28"/>
          <w:szCs w:val="28"/>
        </w:rPr>
        <w:t>ítica</w:t>
      </w:r>
      <w:r w:rsidR="00014683" w:rsidRPr="0078289D">
        <w:rPr>
          <w:rFonts w:ascii="Times New Roman" w:hAnsi="Times New Roman" w:cs="Times New Roman"/>
          <w:sz w:val="28"/>
          <w:szCs w:val="28"/>
        </w:rPr>
        <w:t xml:space="preserve">. En este sentido, </w:t>
      </w:r>
      <w:r w:rsidR="00716134" w:rsidRPr="0078289D">
        <w:rPr>
          <w:rFonts w:ascii="Times New Roman" w:hAnsi="Times New Roman" w:cs="Times New Roman"/>
          <w:sz w:val="28"/>
          <w:szCs w:val="28"/>
        </w:rPr>
        <w:t xml:space="preserve">manifiestan que la </w:t>
      </w:r>
      <w:r w:rsidR="00C82FA6" w:rsidRPr="0078289D">
        <w:rPr>
          <w:rFonts w:ascii="Times New Roman" w:hAnsi="Times New Roman" w:cs="Times New Roman"/>
          <w:sz w:val="28"/>
          <w:szCs w:val="28"/>
        </w:rPr>
        <w:t xml:space="preserve">delimitación y reserva de áreas </w:t>
      </w:r>
      <w:r w:rsidR="007A70AF" w:rsidRPr="0078289D">
        <w:rPr>
          <w:rFonts w:ascii="Times New Roman" w:hAnsi="Times New Roman" w:cs="Times New Roman"/>
          <w:sz w:val="28"/>
          <w:szCs w:val="28"/>
        </w:rPr>
        <w:t xml:space="preserve">exclusivas </w:t>
      </w:r>
      <w:r w:rsidR="00125122" w:rsidRPr="0078289D">
        <w:rPr>
          <w:rFonts w:ascii="Times New Roman" w:hAnsi="Times New Roman" w:cs="Times New Roman"/>
          <w:sz w:val="28"/>
          <w:szCs w:val="28"/>
        </w:rPr>
        <w:t>para la minería</w:t>
      </w:r>
      <w:r w:rsidR="00C82FA6" w:rsidRPr="0078289D">
        <w:rPr>
          <w:rFonts w:ascii="Times New Roman" w:hAnsi="Times New Roman" w:cs="Times New Roman"/>
          <w:sz w:val="28"/>
          <w:szCs w:val="28"/>
        </w:rPr>
        <w:t xml:space="preserve"> implica una </w:t>
      </w:r>
      <w:r w:rsidR="00716134" w:rsidRPr="0078289D">
        <w:rPr>
          <w:rFonts w:ascii="Times New Roman" w:hAnsi="Times New Roman" w:cs="Times New Roman"/>
          <w:sz w:val="28"/>
          <w:szCs w:val="28"/>
        </w:rPr>
        <w:t xml:space="preserve">priorización absoluta de </w:t>
      </w:r>
      <w:r w:rsidR="00C82FA6" w:rsidRPr="0078289D">
        <w:rPr>
          <w:rFonts w:ascii="Times New Roman" w:hAnsi="Times New Roman" w:cs="Times New Roman"/>
          <w:sz w:val="28"/>
          <w:szCs w:val="28"/>
        </w:rPr>
        <w:t>dicha</w:t>
      </w:r>
      <w:r w:rsidR="00716134" w:rsidRPr="0078289D">
        <w:rPr>
          <w:rFonts w:ascii="Times New Roman" w:hAnsi="Times New Roman" w:cs="Times New Roman"/>
          <w:sz w:val="28"/>
          <w:szCs w:val="28"/>
        </w:rPr>
        <w:t xml:space="preserve"> actividad </w:t>
      </w:r>
      <w:r w:rsidR="00E96DB0" w:rsidRPr="0078289D">
        <w:rPr>
          <w:rFonts w:ascii="Times New Roman" w:hAnsi="Times New Roman" w:cs="Times New Roman"/>
          <w:sz w:val="28"/>
          <w:szCs w:val="28"/>
        </w:rPr>
        <w:t xml:space="preserve">sobre otro tipo de </w:t>
      </w:r>
      <w:r w:rsidR="00D803FE" w:rsidRPr="0078289D">
        <w:rPr>
          <w:rFonts w:ascii="Times New Roman" w:hAnsi="Times New Roman" w:cs="Times New Roman"/>
          <w:sz w:val="28"/>
          <w:szCs w:val="28"/>
        </w:rPr>
        <w:t>principios y actividades</w:t>
      </w:r>
      <w:r w:rsidR="009E1B63" w:rsidRPr="0078289D">
        <w:rPr>
          <w:rFonts w:ascii="Times New Roman" w:hAnsi="Times New Roman" w:cs="Times New Roman"/>
          <w:sz w:val="28"/>
          <w:szCs w:val="28"/>
        </w:rPr>
        <w:t xml:space="preserve"> también protegido</w:t>
      </w:r>
      <w:r w:rsidR="00E96DB0" w:rsidRPr="0078289D">
        <w:rPr>
          <w:rFonts w:ascii="Times New Roman" w:hAnsi="Times New Roman" w:cs="Times New Roman"/>
          <w:sz w:val="28"/>
          <w:szCs w:val="28"/>
        </w:rPr>
        <w:t>s constitucionalmente, y de mayor importancia, como es el caso de las actividades agrícolas</w:t>
      </w:r>
      <w:r w:rsidR="00D803FE" w:rsidRPr="0078289D">
        <w:rPr>
          <w:rFonts w:ascii="Times New Roman" w:hAnsi="Times New Roman" w:cs="Times New Roman"/>
          <w:sz w:val="28"/>
          <w:szCs w:val="28"/>
        </w:rPr>
        <w:t>, la democratización del acceso a la tierra, y los derechos a la alimentación, seguridad y soberanía alimentaria</w:t>
      </w:r>
      <w:r w:rsidR="007A70AF" w:rsidRPr="0078289D">
        <w:rPr>
          <w:rFonts w:ascii="Times New Roman" w:hAnsi="Times New Roman" w:cs="Times New Roman"/>
          <w:sz w:val="28"/>
          <w:szCs w:val="28"/>
        </w:rPr>
        <w:t xml:space="preserve">, </w:t>
      </w:r>
      <w:r w:rsidR="001E4BFD" w:rsidRPr="0078289D">
        <w:rPr>
          <w:rFonts w:ascii="Times New Roman" w:hAnsi="Times New Roman" w:cs="Times New Roman"/>
          <w:sz w:val="28"/>
          <w:szCs w:val="28"/>
        </w:rPr>
        <w:t>al destinar tierras</w:t>
      </w:r>
      <w:r w:rsidR="005C0D34" w:rsidRPr="0078289D">
        <w:rPr>
          <w:rFonts w:ascii="Times New Roman" w:hAnsi="Times New Roman" w:cs="Times New Roman"/>
          <w:sz w:val="28"/>
          <w:szCs w:val="28"/>
        </w:rPr>
        <w:t xml:space="preserve"> </w:t>
      </w:r>
      <w:r w:rsidR="001E4BFD" w:rsidRPr="0078289D">
        <w:rPr>
          <w:rFonts w:ascii="Times New Roman" w:hAnsi="Times New Roman" w:cs="Times New Roman"/>
          <w:i/>
          <w:sz w:val="28"/>
          <w:szCs w:val="28"/>
        </w:rPr>
        <w:t>“</w:t>
      </w:r>
      <w:r w:rsidR="00903841" w:rsidRPr="0078289D">
        <w:rPr>
          <w:rFonts w:ascii="Times New Roman" w:hAnsi="Times New Roman" w:cs="Times New Roman"/>
          <w:i/>
          <w:sz w:val="28"/>
          <w:szCs w:val="28"/>
        </w:rPr>
        <w:t>de manera exclusiva a la exploración y explotación minera mediante su entrega en concesión a agentes privados que presenten la mejor oferta al Estado”.</w:t>
      </w:r>
      <w:r w:rsidR="00A4049B" w:rsidRPr="0078289D">
        <w:rPr>
          <w:rFonts w:ascii="Times New Roman" w:hAnsi="Times New Roman" w:cs="Times New Roman"/>
          <w:sz w:val="28"/>
          <w:szCs w:val="28"/>
        </w:rPr>
        <w:t xml:space="preserve"> </w:t>
      </w:r>
    </w:p>
    <w:p w:rsidR="00F77290" w:rsidRPr="0078289D" w:rsidRDefault="00F77290"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202D66" w:rsidRPr="0078289D" w:rsidRDefault="0046656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i/>
          <w:sz w:val="28"/>
          <w:szCs w:val="28"/>
        </w:rPr>
      </w:pPr>
      <w:r w:rsidRPr="0078289D">
        <w:rPr>
          <w:rFonts w:ascii="Times New Roman" w:hAnsi="Times New Roman" w:cs="Times New Roman"/>
          <w:sz w:val="28"/>
          <w:szCs w:val="28"/>
        </w:rPr>
        <w:t xml:space="preserve">También afirman </w:t>
      </w:r>
      <w:r w:rsidR="00AB605B" w:rsidRPr="0078289D">
        <w:rPr>
          <w:rFonts w:ascii="Times New Roman" w:hAnsi="Times New Roman" w:cs="Times New Roman"/>
          <w:sz w:val="28"/>
          <w:szCs w:val="28"/>
        </w:rPr>
        <w:t xml:space="preserve">que la figura de las AEM </w:t>
      </w:r>
      <w:r w:rsidR="002F36C4" w:rsidRPr="0078289D">
        <w:rPr>
          <w:rFonts w:ascii="Times New Roman" w:hAnsi="Times New Roman" w:cs="Times New Roman"/>
          <w:sz w:val="28"/>
          <w:szCs w:val="28"/>
        </w:rPr>
        <w:t xml:space="preserve">es indefinida e indiscriminada, y </w:t>
      </w:r>
      <w:r w:rsidR="00541E3D" w:rsidRPr="0078289D">
        <w:rPr>
          <w:rFonts w:ascii="Times New Roman" w:hAnsi="Times New Roman" w:cs="Times New Roman"/>
          <w:sz w:val="28"/>
          <w:szCs w:val="28"/>
        </w:rPr>
        <w:t xml:space="preserve">pretermite el estudio de impacto ambiental sobre sistemas humanos y naturales que </w:t>
      </w:r>
      <w:r w:rsidR="0068283B" w:rsidRPr="0078289D">
        <w:rPr>
          <w:rFonts w:ascii="Times New Roman" w:hAnsi="Times New Roman" w:cs="Times New Roman"/>
          <w:sz w:val="28"/>
          <w:szCs w:val="28"/>
        </w:rPr>
        <w:t>pueden verse afectados con motivo de la realización de actividades mineras</w:t>
      </w:r>
      <w:r w:rsidR="00F77290" w:rsidRPr="0078289D">
        <w:rPr>
          <w:rFonts w:ascii="Times New Roman" w:hAnsi="Times New Roman" w:cs="Times New Roman"/>
          <w:sz w:val="28"/>
          <w:szCs w:val="28"/>
        </w:rPr>
        <w:t>, toda vez que el único criterio utilizado para su determinaci</w:t>
      </w:r>
      <w:r w:rsidR="00B7472C" w:rsidRPr="0078289D">
        <w:rPr>
          <w:rFonts w:ascii="Times New Roman" w:hAnsi="Times New Roman" w:cs="Times New Roman"/>
          <w:sz w:val="28"/>
          <w:szCs w:val="28"/>
        </w:rPr>
        <w:t>ón es la existencia de minerales</w:t>
      </w:r>
      <w:r w:rsidR="006F0A30" w:rsidRPr="0078289D">
        <w:rPr>
          <w:rFonts w:ascii="Times New Roman" w:hAnsi="Times New Roman" w:cs="Times New Roman"/>
          <w:sz w:val="28"/>
          <w:szCs w:val="28"/>
        </w:rPr>
        <w:t xml:space="preserve">. </w:t>
      </w:r>
      <w:r w:rsidR="00181156" w:rsidRPr="0078289D">
        <w:rPr>
          <w:rFonts w:ascii="Times New Roman" w:hAnsi="Times New Roman" w:cs="Times New Roman"/>
          <w:sz w:val="28"/>
          <w:szCs w:val="28"/>
        </w:rPr>
        <w:t xml:space="preserve">A continuación se exponen las razones que sustentan el cargo: </w:t>
      </w:r>
    </w:p>
    <w:p w:rsidR="00923197" w:rsidRPr="0078289D" w:rsidRDefault="0092319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1E6D1B" w:rsidRPr="0078289D" w:rsidRDefault="0092319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En primer lugar, </w:t>
      </w:r>
      <w:r w:rsidR="001829D0" w:rsidRPr="0078289D">
        <w:rPr>
          <w:rFonts w:ascii="Times New Roman" w:hAnsi="Times New Roman" w:cs="Times New Roman"/>
          <w:sz w:val="28"/>
          <w:szCs w:val="28"/>
        </w:rPr>
        <w:t>ex</w:t>
      </w:r>
      <w:r w:rsidR="002C657C" w:rsidRPr="0078289D">
        <w:rPr>
          <w:rFonts w:ascii="Times New Roman" w:hAnsi="Times New Roman" w:cs="Times New Roman"/>
          <w:sz w:val="28"/>
          <w:szCs w:val="28"/>
        </w:rPr>
        <w:t xml:space="preserve">plican que las normas acusadas impactan negativamente la </w:t>
      </w:r>
      <w:r w:rsidR="002C657C" w:rsidRPr="0078289D">
        <w:rPr>
          <w:rFonts w:ascii="Times New Roman" w:hAnsi="Times New Roman" w:cs="Times New Roman"/>
          <w:b/>
          <w:sz w:val="28"/>
          <w:szCs w:val="28"/>
        </w:rPr>
        <w:t xml:space="preserve">situación de los pobladores rurales y la producción </w:t>
      </w:r>
      <w:r w:rsidR="00763599" w:rsidRPr="0078289D">
        <w:rPr>
          <w:rFonts w:ascii="Times New Roman" w:hAnsi="Times New Roman" w:cs="Times New Roman"/>
          <w:b/>
          <w:sz w:val="28"/>
          <w:szCs w:val="28"/>
        </w:rPr>
        <w:t>de alimentos</w:t>
      </w:r>
      <w:r w:rsidR="00763599" w:rsidRPr="0078289D">
        <w:rPr>
          <w:rFonts w:ascii="Times New Roman" w:hAnsi="Times New Roman" w:cs="Times New Roman"/>
          <w:sz w:val="28"/>
          <w:szCs w:val="28"/>
        </w:rPr>
        <w:t>.</w:t>
      </w:r>
      <w:r w:rsidR="000400E4" w:rsidRPr="0078289D">
        <w:rPr>
          <w:rFonts w:ascii="Times New Roman" w:hAnsi="Times New Roman" w:cs="Times New Roman"/>
          <w:sz w:val="28"/>
          <w:szCs w:val="28"/>
        </w:rPr>
        <w:t xml:space="preserve"> Para demostrar esta afirmaci</w:t>
      </w:r>
      <w:r w:rsidR="00415FC3" w:rsidRPr="0078289D">
        <w:rPr>
          <w:rFonts w:ascii="Times New Roman" w:hAnsi="Times New Roman" w:cs="Times New Roman"/>
          <w:sz w:val="28"/>
          <w:szCs w:val="28"/>
        </w:rPr>
        <w:t xml:space="preserve">ón, aportan resultados de informes del Comité </w:t>
      </w:r>
      <w:r w:rsidR="005A7121" w:rsidRPr="0078289D">
        <w:rPr>
          <w:rFonts w:ascii="Times New Roman" w:hAnsi="Times New Roman" w:cs="Times New Roman"/>
          <w:sz w:val="28"/>
          <w:szCs w:val="28"/>
        </w:rPr>
        <w:t>Asesor del Consejo de Derechos Humanos</w:t>
      </w:r>
      <w:r w:rsidR="003F7EA3" w:rsidRPr="0078289D">
        <w:rPr>
          <w:rFonts w:ascii="Times New Roman" w:hAnsi="Times New Roman" w:cs="Times New Roman"/>
          <w:sz w:val="28"/>
          <w:szCs w:val="28"/>
        </w:rPr>
        <w:t xml:space="preserve"> de las Naciones Unidas</w:t>
      </w:r>
      <w:r w:rsidR="005A7121" w:rsidRPr="0078289D">
        <w:rPr>
          <w:rFonts w:ascii="Times New Roman" w:hAnsi="Times New Roman" w:cs="Times New Roman"/>
          <w:sz w:val="28"/>
          <w:szCs w:val="28"/>
        </w:rPr>
        <w:t xml:space="preserve"> y del Fondo Internacional de Desarrollo Agrícola, en los que se afirma que la mayoría de personas que se encuentran en </w:t>
      </w:r>
      <w:r w:rsidR="00E373A4" w:rsidRPr="0078289D">
        <w:rPr>
          <w:rFonts w:ascii="Times New Roman" w:hAnsi="Times New Roman" w:cs="Times New Roman"/>
          <w:sz w:val="28"/>
          <w:szCs w:val="28"/>
        </w:rPr>
        <w:t>la línea de pobreza en el mundo</w:t>
      </w:r>
      <w:r w:rsidR="005A7121" w:rsidRPr="0078289D">
        <w:rPr>
          <w:rFonts w:ascii="Times New Roman" w:hAnsi="Times New Roman" w:cs="Times New Roman"/>
          <w:sz w:val="28"/>
          <w:szCs w:val="28"/>
        </w:rPr>
        <w:t xml:space="preserve"> se encuentra en zonas rurales</w:t>
      </w:r>
      <w:r w:rsidR="001E6CB7" w:rsidRPr="0078289D">
        <w:rPr>
          <w:rFonts w:ascii="Times New Roman" w:hAnsi="Times New Roman" w:cs="Times New Roman"/>
          <w:sz w:val="28"/>
          <w:szCs w:val="28"/>
        </w:rPr>
        <w:t>, y que los proyectos mineros constituyen una amenaza para los campesinos</w:t>
      </w:r>
      <w:r w:rsidR="005A7121" w:rsidRPr="0078289D">
        <w:rPr>
          <w:rFonts w:ascii="Times New Roman" w:hAnsi="Times New Roman" w:cs="Times New Roman"/>
          <w:sz w:val="28"/>
          <w:szCs w:val="28"/>
        </w:rPr>
        <w:t xml:space="preserve">. </w:t>
      </w:r>
      <w:r w:rsidR="00FA2B15" w:rsidRPr="0078289D">
        <w:rPr>
          <w:rFonts w:ascii="Times New Roman" w:hAnsi="Times New Roman" w:cs="Times New Roman"/>
          <w:sz w:val="28"/>
          <w:szCs w:val="28"/>
        </w:rPr>
        <w:t xml:space="preserve">A su vez, refieren que la Corte Constitucional, en </w:t>
      </w:r>
      <w:r w:rsidR="00CF5689" w:rsidRPr="0078289D">
        <w:rPr>
          <w:rFonts w:ascii="Times New Roman" w:hAnsi="Times New Roman" w:cs="Times New Roman"/>
          <w:b/>
          <w:sz w:val="28"/>
          <w:szCs w:val="28"/>
        </w:rPr>
        <w:t>Sentencias</w:t>
      </w:r>
      <w:r w:rsidR="00FA2B15" w:rsidRPr="0078289D">
        <w:rPr>
          <w:rFonts w:ascii="Times New Roman" w:hAnsi="Times New Roman" w:cs="Times New Roman"/>
          <w:b/>
          <w:sz w:val="28"/>
          <w:szCs w:val="28"/>
        </w:rPr>
        <w:t xml:space="preserve"> C-644 de 2012</w:t>
      </w:r>
      <w:r w:rsidR="00BF4921" w:rsidRPr="0078289D">
        <w:rPr>
          <w:rFonts w:ascii="Times New Roman" w:hAnsi="Times New Roman" w:cs="Times New Roman"/>
          <w:b/>
          <w:sz w:val="28"/>
          <w:szCs w:val="28"/>
        </w:rPr>
        <w:t>,</w:t>
      </w:r>
      <w:r w:rsidR="00CF5689" w:rsidRPr="0078289D">
        <w:rPr>
          <w:rFonts w:ascii="Times New Roman" w:hAnsi="Times New Roman" w:cs="Times New Roman"/>
          <w:b/>
          <w:sz w:val="28"/>
          <w:szCs w:val="28"/>
        </w:rPr>
        <w:t xml:space="preserve"> T-348 de 2012 </w:t>
      </w:r>
      <w:r w:rsidR="001F3421" w:rsidRPr="0078289D">
        <w:rPr>
          <w:rFonts w:ascii="Times New Roman" w:hAnsi="Times New Roman" w:cs="Times New Roman"/>
          <w:b/>
          <w:sz w:val="28"/>
          <w:szCs w:val="28"/>
        </w:rPr>
        <w:t>y C-123 de 2014</w:t>
      </w:r>
      <w:r w:rsidR="00FA2B15" w:rsidRPr="0078289D">
        <w:rPr>
          <w:rFonts w:ascii="Times New Roman" w:hAnsi="Times New Roman" w:cs="Times New Roman"/>
          <w:b/>
          <w:sz w:val="28"/>
          <w:szCs w:val="28"/>
        </w:rPr>
        <w:t xml:space="preserve"> </w:t>
      </w:r>
      <w:r w:rsidR="00BF4921" w:rsidRPr="0078289D">
        <w:rPr>
          <w:rFonts w:ascii="Times New Roman" w:hAnsi="Times New Roman" w:cs="Times New Roman"/>
          <w:sz w:val="28"/>
          <w:szCs w:val="28"/>
        </w:rPr>
        <w:t>reconoció</w:t>
      </w:r>
      <w:r w:rsidR="001F0719" w:rsidRPr="0078289D">
        <w:rPr>
          <w:rFonts w:ascii="Times New Roman" w:hAnsi="Times New Roman" w:cs="Times New Roman"/>
          <w:sz w:val="28"/>
          <w:szCs w:val="28"/>
        </w:rPr>
        <w:t xml:space="preserve"> la </w:t>
      </w:r>
      <w:r w:rsidR="00B71DFC" w:rsidRPr="0078289D">
        <w:rPr>
          <w:rFonts w:ascii="Times New Roman" w:hAnsi="Times New Roman" w:cs="Times New Roman"/>
          <w:sz w:val="28"/>
          <w:szCs w:val="28"/>
        </w:rPr>
        <w:t>situación de</w:t>
      </w:r>
      <w:r w:rsidR="001F0719" w:rsidRPr="0078289D">
        <w:rPr>
          <w:rFonts w:ascii="Times New Roman" w:hAnsi="Times New Roman" w:cs="Times New Roman"/>
          <w:sz w:val="28"/>
          <w:szCs w:val="28"/>
        </w:rPr>
        <w:t xml:space="preserve"> vulnerabilidad</w:t>
      </w:r>
      <w:r w:rsidR="00B71DFC" w:rsidRPr="0078289D">
        <w:rPr>
          <w:rFonts w:ascii="Times New Roman" w:hAnsi="Times New Roman" w:cs="Times New Roman"/>
          <w:sz w:val="28"/>
          <w:szCs w:val="28"/>
        </w:rPr>
        <w:t xml:space="preserve"> de la población campesina</w:t>
      </w:r>
      <w:r w:rsidR="00CF5689" w:rsidRPr="0078289D">
        <w:rPr>
          <w:rFonts w:ascii="Times New Roman" w:hAnsi="Times New Roman" w:cs="Times New Roman"/>
          <w:sz w:val="28"/>
          <w:szCs w:val="28"/>
        </w:rPr>
        <w:t>,</w:t>
      </w:r>
      <w:r w:rsidR="006B15C8" w:rsidRPr="0078289D">
        <w:rPr>
          <w:rFonts w:ascii="Times New Roman" w:hAnsi="Times New Roman" w:cs="Times New Roman"/>
          <w:sz w:val="28"/>
          <w:szCs w:val="28"/>
        </w:rPr>
        <w:t xml:space="preserve"> y los </w:t>
      </w:r>
      <w:r w:rsidR="00C20F22" w:rsidRPr="0078289D">
        <w:rPr>
          <w:rFonts w:ascii="Times New Roman" w:hAnsi="Times New Roman" w:cs="Times New Roman"/>
          <w:sz w:val="28"/>
          <w:szCs w:val="28"/>
        </w:rPr>
        <w:t>impactos</w:t>
      </w:r>
      <w:r w:rsidR="00B71DFC" w:rsidRPr="0078289D">
        <w:rPr>
          <w:rFonts w:ascii="Times New Roman" w:hAnsi="Times New Roman" w:cs="Times New Roman"/>
          <w:sz w:val="28"/>
          <w:szCs w:val="28"/>
        </w:rPr>
        <w:t xml:space="preserve"> ambientales</w:t>
      </w:r>
      <w:r w:rsidR="00C20F22" w:rsidRPr="0078289D">
        <w:rPr>
          <w:rFonts w:ascii="Times New Roman" w:hAnsi="Times New Roman" w:cs="Times New Roman"/>
          <w:sz w:val="28"/>
          <w:szCs w:val="28"/>
        </w:rPr>
        <w:t xml:space="preserve"> </w:t>
      </w:r>
      <w:r w:rsidR="001E6CB7" w:rsidRPr="0078289D">
        <w:rPr>
          <w:rFonts w:ascii="Times New Roman" w:hAnsi="Times New Roman" w:cs="Times New Roman"/>
          <w:sz w:val="28"/>
          <w:szCs w:val="28"/>
        </w:rPr>
        <w:t xml:space="preserve">negativos </w:t>
      </w:r>
      <w:r w:rsidR="00C20F22" w:rsidRPr="0078289D">
        <w:rPr>
          <w:rFonts w:ascii="Times New Roman" w:hAnsi="Times New Roman" w:cs="Times New Roman"/>
          <w:sz w:val="28"/>
          <w:szCs w:val="28"/>
        </w:rPr>
        <w:t>en los territorios y las comunidades</w:t>
      </w:r>
      <w:r w:rsidR="001F0719" w:rsidRPr="0078289D">
        <w:rPr>
          <w:rFonts w:ascii="Times New Roman" w:hAnsi="Times New Roman" w:cs="Times New Roman"/>
          <w:sz w:val="28"/>
          <w:szCs w:val="28"/>
        </w:rPr>
        <w:t xml:space="preserve">. </w:t>
      </w:r>
      <w:r w:rsidR="00EE3A54" w:rsidRPr="0078289D">
        <w:rPr>
          <w:rFonts w:ascii="Times New Roman" w:hAnsi="Times New Roman" w:cs="Times New Roman"/>
          <w:sz w:val="28"/>
          <w:szCs w:val="28"/>
        </w:rPr>
        <w:t>Así mismo</w:t>
      </w:r>
      <w:r w:rsidR="00281E10" w:rsidRPr="0078289D">
        <w:rPr>
          <w:rFonts w:ascii="Times New Roman" w:hAnsi="Times New Roman" w:cs="Times New Roman"/>
          <w:sz w:val="28"/>
          <w:szCs w:val="28"/>
        </w:rPr>
        <w:t>, p</w:t>
      </w:r>
      <w:r w:rsidR="00B03F89" w:rsidRPr="0078289D">
        <w:rPr>
          <w:rFonts w:ascii="Times New Roman" w:hAnsi="Times New Roman" w:cs="Times New Roman"/>
          <w:sz w:val="28"/>
          <w:szCs w:val="28"/>
        </w:rPr>
        <w:t xml:space="preserve">ara probar </w:t>
      </w:r>
      <w:r w:rsidR="009E7C15" w:rsidRPr="0078289D">
        <w:rPr>
          <w:rFonts w:ascii="Times New Roman" w:hAnsi="Times New Roman" w:cs="Times New Roman"/>
          <w:sz w:val="28"/>
          <w:szCs w:val="28"/>
        </w:rPr>
        <w:t>el conflicto existente entre</w:t>
      </w:r>
      <w:r w:rsidR="00B03F89" w:rsidRPr="0078289D">
        <w:rPr>
          <w:rFonts w:ascii="Times New Roman" w:hAnsi="Times New Roman" w:cs="Times New Roman"/>
          <w:sz w:val="28"/>
          <w:szCs w:val="28"/>
        </w:rPr>
        <w:t xml:space="preserve"> la minería </w:t>
      </w:r>
      <w:r w:rsidR="009E7C15" w:rsidRPr="0078289D">
        <w:rPr>
          <w:rFonts w:ascii="Times New Roman" w:hAnsi="Times New Roman" w:cs="Times New Roman"/>
          <w:sz w:val="28"/>
          <w:szCs w:val="28"/>
        </w:rPr>
        <w:t>y</w:t>
      </w:r>
      <w:r w:rsidR="00B03F89" w:rsidRPr="0078289D">
        <w:rPr>
          <w:rFonts w:ascii="Times New Roman" w:hAnsi="Times New Roman" w:cs="Times New Roman"/>
          <w:sz w:val="28"/>
          <w:szCs w:val="28"/>
        </w:rPr>
        <w:t xml:space="preserve"> </w:t>
      </w:r>
      <w:r w:rsidR="0090667B" w:rsidRPr="0078289D">
        <w:rPr>
          <w:rFonts w:ascii="Times New Roman" w:hAnsi="Times New Roman" w:cs="Times New Roman"/>
          <w:sz w:val="28"/>
          <w:szCs w:val="28"/>
        </w:rPr>
        <w:t xml:space="preserve">el desarrollo de </w:t>
      </w:r>
      <w:r w:rsidR="00B03F89" w:rsidRPr="0078289D">
        <w:rPr>
          <w:rFonts w:ascii="Times New Roman" w:hAnsi="Times New Roman" w:cs="Times New Roman"/>
          <w:sz w:val="28"/>
          <w:szCs w:val="28"/>
        </w:rPr>
        <w:t xml:space="preserve">la agricultura colombiana, aportaron algunas cifras proveídas por </w:t>
      </w:r>
      <w:r w:rsidR="00BA7CDF" w:rsidRPr="0078289D">
        <w:rPr>
          <w:rFonts w:ascii="Times New Roman" w:hAnsi="Times New Roman" w:cs="Times New Roman"/>
          <w:sz w:val="28"/>
          <w:szCs w:val="28"/>
        </w:rPr>
        <w:t>la Contraloría General de la Rep</w:t>
      </w:r>
      <w:r w:rsidR="00B03F89" w:rsidRPr="0078289D">
        <w:rPr>
          <w:rFonts w:ascii="Times New Roman" w:hAnsi="Times New Roman" w:cs="Times New Roman"/>
          <w:sz w:val="28"/>
          <w:szCs w:val="28"/>
        </w:rPr>
        <w:t xml:space="preserve">ública. Así, indicaron que </w:t>
      </w:r>
      <w:r w:rsidR="00087457" w:rsidRPr="0078289D">
        <w:rPr>
          <w:rFonts w:ascii="Times New Roman" w:hAnsi="Times New Roman" w:cs="Times New Roman"/>
          <w:sz w:val="28"/>
          <w:szCs w:val="28"/>
        </w:rPr>
        <w:t xml:space="preserve">ésta entidad señaló que </w:t>
      </w:r>
      <w:r w:rsidR="00087457" w:rsidRPr="0078289D">
        <w:rPr>
          <w:rFonts w:ascii="Times New Roman" w:hAnsi="Times New Roman" w:cs="Times New Roman"/>
          <w:i/>
          <w:sz w:val="28"/>
          <w:szCs w:val="28"/>
        </w:rPr>
        <w:t>“más de una tercera parte del territorio continental del país cuenta con</w:t>
      </w:r>
      <w:r w:rsidR="003C20F2" w:rsidRPr="0078289D">
        <w:rPr>
          <w:rFonts w:ascii="Times New Roman" w:hAnsi="Times New Roman" w:cs="Times New Roman"/>
          <w:i/>
          <w:sz w:val="28"/>
          <w:szCs w:val="28"/>
        </w:rPr>
        <w:t xml:space="preserve"> un</w:t>
      </w:r>
      <w:r w:rsidR="00087457" w:rsidRPr="0078289D">
        <w:rPr>
          <w:rFonts w:ascii="Times New Roman" w:hAnsi="Times New Roman" w:cs="Times New Roman"/>
          <w:i/>
          <w:sz w:val="28"/>
          <w:szCs w:val="28"/>
        </w:rPr>
        <w:t xml:space="preserve"> título minero, está solicitado para titulación o está destinado </w:t>
      </w:r>
      <w:r w:rsidR="00AA5C0A" w:rsidRPr="0078289D">
        <w:rPr>
          <w:rFonts w:ascii="Times New Roman" w:hAnsi="Times New Roman" w:cs="Times New Roman"/>
          <w:i/>
          <w:sz w:val="28"/>
          <w:szCs w:val="28"/>
        </w:rPr>
        <w:t>para el desarrollo minero a través de las áreas estratégicas mineras”.</w:t>
      </w:r>
      <w:r w:rsidR="00AA5C0A" w:rsidRPr="0078289D">
        <w:rPr>
          <w:rStyle w:val="Refdenotaalpie"/>
          <w:rFonts w:ascii="Times New Roman" w:hAnsi="Times New Roman"/>
          <w:i/>
          <w:sz w:val="28"/>
          <w:szCs w:val="28"/>
        </w:rPr>
        <w:footnoteReference w:id="2"/>
      </w:r>
      <w:r w:rsidR="002021DA" w:rsidRPr="0078289D">
        <w:rPr>
          <w:rFonts w:ascii="Times New Roman" w:hAnsi="Times New Roman" w:cs="Times New Roman"/>
          <w:sz w:val="28"/>
          <w:szCs w:val="28"/>
        </w:rPr>
        <w:t>Igualmente</w:t>
      </w:r>
      <w:r w:rsidR="002C2D06" w:rsidRPr="0078289D">
        <w:rPr>
          <w:rFonts w:ascii="Times New Roman" w:hAnsi="Times New Roman" w:cs="Times New Roman"/>
          <w:sz w:val="28"/>
          <w:szCs w:val="28"/>
        </w:rPr>
        <w:t xml:space="preserve">, </w:t>
      </w:r>
      <w:r w:rsidR="00EC6295" w:rsidRPr="0078289D">
        <w:rPr>
          <w:rFonts w:ascii="Times New Roman" w:hAnsi="Times New Roman" w:cs="Times New Roman"/>
          <w:sz w:val="28"/>
          <w:szCs w:val="28"/>
        </w:rPr>
        <w:t>manifiestan</w:t>
      </w:r>
      <w:r w:rsidR="00937BB5" w:rsidRPr="0078289D">
        <w:rPr>
          <w:rFonts w:ascii="Times New Roman" w:hAnsi="Times New Roman" w:cs="Times New Roman"/>
          <w:sz w:val="28"/>
          <w:szCs w:val="28"/>
        </w:rPr>
        <w:t xml:space="preserve"> que actualmente </w:t>
      </w:r>
      <w:r w:rsidR="00680992" w:rsidRPr="0078289D">
        <w:rPr>
          <w:rFonts w:ascii="Times New Roman" w:hAnsi="Times New Roman" w:cs="Times New Roman"/>
          <w:sz w:val="28"/>
          <w:szCs w:val="28"/>
        </w:rPr>
        <w:t xml:space="preserve">existen </w:t>
      </w:r>
      <w:r w:rsidR="00937BB5" w:rsidRPr="0078289D">
        <w:rPr>
          <w:rFonts w:ascii="Times New Roman" w:hAnsi="Times New Roman" w:cs="Times New Roman"/>
          <w:sz w:val="28"/>
          <w:szCs w:val="28"/>
        </w:rPr>
        <w:t>11.431 áreas con vocación agrícola en el territorio nacional</w:t>
      </w:r>
      <w:r w:rsidR="00937BB5" w:rsidRPr="0078289D">
        <w:rPr>
          <w:rStyle w:val="Refdenotaalpie"/>
          <w:rFonts w:ascii="Times New Roman" w:hAnsi="Times New Roman"/>
          <w:sz w:val="28"/>
          <w:szCs w:val="28"/>
        </w:rPr>
        <w:footnoteReference w:id="3"/>
      </w:r>
      <w:r w:rsidR="00893DC7" w:rsidRPr="0078289D">
        <w:rPr>
          <w:rFonts w:ascii="Times New Roman" w:hAnsi="Times New Roman" w:cs="Times New Roman"/>
          <w:sz w:val="28"/>
          <w:szCs w:val="28"/>
        </w:rPr>
        <w:t>, de las cuales, el 10,65% están sobrepuestas a áreas estratégicas mineras</w:t>
      </w:r>
      <w:r w:rsidR="003C20F2" w:rsidRPr="0078289D">
        <w:rPr>
          <w:rFonts w:ascii="Times New Roman" w:hAnsi="Times New Roman" w:cs="Times New Roman"/>
          <w:sz w:val="28"/>
          <w:szCs w:val="28"/>
        </w:rPr>
        <w:t>, lo que evidencia un conflicto territorial entre las actividades minera y agrícola</w:t>
      </w:r>
      <w:r w:rsidR="00CF748D" w:rsidRPr="0078289D">
        <w:rPr>
          <w:rFonts w:ascii="Times New Roman" w:hAnsi="Times New Roman" w:cs="Times New Roman"/>
          <w:sz w:val="28"/>
          <w:szCs w:val="28"/>
        </w:rPr>
        <w:t xml:space="preserve">. </w:t>
      </w:r>
    </w:p>
    <w:p w:rsidR="002C2D06" w:rsidRPr="0078289D" w:rsidRDefault="002C2D06"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75296B" w:rsidRPr="0078289D" w:rsidRDefault="0015793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En segundo lugar</w:t>
      </w:r>
      <w:r w:rsidR="001E6D1B" w:rsidRPr="0078289D">
        <w:rPr>
          <w:rFonts w:ascii="Times New Roman" w:hAnsi="Times New Roman" w:cs="Times New Roman"/>
          <w:sz w:val="28"/>
          <w:szCs w:val="28"/>
        </w:rPr>
        <w:t xml:space="preserve">, </w:t>
      </w:r>
      <w:r w:rsidR="00EC6295" w:rsidRPr="0078289D">
        <w:rPr>
          <w:rFonts w:ascii="Times New Roman" w:hAnsi="Times New Roman" w:cs="Times New Roman"/>
          <w:sz w:val="28"/>
          <w:szCs w:val="28"/>
        </w:rPr>
        <w:t>explican</w:t>
      </w:r>
      <w:r w:rsidR="003D7E00" w:rsidRPr="0078289D">
        <w:rPr>
          <w:rFonts w:ascii="Times New Roman" w:hAnsi="Times New Roman" w:cs="Times New Roman"/>
          <w:sz w:val="28"/>
          <w:szCs w:val="28"/>
        </w:rPr>
        <w:t xml:space="preserve"> que las normas acus</w:t>
      </w:r>
      <w:r w:rsidR="00E36C50" w:rsidRPr="0078289D">
        <w:rPr>
          <w:rFonts w:ascii="Times New Roman" w:hAnsi="Times New Roman" w:cs="Times New Roman"/>
          <w:sz w:val="28"/>
          <w:szCs w:val="28"/>
        </w:rPr>
        <w:t xml:space="preserve">adas </w:t>
      </w:r>
      <w:r w:rsidR="00740289" w:rsidRPr="0078289D">
        <w:rPr>
          <w:rFonts w:ascii="Times New Roman" w:hAnsi="Times New Roman" w:cs="Times New Roman"/>
          <w:b/>
          <w:sz w:val="28"/>
          <w:szCs w:val="28"/>
        </w:rPr>
        <w:t xml:space="preserve">vulneran </w:t>
      </w:r>
      <w:r w:rsidR="001D1DCA" w:rsidRPr="0078289D">
        <w:rPr>
          <w:rFonts w:ascii="Times New Roman" w:hAnsi="Times New Roman" w:cs="Times New Roman"/>
          <w:b/>
          <w:sz w:val="28"/>
          <w:szCs w:val="28"/>
        </w:rPr>
        <w:t>el deber de promoción d</w:t>
      </w:r>
      <w:r w:rsidR="009B0656" w:rsidRPr="0078289D">
        <w:rPr>
          <w:rFonts w:ascii="Times New Roman" w:hAnsi="Times New Roman" w:cs="Times New Roman"/>
          <w:b/>
          <w:sz w:val="28"/>
          <w:szCs w:val="28"/>
        </w:rPr>
        <w:t>e acceso progresivo a la tierra</w:t>
      </w:r>
      <w:r w:rsidR="00F36A06" w:rsidRPr="0078289D">
        <w:rPr>
          <w:rFonts w:ascii="Times New Roman" w:hAnsi="Times New Roman" w:cs="Times New Roman"/>
          <w:sz w:val="28"/>
          <w:szCs w:val="28"/>
        </w:rPr>
        <w:t xml:space="preserve">, por dos razones: </w:t>
      </w:r>
      <w:r w:rsidR="00012D72" w:rsidRPr="0078289D">
        <w:rPr>
          <w:rFonts w:ascii="Times New Roman" w:hAnsi="Times New Roman" w:cs="Times New Roman"/>
          <w:sz w:val="28"/>
          <w:szCs w:val="28"/>
        </w:rPr>
        <w:t>Por un lado</w:t>
      </w:r>
      <w:r w:rsidR="00F36A06" w:rsidRPr="0078289D">
        <w:rPr>
          <w:rFonts w:ascii="Times New Roman" w:hAnsi="Times New Roman" w:cs="Times New Roman"/>
          <w:sz w:val="28"/>
          <w:szCs w:val="28"/>
        </w:rPr>
        <w:t xml:space="preserve">, porque </w:t>
      </w:r>
      <w:r w:rsidR="00740289" w:rsidRPr="0078289D">
        <w:rPr>
          <w:rFonts w:ascii="Times New Roman" w:hAnsi="Times New Roman" w:cs="Times New Roman"/>
          <w:sz w:val="28"/>
          <w:szCs w:val="28"/>
        </w:rPr>
        <w:t>al priorizar la actividad minera (que es de utilidad pública), permiten</w:t>
      </w:r>
      <w:r w:rsidR="0075296B" w:rsidRPr="0078289D">
        <w:rPr>
          <w:rFonts w:ascii="Times New Roman" w:hAnsi="Times New Roman" w:cs="Times New Roman"/>
          <w:sz w:val="28"/>
          <w:szCs w:val="28"/>
        </w:rPr>
        <w:t>, sin ningún mecanismo de ponderación,</w:t>
      </w:r>
      <w:r w:rsidR="00740289" w:rsidRPr="0078289D">
        <w:rPr>
          <w:rFonts w:ascii="Times New Roman" w:hAnsi="Times New Roman" w:cs="Times New Roman"/>
          <w:sz w:val="28"/>
          <w:szCs w:val="28"/>
        </w:rPr>
        <w:t xml:space="preserve"> la expropiación </w:t>
      </w:r>
      <w:r w:rsidR="0075296B" w:rsidRPr="0078289D">
        <w:rPr>
          <w:rFonts w:ascii="Times New Roman" w:hAnsi="Times New Roman" w:cs="Times New Roman"/>
          <w:sz w:val="28"/>
          <w:szCs w:val="28"/>
        </w:rPr>
        <w:t xml:space="preserve">de bienes adjudicados a campesinos como resultado de procedimientos de democratización de la propiedad rural. </w:t>
      </w:r>
      <w:r w:rsidR="00012D72" w:rsidRPr="0078289D">
        <w:rPr>
          <w:rFonts w:ascii="Times New Roman" w:hAnsi="Times New Roman" w:cs="Times New Roman"/>
          <w:sz w:val="28"/>
          <w:szCs w:val="28"/>
        </w:rPr>
        <w:t>Por otro lado, porque</w:t>
      </w:r>
      <w:r w:rsidR="00543058" w:rsidRPr="0078289D">
        <w:rPr>
          <w:rFonts w:ascii="Times New Roman" w:hAnsi="Times New Roman" w:cs="Times New Roman"/>
          <w:sz w:val="28"/>
          <w:szCs w:val="28"/>
        </w:rPr>
        <w:t xml:space="preserve"> impiden que se adjudiquen las tierras a los campesinos, </w:t>
      </w:r>
      <w:r w:rsidR="00461CC6" w:rsidRPr="0078289D">
        <w:rPr>
          <w:rFonts w:ascii="Times New Roman" w:hAnsi="Times New Roman" w:cs="Times New Roman"/>
          <w:sz w:val="28"/>
          <w:szCs w:val="28"/>
        </w:rPr>
        <w:t xml:space="preserve">al destinar ciertas áreas </w:t>
      </w:r>
      <w:r w:rsidR="00543058" w:rsidRPr="0078289D">
        <w:rPr>
          <w:rFonts w:ascii="Times New Roman" w:hAnsi="Times New Roman" w:cs="Times New Roman"/>
          <w:sz w:val="28"/>
          <w:szCs w:val="28"/>
        </w:rPr>
        <w:t xml:space="preserve">exclusivamente para la minería. </w:t>
      </w:r>
    </w:p>
    <w:p w:rsidR="00AF4C09" w:rsidRPr="0078289D" w:rsidRDefault="00AF4C0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AF4C09" w:rsidRPr="0078289D" w:rsidRDefault="00AF4C0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Finalmente, </w:t>
      </w:r>
      <w:r w:rsidRPr="0078289D">
        <w:rPr>
          <w:rFonts w:ascii="Times New Roman" w:hAnsi="Times New Roman" w:cs="Times New Roman"/>
          <w:b/>
          <w:sz w:val="28"/>
          <w:szCs w:val="28"/>
        </w:rPr>
        <w:t>manifiestan que las normas demandadas vulneran los derechos a la</w:t>
      </w:r>
      <w:r w:rsidRPr="0078289D">
        <w:rPr>
          <w:rFonts w:ascii="Times New Roman" w:hAnsi="Times New Roman" w:cs="Times New Roman"/>
          <w:sz w:val="28"/>
          <w:szCs w:val="28"/>
        </w:rPr>
        <w:t xml:space="preserve"> </w:t>
      </w:r>
      <w:r w:rsidRPr="0078289D">
        <w:rPr>
          <w:rFonts w:ascii="Times New Roman" w:hAnsi="Times New Roman" w:cs="Times New Roman"/>
          <w:b/>
          <w:sz w:val="28"/>
          <w:szCs w:val="28"/>
        </w:rPr>
        <w:t>alimentación, seguridad y soberanía alimentaria</w:t>
      </w:r>
      <w:r w:rsidR="00265021" w:rsidRPr="0078289D">
        <w:rPr>
          <w:rFonts w:ascii="Times New Roman" w:hAnsi="Times New Roman" w:cs="Times New Roman"/>
          <w:b/>
          <w:sz w:val="28"/>
          <w:szCs w:val="28"/>
        </w:rPr>
        <w:t xml:space="preserve">s. </w:t>
      </w:r>
      <w:r w:rsidR="00265021" w:rsidRPr="0078289D">
        <w:rPr>
          <w:rFonts w:ascii="Times New Roman" w:hAnsi="Times New Roman" w:cs="Times New Roman"/>
          <w:sz w:val="28"/>
          <w:szCs w:val="28"/>
        </w:rPr>
        <w:t>Señalan que el Estado, atendiendo a sus obligaciones internacionales,</w:t>
      </w:r>
      <w:r w:rsidR="008C4245" w:rsidRPr="0078289D">
        <w:rPr>
          <w:rFonts w:ascii="Times New Roman" w:hAnsi="Times New Roman" w:cs="Times New Roman"/>
          <w:sz w:val="28"/>
          <w:szCs w:val="28"/>
        </w:rPr>
        <w:t xml:space="preserve"> debe abstenerse de adoptar medidas </w:t>
      </w:r>
      <w:r w:rsidR="00BB6A4C" w:rsidRPr="0078289D">
        <w:rPr>
          <w:rFonts w:ascii="Times New Roman" w:hAnsi="Times New Roman" w:cs="Times New Roman"/>
          <w:sz w:val="28"/>
          <w:szCs w:val="28"/>
        </w:rPr>
        <w:t>que impidan</w:t>
      </w:r>
      <w:r w:rsidR="008C4245" w:rsidRPr="0078289D">
        <w:rPr>
          <w:rFonts w:ascii="Times New Roman" w:hAnsi="Times New Roman" w:cs="Times New Roman"/>
          <w:sz w:val="28"/>
          <w:szCs w:val="28"/>
        </w:rPr>
        <w:t xml:space="preserve"> el acceso a la alimentación, lo cual sucedería con el cambio de vocación de la tierra. </w:t>
      </w:r>
      <w:r w:rsidR="00FA06AF" w:rsidRPr="0078289D">
        <w:rPr>
          <w:rFonts w:ascii="Times New Roman" w:hAnsi="Times New Roman" w:cs="Times New Roman"/>
          <w:sz w:val="28"/>
          <w:szCs w:val="28"/>
        </w:rPr>
        <w:t xml:space="preserve">Igualmente, manifiestan que </w:t>
      </w:r>
      <w:r w:rsidR="00BB6A4C" w:rsidRPr="0078289D">
        <w:rPr>
          <w:rFonts w:ascii="Times New Roman" w:hAnsi="Times New Roman" w:cs="Times New Roman"/>
          <w:sz w:val="28"/>
          <w:szCs w:val="28"/>
        </w:rPr>
        <w:t xml:space="preserve">con la figura de las AEM </w:t>
      </w:r>
      <w:r w:rsidR="00FA06AF" w:rsidRPr="0078289D">
        <w:rPr>
          <w:rFonts w:ascii="Times New Roman" w:hAnsi="Times New Roman" w:cs="Times New Roman"/>
          <w:sz w:val="28"/>
          <w:szCs w:val="28"/>
        </w:rPr>
        <w:t xml:space="preserve">existiría una vulneración de la obligación de protección del acceso a la alimentación de las comunidades cuyo único medio de sustento es la agricultura. También </w:t>
      </w:r>
      <w:r w:rsidR="00537E51" w:rsidRPr="0078289D">
        <w:rPr>
          <w:rFonts w:ascii="Times New Roman" w:hAnsi="Times New Roman" w:cs="Times New Roman"/>
          <w:sz w:val="28"/>
          <w:szCs w:val="28"/>
        </w:rPr>
        <w:t>señalan que</w:t>
      </w:r>
      <w:r w:rsidR="006B5BA9" w:rsidRPr="0078289D">
        <w:rPr>
          <w:rFonts w:ascii="Times New Roman" w:hAnsi="Times New Roman" w:cs="Times New Roman"/>
          <w:sz w:val="28"/>
          <w:szCs w:val="28"/>
        </w:rPr>
        <w:t xml:space="preserve"> las normas acusadas vulneran la importancia de garantizar el desarrollo sostenible y el respeto de la cultura y valores de los pueblos afectados, y desconocen la relación que las comunidades étnicas y campesinas tienen con los recursos naturales, la cual fue ampliamente desarrollada en </w:t>
      </w:r>
      <w:r w:rsidR="00537E51" w:rsidRPr="0078289D">
        <w:rPr>
          <w:rFonts w:ascii="Times New Roman" w:hAnsi="Times New Roman" w:cs="Times New Roman"/>
          <w:b/>
          <w:sz w:val="28"/>
          <w:szCs w:val="28"/>
        </w:rPr>
        <w:t>Sentencia</w:t>
      </w:r>
      <w:r w:rsidR="00EE5D9A" w:rsidRPr="0078289D">
        <w:rPr>
          <w:rFonts w:ascii="Times New Roman" w:hAnsi="Times New Roman" w:cs="Times New Roman"/>
          <w:b/>
          <w:sz w:val="28"/>
          <w:szCs w:val="28"/>
        </w:rPr>
        <w:t>s</w:t>
      </w:r>
      <w:r w:rsidR="00537E51" w:rsidRPr="0078289D">
        <w:rPr>
          <w:rFonts w:ascii="Times New Roman" w:hAnsi="Times New Roman" w:cs="Times New Roman"/>
          <w:b/>
          <w:sz w:val="28"/>
          <w:szCs w:val="28"/>
        </w:rPr>
        <w:t xml:space="preserve"> C-262 de 1996</w:t>
      </w:r>
      <w:r w:rsidR="00A67F68" w:rsidRPr="0078289D">
        <w:rPr>
          <w:rFonts w:ascii="Times New Roman" w:hAnsi="Times New Roman" w:cs="Times New Roman"/>
          <w:b/>
          <w:sz w:val="28"/>
          <w:szCs w:val="28"/>
        </w:rPr>
        <w:t xml:space="preserve"> y T-348 de 2012</w:t>
      </w:r>
      <w:r w:rsidR="006B5BA9" w:rsidRPr="0078289D">
        <w:rPr>
          <w:rFonts w:ascii="Times New Roman" w:hAnsi="Times New Roman" w:cs="Times New Roman"/>
          <w:b/>
          <w:sz w:val="28"/>
          <w:szCs w:val="28"/>
        </w:rPr>
        <w:t xml:space="preserve">. </w:t>
      </w:r>
    </w:p>
    <w:p w:rsidR="00AF4C09" w:rsidRPr="0078289D" w:rsidRDefault="00AF4C0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5C4D02" w:rsidRPr="0078289D" w:rsidRDefault="0002156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lastRenderedPageBreak/>
        <w:t xml:space="preserve">Como </w:t>
      </w:r>
      <w:r w:rsidRPr="0078289D">
        <w:rPr>
          <w:rFonts w:ascii="Times New Roman" w:hAnsi="Times New Roman" w:cs="Times New Roman"/>
          <w:b/>
          <w:sz w:val="28"/>
          <w:szCs w:val="28"/>
        </w:rPr>
        <w:t xml:space="preserve">segundo cargo, </w:t>
      </w:r>
      <w:r w:rsidRPr="0078289D">
        <w:rPr>
          <w:rFonts w:ascii="Times New Roman" w:hAnsi="Times New Roman" w:cs="Times New Roman"/>
          <w:sz w:val="28"/>
          <w:szCs w:val="28"/>
        </w:rPr>
        <w:t xml:space="preserve">los accionantes señalan </w:t>
      </w:r>
      <w:r w:rsidRPr="0078289D">
        <w:rPr>
          <w:rFonts w:ascii="Times New Roman" w:hAnsi="Times New Roman" w:cs="Times New Roman"/>
          <w:b/>
          <w:sz w:val="28"/>
          <w:szCs w:val="28"/>
        </w:rPr>
        <w:t>que l</w:t>
      </w:r>
      <w:r w:rsidR="00B55EAE" w:rsidRPr="0078289D">
        <w:rPr>
          <w:rFonts w:ascii="Times New Roman" w:hAnsi="Times New Roman" w:cs="Times New Roman"/>
          <w:b/>
          <w:sz w:val="28"/>
          <w:szCs w:val="28"/>
        </w:rPr>
        <w:t>a creación y ampliación de las áreas de reserva minera desconoce</w:t>
      </w:r>
      <w:r w:rsidR="006A7457" w:rsidRPr="0078289D">
        <w:rPr>
          <w:rFonts w:ascii="Times New Roman" w:hAnsi="Times New Roman" w:cs="Times New Roman"/>
          <w:b/>
          <w:sz w:val="28"/>
          <w:szCs w:val="28"/>
        </w:rPr>
        <w:t>n</w:t>
      </w:r>
      <w:r w:rsidR="00B55EAE" w:rsidRPr="0078289D">
        <w:rPr>
          <w:rFonts w:ascii="Times New Roman" w:hAnsi="Times New Roman" w:cs="Times New Roman"/>
          <w:b/>
          <w:sz w:val="28"/>
          <w:szCs w:val="28"/>
        </w:rPr>
        <w:t xml:space="preserve"> los principio</w:t>
      </w:r>
      <w:r w:rsidR="00DE4C13" w:rsidRPr="0078289D">
        <w:rPr>
          <w:rFonts w:ascii="Times New Roman" w:hAnsi="Times New Roman" w:cs="Times New Roman"/>
          <w:b/>
          <w:sz w:val="28"/>
          <w:szCs w:val="28"/>
        </w:rPr>
        <w:t>s de autonomía territorial, coor</w:t>
      </w:r>
      <w:r w:rsidR="00FF4234" w:rsidRPr="0078289D">
        <w:rPr>
          <w:rFonts w:ascii="Times New Roman" w:hAnsi="Times New Roman" w:cs="Times New Roman"/>
          <w:b/>
          <w:sz w:val="28"/>
          <w:szCs w:val="28"/>
        </w:rPr>
        <w:t>d</w:t>
      </w:r>
      <w:r w:rsidR="00B55EAE" w:rsidRPr="0078289D">
        <w:rPr>
          <w:rFonts w:ascii="Times New Roman" w:hAnsi="Times New Roman" w:cs="Times New Roman"/>
          <w:b/>
          <w:sz w:val="28"/>
          <w:szCs w:val="28"/>
        </w:rPr>
        <w:t>inación, concurrencia y subsidiariedad, e impide</w:t>
      </w:r>
      <w:r w:rsidR="006A7457" w:rsidRPr="0078289D">
        <w:rPr>
          <w:rFonts w:ascii="Times New Roman" w:hAnsi="Times New Roman" w:cs="Times New Roman"/>
          <w:b/>
          <w:sz w:val="28"/>
          <w:szCs w:val="28"/>
        </w:rPr>
        <w:t>n</w:t>
      </w:r>
      <w:r w:rsidR="00B55EAE" w:rsidRPr="0078289D">
        <w:rPr>
          <w:rFonts w:ascii="Times New Roman" w:hAnsi="Times New Roman" w:cs="Times New Roman"/>
          <w:b/>
          <w:sz w:val="28"/>
          <w:szCs w:val="28"/>
        </w:rPr>
        <w:t xml:space="preserve"> a los municipios regular los usos del suelo y ordenar el territorio</w:t>
      </w:r>
      <w:r w:rsidR="008C61FD" w:rsidRPr="0078289D">
        <w:rPr>
          <w:rFonts w:ascii="Times New Roman" w:hAnsi="Times New Roman" w:cs="Times New Roman"/>
          <w:sz w:val="28"/>
          <w:szCs w:val="28"/>
        </w:rPr>
        <w:t xml:space="preserve">, por cuanto las </w:t>
      </w:r>
      <w:r w:rsidR="002F1A0F" w:rsidRPr="0078289D">
        <w:rPr>
          <w:rFonts w:ascii="Times New Roman" w:hAnsi="Times New Roman" w:cs="Times New Roman"/>
          <w:sz w:val="28"/>
          <w:szCs w:val="28"/>
        </w:rPr>
        <w:t>normas facultan</w:t>
      </w:r>
      <w:r w:rsidR="00137DF3" w:rsidRPr="0078289D">
        <w:rPr>
          <w:rFonts w:ascii="Times New Roman" w:hAnsi="Times New Roman" w:cs="Times New Roman"/>
          <w:sz w:val="28"/>
          <w:szCs w:val="28"/>
        </w:rPr>
        <w:t xml:space="preserve"> únicamente </w:t>
      </w:r>
      <w:r w:rsidR="002F1A0F" w:rsidRPr="0078289D">
        <w:rPr>
          <w:rFonts w:ascii="Times New Roman" w:hAnsi="Times New Roman" w:cs="Times New Roman"/>
          <w:sz w:val="28"/>
          <w:szCs w:val="28"/>
        </w:rPr>
        <w:t>a</w:t>
      </w:r>
      <w:r w:rsidR="002405CF" w:rsidRPr="0078289D">
        <w:rPr>
          <w:rFonts w:ascii="Times New Roman" w:hAnsi="Times New Roman" w:cs="Times New Roman"/>
          <w:sz w:val="28"/>
          <w:szCs w:val="28"/>
        </w:rPr>
        <w:t xml:space="preserve">l Gobierno Nacional y </w:t>
      </w:r>
      <w:r w:rsidR="002F1A0F" w:rsidRPr="0078289D">
        <w:rPr>
          <w:rFonts w:ascii="Times New Roman" w:hAnsi="Times New Roman" w:cs="Times New Roman"/>
          <w:sz w:val="28"/>
          <w:szCs w:val="28"/>
        </w:rPr>
        <w:t>a</w:t>
      </w:r>
      <w:r w:rsidR="002405CF" w:rsidRPr="0078289D">
        <w:rPr>
          <w:rFonts w:ascii="Times New Roman" w:hAnsi="Times New Roman" w:cs="Times New Roman"/>
          <w:sz w:val="28"/>
          <w:szCs w:val="28"/>
        </w:rPr>
        <w:t xml:space="preserve"> </w:t>
      </w:r>
      <w:r w:rsidR="00A132B8" w:rsidRPr="0078289D">
        <w:rPr>
          <w:rFonts w:ascii="Times New Roman" w:hAnsi="Times New Roman" w:cs="Times New Roman"/>
          <w:sz w:val="28"/>
          <w:szCs w:val="28"/>
        </w:rPr>
        <w:t xml:space="preserve">entidades del orden nacional, a realizar la delimitación de estas áreas. </w:t>
      </w:r>
      <w:r w:rsidR="00485B4A" w:rsidRPr="0078289D">
        <w:rPr>
          <w:rFonts w:ascii="Times New Roman" w:hAnsi="Times New Roman" w:cs="Times New Roman"/>
          <w:sz w:val="28"/>
          <w:szCs w:val="28"/>
        </w:rPr>
        <w:t xml:space="preserve">A juicio de los demandantes </w:t>
      </w:r>
      <w:r w:rsidR="00AA0D55" w:rsidRPr="0078289D">
        <w:rPr>
          <w:rFonts w:ascii="Times New Roman" w:hAnsi="Times New Roman" w:cs="Times New Roman"/>
          <w:sz w:val="28"/>
          <w:szCs w:val="28"/>
        </w:rPr>
        <w:t xml:space="preserve">las normas excluyen </w:t>
      </w:r>
      <w:r w:rsidR="00FB3C62" w:rsidRPr="0078289D">
        <w:rPr>
          <w:rFonts w:ascii="Times New Roman" w:hAnsi="Times New Roman" w:cs="Times New Roman"/>
          <w:sz w:val="28"/>
          <w:szCs w:val="28"/>
        </w:rPr>
        <w:t xml:space="preserve">la competencia </w:t>
      </w:r>
      <w:r w:rsidR="00EB0A27" w:rsidRPr="0078289D">
        <w:rPr>
          <w:rFonts w:ascii="Times New Roman" w:hAnsi="Times New Roman" w:cs="Times New Roman"/>
          <w:sz w:val="28"/>
          <w:szCs w:val="28"/>
        </w:rPr>
        <w:t>que tienen</w:t>
      </w:r>
      <w:r w:rsidR="00FB3C62" w:rsidRPr="0078289D">
        <w:rPr>
          <w:rFonts w:ascii="Times New Roman" w:hAnsi="Times New Roman" w:cs="Times New Roman"/>
          <w:sz w:val="28"/>
          <w:szCs w:val="28"/>
        </w:rPr>
        <w:t xml:space="preserve"> </w:t>
      </w:r>
      <w:r w:rsidR="002177E5" w:rsidRPr="0078289D">
        <w:rPr>
          <w:rFonts w:ascii="Times New Roman" w:hAnsi="Times New Roman" w:cs="Times New Roman"/>
          <w:sz w:val="28"/>
          <w:szCs w:val="28"/>
        </w:rPr>
        <w:t xml:space="preserve">las entidades territoriales para adoptar </w:t>
      </w:r>
      <w:r w:rsidR="00137DF3" w:rsidRPr="0078289D">
        <w:rPr>
          <w:rFonts w:ascii="Times New Roman" w:hAnsi="Times New Roman" w:cs="Times New Roman"/>
          <w:sz w:val="28"/>
          <w:szCs w:val="28"/>
        </w:rPr>
        <w:t xml:space="preserve">decisiones </w:t>
      </w:r>
      <w:r w:rsidR="00811109" w:rsidRPr="0078289D">
        <w:rPr>
          <w:rFonts w:ascii="Times New Roman" w:hAnsi="Times New Roman" w:cs="Times New Roman"/>
          <w:sz w:val="28"/>
          <w:szCs w:val="28"/>
        </w:rPr>
        <w:t>sobre la exploración y explotación del uso del subsuelo</w:t>
      </w:r>
      <w:r w:rsidR="00341158" w:rsidRPr="0078289D">
        <w:rPr>
          <w:rFonts w:ascii="Times New Roman" w:hAnsi="Times New Roman" w:cs="Times New Roman"/>
          <w:sz w:val="28"/>
          <w:szCs w:val="28"/>
        </w:rPr>
        <w:t>, y propiciar la participación comunitaria en los asuntos que le conciernen</w:t>
      </w:r>
      <w:r w:rsidR="00811109" w:rsidRPr="0078289D">
        <w:rPr>
          <w:rFonts w:ascii="Times New Roman" w:hAnsi="Times New Roman" w:cs="Times New Roman"/>
          <w:sz w:val="28"/>
          <w:szCs w:val="28"/>
        </w:rPr>
        <w:t xml:space="preserve">. </w:t>
      </w:r>
    </w:p>
    <w:p w:rsidR="005C4D02" w:rsidRPr="0078289D" w:rsidRDefault="005C4D0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0543D2" w:rsidRPr="0078289D" w:rsidRDefault="003339F0"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M</w:t>
      </w:r>
      <w:r w:rsidR="000E1827" w:rsidRPr="0078289D">
        <w:rPr>
          <w:rFonts w:ascii="Times New Roman" w:hAnsi="Times New Roman" w:cs="Times New Roman"/>
          <w:sz w:val="28"/>
          <w:szCs w:val="28"/>
        </w:rPr>
        <w:t>anifestaron que</w:t>
      </w:r>
      <w:r w:rsidR="00BE602E" w:rsidRPr="0078289D">
        <w:rPr>
          <w:rFonts w:ascii="Times New Roman" w:hAnsi="Times New Roman" w:cs="Times New Roman"/>
          <w:sz w:val="28"/>
          <w:szCs w:val="28"/>
        </w:rPr>
        <w:t xml:space="preserve"> las normas</w:t>
      </w:r>
      <w:r w:rsidR="00684A39" w:rsidRPr="0078289D">
        <w:rPr>
          <w:rFonts w:ascii="Times New Roman" w:hAnsi="Times New Roman" w:cs="Times New Roman"/>
          <w:sz w:val="28"/>
          <w:szCs w:val="28"/>
        </w:rPr>
        <w:t xml:space="preserve"> demandadas</w:t>
      </w:r>
      <w:r w:rsidR="00BE602E" w:rsidRPr="0078289D">
        <w:rPr>
          <w:rFonts w:ascii="Times New Roman" w:hAnsi="Times New Roman" w:cs="Times New Roman"/>
          <w:sz w:val="28"/>
          <w:szCs w:val="28"/>
        </w:rPr>
        <w:t xml:space="preserve"> </w:t>
      </w:r>
      <w:r w:rsidR="00BE602E" w:rsidRPr="0078289D">
        <w:rPr>
          <w:rFonts w:ascii="Times New Roman" w:hAnsi="Times New Roman" w:cs="Times New Roman"/>
          <w:b/>
          <w:sz w:val="28"/>
          <w:szCs w:val="28"/>
        </w:rPr>
        <w:t>violan los</w:t>
      </w:r>
      <w:r w:rsidR="00CF77E5" w:rsidRPr="0078289D">
        <w:rPr>
          <w:rFonts w:ascii="Times New Roman" w:hAnsi="Times New Roman" w:cs="Times New Roman"/>
          <w:b/>
          <w:sz w:val="28"/>
          <w:szCs w:val="28"/>
        </w:rPr>
        <w:t xml:space="preserve"> artículos 287 y 288 </w:t>
      </w:r>
      <w:r w:rsidR="00BE602E" w:rsidRPr="0078289D">
        <w:rPr>
          <w:rFonts w:ascii="Times New Roman" w:hAnsi="Times New Roman" w:cs="Times New Roman"/>
          <w:b/>
          <w:sz w:val="28"/>
          <w:szCs w:val="28"/>
        </w:rPr>
        <w:t xml:space="preserve">de la Constitución Política, que consagran </w:t>
      </w:r>
      <w:r w:rsidR="000E1827" w:rsidRPr="0078289D">
        <w:rPr>
          <w:rFonts w:ascii="Times New Roman" w:hAnsi="Times New Roman" w:cs="Times New Roman"/>
          <w:b/>
          <w:sz w:val="28"/>
          <w:szCs w:val="28"/>
        </w:rPr>
        <w:t>que el Estado es el propietario del subsuelo</w:t>
      </w:r>
      <w:r w:rsidR="008E6C24" w:rsidRPr="0078289D">
        <w:rPr>
          <w:rFonts w:ascii="Times New Roman" w:hAnsi="Times New Roman" w:cs="Times New Roman"/>
          <w:b/>
          <w:sz w:val="28"/>
          <w:szCs w:val="28"/>
        </w:rPr>
        <w:t xml:space="preserve">, y que por lo tanto, las entidades territoriales tienen </w:t>
      </w:r>
      <w:r w:rsidR="00FD31E2" w:rsidRPr="0078289D">
        <w:rPr>
          <w:rFonts w:ascii="Times New Roman" w:hAnsi="Times New Roman" w:cs="Times New Roman"/>
          <w:b/>
          <w:sz w:val="28"/>
          <w:szCs w:val="28"/>
        </w:rPr>
        <w:t>competencias</w:t>
      </w:r>
      <w:r w:rsidR="008E6C24" w:rsidRPr="0078289D">
        <w:rPr>
          <w:rFonts w:ascii="Times New Roman" w:hAnsi="Times New Roman" w:cs="Times New Roman"/>
          <w:b/>
          <w:sz w:val="28"/>
          <w:szCs w:val="28"/>
        </w:rPr>
        <w:t xml:space="preserve"> sobre éste</w:t>
      </w:r>
      <w:r w:rsidR="00BE602E" w:rsidRPr="0078289D">
        <w:rPr>
          <w:rFonts w:ascii="Times New Roman" w:hAnsi="Times New Roman" w:cs="Times New Roman"/>
          <w:b/>
          <w:sz w:val="28"/>
          <w:szCs w:val="28"/>
        </w:rPr>
        <w:t>.</w:t>
      </w:r>
      <w:r w:rsidR="00BE602E" w:rsidRPr="0078289D">
        <w:rPr>
          <w:rFonts w:ascii="Times New Roman" w:hAnsi="Times New Roman" w:cs="Times New Roman"/>
          <w:sz w:val="28"/>
          <w:szCs w:val="28"/>
        </w:rPr>
        <w:t xml:space="preserve"> A juicio de los demandantes el término “Estado” </w:t>
      </w:r>
      <w:r w:rsidR="000F05FE" w:rsidRPr="0078289D">
        <w:rPr>
          <w:rFonts w:ascii="Times New Roman" w:hAnsi="Times New Roman" w:cs="Times New Roman"/>
          <w:sz w:val="28"/>
          <w:szCs w:val="28"/>
        </w:rPr>
        <w:t>incluye también a los entes territoriales</w:t>
      </w:r>
      <w:r w:rsidR="00F829D0" w:rsidRPr="0078289D">
        <w:rPr>
          <w:rStyle w:val="Refdenotaalpie"/>
          <w:rFonts w:ascii="Times New Roman" w:hAnsi="Times New Roman"/>
          <w:sz w:val="28"/>
          <w:szCs w:val="28"/>
        </w:rPr>
        <w:footnoteReference w:id="4"/>
      </w:r>
      <w:r w:rsidR="004F0A96" w:rsidRPr="0078289D">
        <w:rPr>
          <w:rFonts w:ascii="Times New Roman" w:hAnsi="Times New Roman" w:cs="Times New Roman"/>
          <w:sz w:val="28"/>
          <w:szCs w:val="28"/>
        </w:rPr>
        <w:t>, mientras que e</w:t>
      </w:r>
      <w:r w:rsidR="000F05FE" w:rsidRPr="0078289D">
        <w:rPr>
          <w:rFonts w:ascii="Times New Roman" w:hAnsi="Times New Roman" w:cs="Times New Roman"/>
          <w:sz w:val="28"/>
          <w:szCs w:val="28"/>
        </w:rPr>
        <w:t>l concepto de “Nación”</w:t>
      </w:r>
      <w:r w:rsidR="004F0A96" w:rsidRPr="0078289D">
        <w:rPr>
          <w:rFonts w:ascii="Times New Roman" w:hAnsi="Times New Roman" w:cs="Times New Roman"/>
          <w:sz w:val="28"/>
          <w:szCs w:val="28"/>
        </w:rPr>
        <w:t xml:space="preserve"> hace referencia exclusiva al Gobierno central</w:t>
      </w:r>
      <w:r w:rsidR="00576D10" w:rsidRPr="0078289D">
        <w:rPr>
          <w:rStyle w:val="Refdenotaalpie"/>
          <w:rFonts w:ascii="Times New Roman" w:hAnsi="Times New Roman"/>
          <w:sz w:val="28"/>
          <w:szCs w:val="28"/>
        </w:rPr>
        <w:footnoteReference w:id="5"/>
      </w:r>
    </w:p>
    <w:p w:rsidR="003E53B9" w:rsidRPr="0078289D" w:rsidRDefault="003E53B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D803FE" w:rsidRPr="0078289D" w:rsidRDefault="00EE3A54"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Así </w:t>
      </w:r>
      <w:r w:rsidR="005129B9" w:rsidRPr="0078289D">
        <w:rPr>
          <w:rFonts w:ascii="Times New Roman" w:hAnsi="Times New Roman" w:cs="Times New Roman"/>
          <w:sz w:val="28"/>
          <w:szCs w:val="28"/>
        </w:rPr>
        <w:t xml:space="preserve">mismo, </w:t>
      </w:r>
      <w:r w:rsidR="00045AE5" w:rsidRPr="0078289D">
        <w:rPr>
          <w:rFonts w:ascii="Times New Roman" w:hAnsi="Times New Roman" w:cs="Times New Roman"/>
          <w:sz w:val="28"/>
          <w:szCs w:val="28"/>
        </w:rPr>
        <w:t xml:space="preserve">señalaron que las </w:t>
      </w:r>
      <w:r w:rsidR="00045AE5" w:rsidRPr="0078289D">
        <w:rPr>
          <w:rFonts w:ascii="Times New Roman" w:hAnsi="Times New Roman" w:cs="Times New Roman"/>
          <w:b/>
          <w:sz w:val="28"/>
          <w:szCs w:val="28"/>
        </w:rPr>
        <w:t>normas vulneran el principio de</w:t>
      </w:r>
      <w:r w:rsidR="00B37413" w:rsidRPr="0078289D">
        <w:rPr>
          <w:rFonts w:ascii="Times New Roman" w:hAnsi="Times New Roman" w:cs="Times New Roman"/>
          <w:b/>
          <w:sz w:val="28"/>
          <w:szCs w:val="28"/>
        </w:rPr>
        <w:t xml:space="preserve"> autonom</w:t>
      </w:r>
      <w:r w:rsidR="00907A29" w:rsidRPr="0078289D">
        <w:rPr>
          <w:rFonts w:ascii="Times New Roman" w:hAnsi="Times New Roman" w:cs="Times New Roman"/>
          <w:b/>
          <w:sz w:val="28"/>
          <w:szCs w:val="28"/>
        </w:rPr>
        <w:t>ía</w:t>
      </w:r>
      <w:r w:rsidR="00907A29" w:rsidRPr="0078289D">
        <w:rPr>
          <w:rFonts w:ascii="Times New Roman" w:hAnsi="Times New Roman" w:cs="Times New Roman"/>
          <w:sz w:val="28"/>
          <w:szCs w:val="28"/>
        </w:rPr>
        <w:t xml:space="preserve">, entendiéndose como </w:t>
      </w:r>
      <w:r w:rsidR="00B37413" w:rsidRPr="0078289D">
        <w:rPr>
          <w:rFonts w:ascii="Times New Roman" w:hAnsi="Times New Roman" w:cs="Times New Roman"/>
          <w:sz w:val="28"/>
          <w:szCs w:val="28"/>
        </w:rPr>
        <w:t>aquel que permite materializar la gesti</w:t>
      </w:r>
      <w:r w:rsidR="00045AE5" w:rsidRPr="0078289D">
        <w:rPr>
          <w:rFonts w:ascii="Times New Roman" w:hAnsi="Times New Roman" w:cs="Times New Roman"/>
          <w:sz w:val="28"/>
          <w:szCs w:val="28"/>
        </w:rPr>
        <w:t>ón de los intereses</w:t>
      </w:r>
      <w:r w:rsidR="00B86945" w:rsidRPr="0078289D">
        <w:rPr>
          <w:rFonts w:ascii="Times New Roman" w:hAnsi="Times New Roman" w:cs="Times New Roman"/>
          <w:i/>
          <w:sz w:val="28"/>
          <w:szCs w:val="28"/>
        </w:rPr>
        <w:t xml:space="preserve"> </w:t>
      </w:r>
      <w:r w:rsidR="00B86945" w:rsidRPr="0078289D">
        <w:rPr>
          <w:rFonts w:ascii="Times New Roman" w:hAnsi="Times New Roman" w:cs="Times New Roman"/>
          <w:sz w:val="28"/>
          <w:szCs w:val="28"/>
        </w:rPr>
        <w:t>de las entidades territoriales</w:t>
      </w:r>
      <w:r w:rsidR="008A750B" w:rsidRPr="0078289D">
        <w:rPr>
          <w:rFonts w:ascii="Times New Roman" w:hAnsi="Times New Roman" w:cs="Times New Roman"/>
          <w:sz w:val="28"/>
          <w:szCs w:val="28"/>
        </w:rPr>
        <w:t xml:space="preserve">, </w:t>
      </w:r>
      <w:r w:rsidR="001F13F0" w:rsidRPr="0078289D">
        <w:rPr>
          <w:rFonts w:ascii="Times New Roman" w:hAnsi="Times New Roman" w:cs="Times New Roman"/>
          <w:sz w:val="28"/>
          <w:szCs w:val="28"/>
        </w:rPr>
        <w:t>al impedirles</w:t>
      </w:r>
      <w:r w:rsidR="008A750B" w:rsidRPr="0078289D">
        <w:rPr>
          <w:rFonts w:ascii="Times New Roman" w:hAnsi="Times New Roman" w:cs="Times New Roman"/>
          <w:sz w:val="28"/>
          <w:szCs w:val="28"/>
        </w:rPr>
        <w:t xml:space="preserve"> decidir sobre el uso y destinación del suelo</w:t>
      </w:r>
      <w:r w:rsidR="00B86945" w:rsidRPr="0078289D">
        <w:rPr>
          <w:rFonts w:ascii="Times New Roman" w:hAnsi="Times New Roman" w:cs="Times New Roman"/>
          <w:sz w:val="28"/>
          <w:szCs w:val="28"/>
        </w:rPr>
        <w:t>. Mencionaron que</w:t>
      </w:r>
      <w:r w:rsidR="00A649D8" w:rsidRPr="0078289D">
        <w:rPr>
          <w:rFonts w:ascii="Times New Roman" w:hAnsi="Times New Roman" w:cs="Times New Roman"/>
          <w:sz w:val="28"/>
          <w:szCs w:val="28"/>
        </w:rPr>
        <w:t xml:space="preserve"> </w:t>
      </w:r>
      <w:r w:rsidR="00DA271A" w:rsidRPr="0078289D">
        <w:rPr>
          <w:rFonts w:ascii="Times New Roman" w:hAnsi="Times New Roman" w:cs="Times New Roman"/>
          <w:sz w:val="28"/>
          <w:szCs w:val="28"/>
        </w:rPr>
        <w:t xml:space="preserve">en </w:t>
      </w:r>
      <w:r w:rsidR="00DA271A" w:rsidRPr="0078289D">
        <w:rPr>
          <w:rFonts w:ascii="Times New Roman" w:hAnsi="Times New Roman" w:cs="Times New Roman"/>
          <w:b/>
          <w:sz w:val="28"/>
          <w:szCs w:val="28"/>
        </w:rPr>
        <w:t>Sentencia</w:t>
      </w:r>
      <w:r w:rsidR="00861F17" w:rsidRPr="0078289D">
        <w:rPr>
          <w:rFonts w:ascii="Times New Roman" w:hAnsi="Times New Roman" w:cs="Times New Roman"/>
          <w:b/>
          <w:sz w:val="28"/>
          <w:szCs w:val="28"/>
        </w:rPr>
        <w:t>s</w:t>
      </w:r>
      <w:r w:rsidR="00DA271A" w:rsidRPr="0078289D">
        <w:rPr>
          <w:rFonts w:ascii="Times New Roman" w:hAnsi="Times New Roman" w:cs="Times New Roman"/>
          <w:b/>
          <w:sz w:val="28"/>
          <w:szCs w:val="28"/>
        </w:rPr>
        <w:t xml:space="preserve"> C</w:t>
      </w:r>
      <w:r w:rsidR="0059646C" w:rsidRPr="0078289D">
        <w:rPr>
          <w:rFonts w:ascii="Times New Roman" w:hAnsi="Times New Roman" w:cs="Times New Roman"/>
          <w:b/>
          <w:sz w:val="28"/>
          <w:szCs w:val="28"/>
        </w:rPr>
        <w:t>-123 de 2014</w:t>
      </w:r>
      <w:r w:rsidR="00E605FA" w:rsidRPr="0078289D">
        <w:rPr>
          <w:rFonts w:ascii="Times New Roman" w:hAnsi="Times New Roman" w:cs="Times New Roman"/>
          <w:b/>
          <w:sz w:val="28"/>
          <w:szCs w:val="28"/>
        </w:rPr>
        <w:t xml:space="preserve"> y C-149 de 2010</w:t>
      </w:r>
      <w:r w:rsidR="00D06FF1" w:rsidRPr="0078289D">
        <w:rPr>
          <w:rFonts w:ascii="Times New Roman" w:hAnsi="Times New Roman" w:cs="Times New Roman"/>
          <w:b/>
          <w:sz w:val="28"/>
          <w:szCs w:val="28"/>
        </w:rPr>
        <w:t xml:space="preserve">, </w:t>
      </w:r>
      <w:r w:rsidR="00D06FF1" w:rsidRPr="0078289D">
        <w:rPr>
          <w:rFonts w:ascii="Times New Roman" w:hAnsi="Times New Roman" w:cs="Times New Roman"/>
          <w:sz w:val="28"/>
          <w:szCs w:val="28"/>
        </w:rPr>
        <w:t xml:space="preserve">la Corte </w:t>
      </w:r>
      <w:r w:rsidR="00E3762F" w:rsidRPr="0078289D">
        <w:rPr>
          <w:rFonts w:ascii="Times New Roman" w:hAnsi="Times New Roman" w:cs="Times New Roman"/>
          <w:sz w:val="28"/>
          <w:szCs w:val="28"/>
        </w:rPr>
        <w:t>reconoció que</w:t>
      </w:r>
      <w:r w:rsidR="00CB504C" w:rsidRPr="0078289D">
        <w:rPr>
          <w:rFonts w:ascii="Times New Roman" w:hAnsi="Times New Roman" w:cs="Times New Roman"/>
          <w:sz w:val="28"/>
          <w:szCs w:val="28"/>
        </w:rPr>
        <w:t xml:space="preserve"> en caso de tensión entre</w:t>
      </w:r>
      <w:r w:rsidR="00E3762F" w:rsidRPr="0078289D">
        <w:rPr>
          <w:rFonts w:ascii="Times New Roman" w:hAnsi="Times New Roman" w:cs="Times New Roman"/>
          <w:sz w:val="28"/>
          <w:szCs w:val="28"/>
        </w:rPr>
        <w:t xml:space="preserve"> los principios de Estado unitario y autonomí</w:t>
      </w:r>
      <w:r w:rsidR="00D74505" w:rsidRPr="0078289D">
        <w:rPr>
          <w:rFonts w:ascii="Times New Roman" w:hAnsi="Times New Roman" w:cs="Times New Roman"/>
          <w:sz w:val="28"/>
          <w:szCs w:val="28"/>
        </w:rPr>
        <w:t>a de las entidades territoriales, cuando existen discrepancias en la explotación del subsuelo</w:t>
      </w:r>
      <w:r w:rsidR="00CB504C" w:rsidRPr="0078289D">
        <w:rPr>
          <w:rFonts w:ascii="Times New Roman" w:hAnsi="Times New Roman" w:cs="Times New Roman"/>
          <w:sz w:val="28"/>
          <w:szCs w:val="28"/>
        </w:rPr>
        <w:t>, éstos</w:t>
      </w:r>
      <w:r w:rsidR="00E3762F" w:rsidRPr="0078289D">
        <w:rPr>
          <w:rFonts w:ascii="Times New Roman" w:hAnsi="Times New Roman" w:cs="Times New Roman"/>
          <w:sz w:val="28"/>
          <w:szCs w:val="28"/>
        </w:rPr>
        <w:t xml:space="preserve"> deben armonizarse a través de la aplicación de los principios de coordinación</w:t>
      </w:r>
      <w:r w:rsidR="00834180" w:rsidRPr="0078289D">
        <w:rPr>
          <w:rFonts w:ascii="Times New Roman" w:hAnsi="Times New Roman" w:cs="Times New Roman"/>
          <w:sz w:val="28"/>
          <w:szCs w:val="28"/>
        </w:rPr>
        <w:t>, concurrencia y subsidiariedad</w:t>
      </w:r>
      <w:r w:rsidR="002616DD" w:rsidRPr="0078289D">
        <w:rPr>
          <w:rFonts w:ascii="Times New Roman" w:hAnsi="Times New Roman" w:cs="Times New Roman"/>
          <w:sz w:val="28"/>
          <w:szCs w:val="28"/>
        </w:rPr>
        <w:t>, que permitan “acordar” la política de extracción del subsuelo</w:t>
      </w:r>
      <w:r w:rsidR="00834180" w:rsidRPr="0078289D">
        <w:rPr>
          <w:rFonts w:ascii="Times New Roman" w:hAnsi="Times New Roman" w:cs="Times New Roman"/>
          <w:sz w:val="28"/>
          <w:szCs w:val="28"/>
        </w:rPr>
        <w:t xml:space="preserve">. </w:t>
      </w:r>
      <w:r w:rsidR="00D74505" w:rsidRPr="0078289D">
        <w:rPr>
          <w:rFonts w:ascii="Times New Roman" w:hAnsi="Times New Roman" w:cs="Times New Roman"/>
          <w:sz w:val="28"/>
          <w:szCs w:val="28"/>
        </w:rPr>
        <w:t xml:space="preserve">Ello, debido al grave impacto </w:t>
      </w:r>
      <w:r w:rsidR="00232815" w:rsidRPr="0078289D">
        <w:rPr>
          <w:rFonts w:ascii="Times New Roman" w:hAnsi="Times New Roman" w:cs="Times New Roman"/>
          <w:sz w:val="28"/>
          <w:szCs w:val="28"/>
        </w:rPr>
        <w:t xml:space="preserve">ambiental y social </w:t>
      </w:r>
      <w:r w:rsidR="008A750B" w:rsidRPr="0078289D">
        <w:rPr>
          <w:rFonts w:ascii="Times New Roman" w:hAnsi="Times New Roman" w:cs="Times New Roman"/>
          <w:sz w:val="28"/>
          <w:szCs w:val="28"/>
        </w:rPr>
        <w:t>de este tipo de políticas</w:t>
      </w:r>
      <w:r w:rsidR="00232815" w:rsidRPr="0078289D">
        <w:rPr>
          <w:rFonts w:ascii="Times New Roman" w:hAnsi="Times New Roman" w:cs="Times New Roman"/>
          <w:sz w:val="28"/>
          <w:szCs w:val="28"/>
        </w:rPr>
        <w:t xml:space="preserve">. </w:t>
      </w:r>
    </w:p>
    <w:p w:rsidR="00E96DB0" w:rsidRPr="0078289D" w:rsidRDefault="00E96DB0"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36DE1" w:rsidRPr="0078289D" w:rsidRDefault="00DC7B73"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i/>
          <w:sz w:val="28"/>
          <w:szCs w:val="28"/>
        </w:rPr>
      </w:pPr>
      <w:r w:rsidRPr="0078289D">
        <w:rPr>
          <w:rFonts w:ascii="Times New Roman" w:hAnsi="Times New Roman" w:cs="Times New Roman"/>
          <w:sz w:val="28"/>
          <w:szCs w:val="28"/>
        </w:rPr>
        <w:t>En el</w:t>
      </w:r>
      <w:r w:rsidR="003339F0" w:rsidRPr="0078289D">
        <w:rPr>
          <w:rFonts w:ascii="Times New Roman" w:hAnsi="Times New Roman" w:cs="Times New Roman"/>
          <w:sz w:val="28"/>
          <w:szCs w:val="28"/>
        </w:rPr>
        <w:t xml:space="preserve"> </w:t>
      </w:r>
      <w:r w:rsidR="003339F0" w:rsidRPr="0078289D">
        <w:rPr>
          <w:rFonts w:ascii="Times New Roman" w:hAnsi="Times New Roman" w:cs="Times New Roman"/>
          <w:b/>
          <w:sz w:val="28"/>
          <w:szCs w:val="28"/>
        </w:rPr>
        <w:t>t</w:t>
      </w:r>
      <w:r w:rsidR="00772176" w:rsidRPr="0078289D">
        <w:rPr>
          <w:rFonts w:ascii="Times New Roman" w:hAnsi="Times New Roman" w:cs="Times New Roman"/>
          <w:b/>
          <w:sz w:val="28"/>
          <w:szCs w:val="28"/>
        </w:rPr>
        <w:t>ercer cargo</w:t>
      </w:r>
      <w:r w:rsidRPr="0078289D">
        <w:rPr>
          <w:rFonts w:ascii="Times New Roman" w:hAnsi="Times New Roman" w:cs="Times New Roman"/>
          <w:sz w:val="28"/>
          <w:szCs w:val="28"/>
        </w:rPr>
        <w:t>, además de reiterar varias de las apreciaciones señaladas en los cargos anteriores, indican que</w:t>
      </w:r>
      <w:r w:rsidR="003339F0" w:rsidRPr="0078289D">
        <w:rPr>
          <w:rFonts w:ascii="Times New Roman" w:hAnsi="Times New Roman" w:cs="Times New Roman"/>
          <w:b/>
          <w:sz w:val="28"/>
          <w:szCs w:val="28"/>
        </w:rPr>
        <w:t xml:space="preserve"> la</w:t>
      </w:r>
      <w:r w:rsidR="00772176" w:rsidRPr="0078289D">
        <w:rPr>
          <w:rFonts w:ascii="Times New Roman" w:hAnsi="Times New Roman" w:cs="Times New Roman"/>
          <w:b/>
          <w:sz w:val="28"/>
          <w:szCs w:val="28"/>
        </w:rPr>
        <w:t xml:space="preserve"> creación y ampliación </w:t>
      </w:r>
      <w:r w:rsidR="0054798D" w:rsidRPr="0078289D">
        <w:rPr>
          <w:rFonts w:ascii="Times New Roman" w:hAnsi="Times New Roman" w:cs="Times New Roman"/>
          <w:b/>
          <w:sz w:val="28"/>
          <w:szCs w:val="28"/>
        </w:rPr>
        <w:t>de las áreas de reserva minera viola los principios de democracia representativa y participativa y el derecho político a una representaci</w:t>
      </w:r>
      <w:r w:rsidR="00CD059A" w:rsidRPr="0078289D">
        <w:rPr>
          <w:rFonts w:ascii="Times New Roman" w:hAnsi="Times New Roman" w:cs="Times New Roman"/>
          <w:b/>
          <w:sz w:val="28"/>
          <w:szCs w:val="28"/>
        </w:rPr>
        <w:t>ón efectiva</w:t>
      </w:r>
      <w:r w:rsidR="00A73BD9" w:rsidRPr="0078289D">
        <w:rPr>
          <w:rStyle w:val="Refdenotaalpie"/>
          <w:rFonts w:ascii="Times New Roman" w:hAnsi="Times New Roman"/>
          <w:sz w:val="28"/>
          <w:szCs w:val="28"/>
        </w:rPr>
        <w:footnoteReference w:id="6"/>
      </w:r>
      <w:r w:rsidR="00A73BD9" w:rsidRPr="0078289D">
        <w:rPr>
          <w:rFonts w:ascii="Times New Roman" w:hAnsi="Times New Roman" w:cs="Times New Roman"/>
          <w:sz w:val="28"/>
          <w:szCs w:val="28"/>
        </w:rPr>
        <w:t>. En este sentido, mencionan que las normas acusadas</w:t>
      </w:r>
      <w:r w:rsidR="007D720B" w:rsidRPr="0078289D">
        <w:rPr>
          <w:rFonts w:ascii="Times New Roman" w:hAnsi="Times New Roman" w:cs="Times New Roman"/>
          <w:sz w:val="28"/>
          <w:szCs w:val="28"/>
        </w:rPr>
        <w:t xml:space="preserve"> </w:t>
      </w:r>
      <w:r w:rsidR="00CD059A" w:rsidRPr="0078289D">
        <w:rPr>
          <w:rFonts w:ascii="Times New Roman" w:hAnsi="Times New Roman" w:cs="Times New Roman"/>
          <w:i/>
          <w:sz w:val="28"/>
          <w:szCs w:val="28"/>
        </w:rPr>
        <w:t xml:space="preserve">“impiden que los concejos municipales – y en consecuencia, los ciudadanos residente </w:t>
      </w:r>
      <w:r w:rsidR="00CD059A" w:rsidRPr="0078289D">
        <w:rPr>
          <w:rFonts w:ascii="Times New Roman" w:hAnsi="Times New Roman" w:cs="Times New Roman"/>
          <w:sz w:val="28"/>
          <w:szCs w:val="28"/>
        </w:rPr>
        <w:t xml:space="preserve">(sic) </w:t>
      </w:r>
      <w:r w:rsidR="00CD059A" w:rsidRPr="0078289D">
        <w:rPr>
          <w:rFonts w:ascii="Times New Roman" w:hAnsi="Times New Roman" w:cs="Times New Roman"/>
          <w:i/>
          <w:sz w:val="28"/>
          <w:szCs w:val="28"/>
        </w:rPr>
        <w:t xml:space="preserve">de cada </w:t>
      </w:r>
      <w:r w:rsidR="00CD059A" w:rsidRPr="0078289D">
        <w:rPr>
          <w:rFonts w:ascii="Times New Roman" w:hAnsi="Times New Roman" w:cs="Times New Roman"/>
          <w:i/>
          <w:sz w:val="28"/>
          <w:szCs w:val="28"/>
        </w:rPr>
        <w:lastRenderedPageBreak/>
        <w:t xml:space="preserve">municipio- tomen parte </w:t>
      </w:r>
      <w:r w:rsidR="004955C8" w:rsidRPr="0078289D">
        <w:rPr>
          <w:rFonts w:ascii="Times New Roman" w:hAnsi="Times New Roman" w:cs="Times New Roman"/>
          <w:i/>
          <w:sz w:val="28"/>
          <w:szCs w:val="28"/>
        </w:rPr>
        <w:t>en la decisión misma sobre la viabilidad o no de la política minera en sus territorios</w:t>
      </w:r>
      <w:r w:rsidR="000B5381" w:rsidRPr="0078289D">
        <w:rPr>
          <w:rFonts w:ascii="Times New Roman" w:hAnsi="Times New Roman" w:cs="Times New Roman"/>
          <w:i/>
          <w:sz w:val="28"/>
          <w:szCs w:val="28"/>
        </w:rPr>
        <w:t>”</w:t>
      </w:r>
      <w:r w:rsidR="00507D3F" w:rsidRPr="0078289D">
        <w:rPr>
          <w:rFonts w:ascii="Times New Roman" w:hAnsi="Times New Roman" w:cs="Times New Roman"/>
          <w:i/>
          <w:sz w:val="28"/>
          <w:szCs w:val="28"/>
        </w:rPr>
        <w:t>.</w:t>
      </w:r>
      <w:r w:rsidR="000B5381" w:rsidRPr="0078289D">
        <w:rPr>
          <w:rStyle w:val="Refdenotaalpie"/>
          <w:rFonts w:ascii="Times New Roman" w:hAnsi="Times New Roman"/>
          <w:sz w:val="28"/>
          <w:szCs w:val="28"/>
        </w:rPr>
        <w:footnoteReference w:id="7"/>
      </w:r>
    </w:p>
    <w:p w:rsidR="00033E64" w:rsidRPr="0078289D" w:rsidRDefault="00033E64"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EF2804" w:rsidRPr="0078289D" w:rsidRDefault="00160CB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Así, c</w:t>
      </w:r>
      <w:r w:rsidR="00900C61" w:rsidRPr="0078289D">
        <w:rPr>
          <w:rFonts w:ascii="Times New Roman" w:hAnsi="Times New Roman" w:cs="Times New Roman"/>
          <w:sz w:val="28"/>
          <w:szCs w:val="28"/>
        </w:rPr>
        <w:t>onsideran</w:t>
      </w:r>
      <w:r w:rsidR="002C67C2" w:rsidRPr="0078289D">
        <w:rPr>
          <w:rFonts w:ascii="Times New Roman" w:hAnsi="Times New Roman" w:cs="Times New Roman"/>
          <w:sz w:val="28"/>
          <w:szCs w:val="28"/>
        </w:rPr>
        <w:t xml:space="preserve"> que </w:t>
      </w:r>
      <w:r w:rsidR="001C15F3" w:rsidRPr="0078289D">
        <w:rPr>
          <w:rFonts w:ascii="Times New Roman" w:hAnsi="Times New Roman" w:cs="Times New Roman"/>
          <w:sz w:val="28"/>
          <w:szCs w:val="28"/>
        </w:rPr>
        <w:t>las normas acusadas vulneran el principio de democracia representativa puesto que</w:t>
      </w:r>
      <w:r w:rsidR="007053BA" w:rsidRPr="0078289D">
        <w:rPr>
          <w:rFonts w:ascii="Times New Roman" w:hAnsi="Times New Roman" w:cs="Times New Roman"/>
          <w:sz w:val="28"/>
          <w:szCs w:val="28"/>
        </w:rPr>
        <w:t xml:space="preserve"> impiden</w:t>
      </w:r>
      <w:r w:rsidR="001C15F3" w:rsidRPr="0078289D">
        <w:rPr>
          <w:rFonts w:ascii="Times New Roman" w:hAnsi="Times New Roman" w:cs="Times New Roman"/>
          <w:sz w:val="28"/>
          <w:szCs w:val="28"/>
        </w:rPr>
        <w:t xml:space="preserve"> </w:t>
      </w:r>
      <w:r w:rsidR="00CF45F3" w:rsidRPr="0078289D">
        <w:rPr>
          <w:rFonts w:ascii="Times New Roman" w:hAnsi="Times New Roman" w:cs="Times New Roman"/>
          <w:sz w:val="28"/>
          <w:szCs w:val="28"/>
        </w:rPr>
        <w:t xml:space="preserve">i) a los concejos decidir si </w:t>
      </w:r>
      <w:r w:rsidR="00CF45F3" w:rsidRPr="0078289D">
        <w:rPr>
          <w:rFonts w:ascii="Times New Roman" w:hAnsi="Times New Roman" w:cs="Times New Roman"/>
          <w:i/>
          <w:sz w:val="28"/>
          <w:szCs w:val="28"/>
        </w:rPr>
        <w:t>“quieren reservar áreas para la minería o no”</w:t>
      </w:r>
      <w:r w:rsidR="00CF45F3" w:rsidRPr="0078289D">
        <w:rPr>
          <w:rFonts w:ascii="Times New Roman" w:hAnsi="Times New Roman" w:cs="Times New Roman"/>
          <w:sz w:val="28"/>
          <w:szCs w:val="28"/>
        </w:rPr>
        <w:t xml:space="preserve">, ii) </w:t>
      </w:r>
      <w:r w:rsidR="00400138" w:rsidRPr="0078289D">
        <w:rPr>
          <w:rFonts w:ascii="Times New Roman" w:hAnsi="Times New Roman" w:cs="Times New Roman"/>
          <w:sz w:val="28"/>
          <w:szCs w:val="28"/>
        </w:rPr>
        <w:t xml:space="preserve">la ordenación del territorio, y promover la participación comunitaria y el mejoramiento social de los habitantes, al negar a las entidades territoriales cualquier tipo </w:t>
      </w:r>
      <w:r w:rsidR="007053BA" w:rsidRPr="0078289D">
        <w:rPr>
          <w:rFonts w:ascii="Times New Roman" w:hAnsi="Times New Roman" w:cs="Times New Roman"/>
          <w:sz w:val="28"/>
          <w:szCs w:val="28"/>
        </w:rPr>
        <w:t>de decisi</w:t>
      </w:r>
      <w:r w:rsidR="00C666AB" w:rsidRPr="0078289D">
        <w:rPr>
          <w:rFonts w:ascii="Times New Roman" w:hAnsi="Times New Roman" w:cs="Times New Roman"/>
          <w:sz w:val="28"/>
          <w:szCs w:val="28"/>
        </w:rPr>
        <w:t xml:space="preserve">ón sobre este aspecto, </w:t>
      </w:r>
      <w:r w:rsidR="007053BA" w:rsidRPr="0078289D">
        <w:rPr>
          <w:rFonts w:ascii="Times New Roman" w:hAnsi="Times New Roman" w:cs="Times New Roman"/>
          <w:sz w:val="28"/>
          <w:szCs w:val="28"/>
        </w:rPr>
        <w:t xml:space="preserve">iii) </w:t>
      </w:r>
      <w:r w:rsidR="00257788" w:rsidRPr="0078289D">
        <w:rPr>
          <w:rFonts w:ascii="Times New Roman" w:hAnsi="Times New Roman" w:cs="Times New Roman"/>
          <w:sz w:val="28"/>
          <w:szCs w:val="28"/>
        </w:rPr>
        <w:t xml:space="preserve">el cumplimiento de </w:t>
      </w:r>
      <w:r w:rsidR="007053BA" w:rsidRPr="0078289D">
        <w:rPr>
          <w:rFonts w:ascii="Times New Roman" w:hAnsi="Times New Roman" w:cs="Times New Roman"/>
          <w:sz w:val="28"/>
          <w:szCs w:val="28"/>
        </w:rPr>
        <w:t xml:space="preserve">los deberes constitucionales </w:t>
      </w:r>
      <w:r w:rsidR="00257788" w:rsidRPr="0078289D">
        <w:rPr>
          <w:rFonts w:ascii="Times New Roman" w:hAnsi="Times New Roman" w:cs="Times New Roman"/>
          <w:sz w:val="28"/>
          <w:szCs w:val="28"/>
        </w:rPr>
        <w:t>de los concejos</w:t>
      </w:r>
      <w:r w:rsidR="00B35BD2" w:rsidRPr="0078289D">
        <w:rPr>
          <w:rFonts w:ascii="Times New Roman" w:hAnsi="Times New Roman" w:cs="Times New Roman"/>
          <w:sz w:val="28"/>
          <w:szCs w:val="28"/>
        </w:rPr>
        <w:t>, lo que a su vez deviene en una vulneración del principio de representación efectiva</w:t>
      </w:r>
      <w:r w:rsidR="00DC23D7" w:rsidRPr="0078289D">
        <w:rPr>
          <w:rStyle w:val="Refdenotaalpie"/>
          <w:rFonts w:ascii="Times New Roman" w:hAnsi="Times New Roman"/>
          <w:sz w:val="28"/>
          <w:szCs w:val="28"/>
        </w:rPr>
        <w:footnoteReference w:id="8"/>
      </w:r>
      <w:r w:rsidR="00EF2804" w:rsidRPr="0078289D">
        <w:rPr>
          <w:rFonts w:ascii="Times New Roman" w:hAnsi="Times New Roman" w:cs="Times New Roman"/>
          <w:sz w:val="28"/>
          <w:szCs w:val="28"/>
        </w:rPr>
        <w:t xml:space="preserve">. </w:t>
      </w:r>
    </w:p>
    <w:p w:rsidR="00C940D1" w:rsidRPr="0078289D" w:rsidRDefault="00C940D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C940D1" w:rsidRPr="0078289D" w:rsidRDefault="00C940D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A su vez, manifiestan que las normas acusadas restringen la participación efectiva de la ciudadanía en la democracia y vulneran el derecho fundamental de acceso a la información, el cual es necesario para garantizar el control ciudadano. Ello, al imponer una reserva a la </w:t>
      </w:r>
      <w:r w:rsidRPr="0078289D">
        <w:rPr>
          <w:rFonts w:ascii="Times New Roman" w:hAnsi="Times New Roman" w:cs="Times New Roman"/>
          <w:b/>
          <w:sz w:val="28"/>
          <w:szCs w:val="28"/>
        </w:rPr>
        <w:t>información</w:t>
      </w:r>
      <w:r w:rsidRPr="0078289D">
        <w:rPr>
          <w:rFonts w:ascii="Times New Roman" w:hAnsi="Times New Roman" w:cs="Times New Roman"/>
          <w:sz w:val="28"/>
          <w:szCs w:val="28"/>
        </w:rPr>
        <w:t xml:space="preserve"> </w:t>
      </w:r>
      <w:r w:rsidRPr="0078289D">
        <w:rPr>
          <w:rFonts w:ascii="Times New Roman" w:hAnsi="Times New Roman" w:cs="Times New Roman"/>
          <w:i/>
          <w:sz w:val="28"/>
          <w:szCs w:val="28"/>
        </w:rPr>
        <w:t xml:space="preserve">“por el mismo término en que la Autoridad Minera declare dichas zonas como estratégicas mineras o hasta tanto deba darse a conocer en desarrollo de los procesos de selección objetiva que adelante la Autoridad Minera para el otorgamiento de contratos de concesión especial en estas áreas”. </w:t>
      </w:r>
      <w:r w:rsidRPr="0078289D">
        <w:rPr>
          <w:rFonts w:ascii="Times New Roman" w:hAnsi="Times New Roman" w:cs="Times New Roman"/>
          <w:sz w:val="28"/>
          <w:szCs w:val="28"/>
        </w:rPr>
        <w:t>En este sentido, mencionan que la jurisprudencia de la Corte Constitucional ha reconocido el derecho de acceso a la información pública como una forma de fiscalización del poder político</w:t>
      </w:r>
      <w:r w:rsidRPr="0078289D">
        <w:rPr>
          <w:rStyle w:val="Refdenotaalpie"/>
          <w:rFonts w:ascii="Times New Roman" w:hAnsi="Times New Roman"/>
          <w:sz w:val="28"/>
          <w:szCs w:val="28"/>
        </w:rPr>
        <w:footnoteReference w:id="9"/>
      </w:r>
      <w:r w:rsidRPr="0078289D">
        <w:rPr>
          <w:rFonts w:ascii="Times New Roman" w:hAnsi="Times New Roman" w:cs="Times New Roman"/>
          <w:sz w:val="28"/>
          <w:szCs w:val="28"/>
        </w:rPr>
        <w:t>.</w:t>
      </w:r>
      <w:r w:rsidRPr="0078289D">
        <w:rPr>
          <w:rFonts w:ascii="Times New Roman" w:hAnsi="Times New Roman" w:cs="Times New Roman"/>
          <w:i/>
          <w:sz w:val="28"/>
          <w:szCs w:val="28"/>
        </w:rPr>
        <w:t xml:space="preserve"> </w:t>
      </w:r>
      <w:r w:rsidRPr="0078289D">
        <w:rPr>
          <w:rFonts w:ascii="Times New Roman" w:hAnsi="Times New Roman" w:cs="Times New Roman"/>
          <w:sz w:val="28"/>
          <w:szCs w:val="28"/>
        </w:rPr>
        <w:t xml:space="preserve">A juicio de los accionantes, la norma no establece las razones de la imposición de la limitación a la reserva, lo que impide establecer si el fin por el cual fue impuesta es imperioso y necesario. </w:t>
      </w:r>
    </w:p>
    <w:p w:rsidR="00C940D1" w:rsidRPr="0078289D" w:rsidRDefault="00C940D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2F2FCC" w:rsidRPr="0078289D" w:rsidRDefault="00E55F7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Como </w:t>
      </w:r>
      <w:r w:rsidRPr="0078289D">
        <w:rPr>
          <w:rFonts w:ascii="Times New Roman" w:hAnsi="Times New Roman" w:cs="Times New Roman"/>
          <w:b/>
          <w:sz w:val="28"/>
          <w:szCs w:val="28"/>
        </w:rPr>
        <w:t xml:space="preserve">cuarto cargo </w:t>
      </w:r>
      <w:r w:rsidRPr="0078289D">
        <w:rPr>
          <w:rFonts w:ascii="Times New Roman" w:hAnsi="Times New Roman" w:cs="Times New Roman"/>
          <w:sz w:val="28"/>
          <w:szCs w:val="28"/>
        </w:rPr>
        <w:t xml:space="preserve">señalan que </w:t>
      </w:r>
      <w:r w:rsidRPr="0078289D">
        <w:rPr>
          <w:rFonts w:ascii="Times New Roman" w:hAnsi="Times New Roman" w:cs="Times New Roman"/>
          <w:b/>
          <w:sz w:val="28"/>
          <w:szCs w:val="28"/>
        </w:rPr>
        <w:t>l</w:t>
      </w:r>
      <w:r w:rsidR="00444F3D" w:rsidRPr="0078289D">
        <w:rPr>
          <w:rFonts w:ascii="Times New Roman" w:hAnsi="Times New Roman" w:cs="Times New Roman"/>
          <w:b/>
          <w:sz w:val="28"/>
          <w:szCs w:val="28"/>
        </w:rPr>
        <w:t xml:space="preserve">a creación y </w:t>
      </w:r>
      <w:r w:rsidR="000312C5" w:rsidRPr="0078289D">
        <w:rPr>
          <w:rFonts w:ascii="Times New Roman" w:hAnsi="Times New Roman" w:cs="Times New Roman"/>
          <w:b/>
          <w:sz w:val="28"/>
          <w:szCs w:val="28"/>
        </w:rPr>
        <w:t>ampliación de las AEM viola el principio y derecho al medio ambiente</w:t>
      </w:r>
      <w:r w:rsidR="00DA2983" w:rsidRPr="0078289D">
        <w:rPr>
          <w:rFonts w:ascii="Times New Roman" w:hAnsi="Times New Roman" w:cs="Times New Roman"/>
          <w:b/>
          <w:sz w:val="28"/>
          <w:szCs w:val="28"/>
        </w:rPr>
        <w:t xml:space="preserve"> sano</w:t>
      </w:r>
      <w:r w:rsidR="000312C5" w:rsidRPr="0078289D">
        <w:rPr>
          <w:rFonts w:ascii="Times New Roman" w:hAnsi="Times New Roman" w:cs="Times New Roman"/>
          <w:b/>
          <w:sz w:val="28"/>
          <w:szCs w:val="28"/>
        </w:rPr>
        <w:t xml:space="preserve"> y desconoce el con</w:t>
      </w:r>
      <w:r w:rsidR="00DB425C" w:rsidRPr="0078289D">
        <w:rPr>
          <w:rFonts w:ascii="Times New Roman" w:hAnsi="Times New Roman" w:cs="Times New Roman"/>
          <w:b/>
          <w:sz w:val="28"/>
          <w:szCs w:val="28"/>
        </w:rPr>
        <w:t xml:space="preserve">cepto de desarrollo sostenible. </w:t>
      </w:r>
      <w:r w:rsidR="00DB425C" w:rsidRPr="0078289D">
        <w:rPr>
          <w:rFonts w:ascii="Times New Roman" w:hAnsi="Times New Roman" w:cs="Times New Roman"/>
          <w:sz w:val="28"/>
          <w:szCs w:val="28"/>
        </w:rPr>
        <w:t>Así,</w:t>
      </w:r>
      <w:r w:rsidR="00DB425C" w:rsidRPr="0078289D">
        <w:rPr>
          <w:rFonts w:ascii="Times New Roman" w:hAnsi="Times New Roman" w:cs="Times New Roman"/>
          <w:b/>
          <w:sz w:val="28"/>
          <w:szCs w:val="28"/>
        </w:rPr>
        <w:t xml:space="preserve"> </w:t>
      </w:r>
      <w:r w:rsidR="00DB425C" w:rsidRPr="0078289D">
        <w:rPr>
          <w:rFonts w:ascii="Times New Roman" w:hAnsi="Times New Roman" w:cs="Times New Roman"/>
          <w:sz w:val="28"/>
          <w:szCs w:val="28"/>
        </w:rPr>
        <w:t>establecen</w:t>
      </w:r>
      <w:r w:rsidR="00E40E38" w:rsidRPr="0078289D">
        <w:rPr>
          <w:rFonts w:ascii="Times New Roman" w:hAnsi="Times New Roman" w:cs="Times New Roman"/>
          <w:sz w:val="28"/>
          <w:szCs w:val="28"/>
        </w:rPr>
        <w:t xml:space="preserve"> que las normas acusadas </w:t>
      </w:r>
      <w:r w:rsidR="00715803" w:rsidRPr="0078289D">
        <w:rPr>
          <w:rFonts w:ascii="Times New Roman" w:hAnsi="Times New Roman" w:cs="Times New Roman"/>
          <w:sz w:val="28"/>
          <w:szCs w:val="28"/>
        </w:rPr>
        <w:t xml:space="preserve">vulneran las disposiciones de la Constitución Ecológica, entre éstas, el deber de protección de </w:t>
      </w:r>
      <w:r w:rsidR="00932409" w:rsidRPr="0078289D">
        <w:rPr>
          <w:rFonts w:ascii="Times New Roman" w:hAnsi="Times New Roman" w:cs="Times New Roman"/>
          <w:sz w:val="28"/>
          <w:szCs w:val="28"/>
        </w:rPr>
        <w:t>las riquezas naturales a cargo del Estado (artículo 8º superior) y el derecho de los ciudadanos a un ambiente sano (artículo 79)</w:t>
      </w:r>
      <w:r w:rsidR="004B6127" w:rsidRPr="0078289D">
        <w:rPr>
          <w:rFonts w:ascii="Times New Roman" w:hAnsi="Times New Roman" w:cs="Times New Roman"/>
          <w:sz w:val="28"/>
          <w:szCs w:val="28"/>
        </w:rPr>
        <w:t xml:space="preserve">. En primer lugar, realizan un análisis de </w:t>
      </w:r>
      <w:r w:rsidR="00B173FA" w:rsidRPr="0078289D">
        <w:rPr>
          <w:rFonts w:ascii="Times New Roman" w:hAnsi="Times New Roman" w:cs="Times New Roman"/>
          <w:sz w:val="28"/>
          <w:szCs w:val="28"/>
        </w:rPr>
        <w:t>los impactos de la miner</w:t>
      </w:r>
      <w:r w:rsidR="00E11979" w:rsidRPr="0078289D">
        <w:rPr>
          <w:rFonts w:ascii="Times New Roman" w:hAnsi="Times New Roman" w:cs="Times New Roman"/>
          <w:sz w:val="28"/>
          <w:szCs w:val="28"/>
        </w:rPr>
        <w:t>ía en el ambiente</w:t>
      </w:r>
      <w:r w:rsidR="00E11979" w:rsidRPr="0078289D">
        <w:rPr>
          <w:rStyle w:val="Refdenotaalpie"/>
          <w:rFonts w:ascii="Times New Roman" w:hAnsi="Times New Roman"/>
          <w:sz w:val="28"/>
          <w:szCs w:val="28"/>
        </w:rPr>
        <w:footnoteReference w:id="10"/>
      </w:r>
      <w:r w:rsidR="00FB1B7D" w:rsidRPr="0078289D">
        <w:rPr>
          <w:rFonts w:ascii="Times New Roman" w:hAnsi="Times New Roman" w:cs="Times New Roman"/>
          <w:sz w:val="28"/>
          <w:szCs w:val="28"/>
        </w:rPr>
        <w:t xml:space="preserve">, y señalan que </w:t>
      </w:r>
      <w:r w:rsidR="008F36FD" w:rsidRPr="0078289D">
        <w:rPr>
          <w:rFonts w:ascii="Times New Roman" w:hAnsi="Times New Roman" w:cs="Times New Roman"/>
          <w:sz w:val="28"/>
          <w:szCs w:val="28"/>
        </w:rPr>
        <w:t xml:space="preserve">destinar áreas del territorio nacional para la minería, únicamente </w:t>
      </w:r>
      <w:r w:rsidR="00180419" w:rsidRPr="0078289D">
        <w:rPr>
          <w:rFonts w:ascii="Times New Roman" w:hAnsi="Times New Roman" w:cs="Times New Roman"/>
          <w:sz w:val="28"/>
          <w:szCs w:val="28"/>
        </w:rPr>
        <w:t>con base en</w:t>
      </w:r>
      <w:r w:rsidR="008F36FD" w:rsidRPr="0078289D">
        <w:rPr>
          <w:rFonts w:ascii="Times New Roman" w:hAnsi="Times New Roman" w:cs="Times New Roman"/>
          <w:sz w:val="28"/>
          <w:szCs w:val="28"/>
        </w:rPr>
        <w:t xml:space="preserve"> estudios geológicos, y sin ningún mecanismo de ponderación,</w:t>
      </w:r>
      <w:r w:rsidR="00FC1A8C" w:rsidRPr="0078289D">
        <w:rPr>
          <w:rFonts w:ascii="Times New Roman" w:hAnsi="Times New Roman" w:cs="Times New Roman"/>
          <w:sz w:val="28"/>
          <w:szCs w:val="28"/>
        </w:rPr>
        <w:t xml:space="preserve"> resulta</w:t>
      </w:r>
      <w:r w:rsidR="008F36FD" w:rsidRPr="0078289D">
        <w:rPr>
          <w:rFonts w:ascii="Times New Roman" w:hAnsi="Times New Roman" w:cs="Times New Roman"/>
          <w:sz w:val="28"/>
          <w:szCs w:val="28"/>
        </w:rPr>
        <w:t xml:space="preserve"> contrario </w:t>
      </w:r>
      <w:r w:rsidR="00FC1A8C" w:rsidRPr="0078289D">
        <w:rPr>
          <w:rFonts w:ascii="Times New Roman" w:hAnsi="Times New Roman" w:cs="Times New Roman"/>
          <w:sz w:val="28"/>
          <w:szCs w:val="28"/>
        </w:rPr>
        <w:t>al principio de desarrollo sostenible y al deber de conservación de los recursos naturales</w:t>
      </w:r>
      <w:r w:rsidR="008F36FD" w:rsidRPr="0078289D">
        <w:rPr>
          <w:rFonts w:ascii="Times New Roman" w:hAnsi="Times New Roman" w:cs="Times New Roman"/>
          <w:sz w:val="28"/>
          <w:szCs w:val="28"/>
        </w:rPr>
        <w:t xml:space="preserve">. </w:t>
      </w:r>
      <w:r w:rsidR="00414A18" w:rsidRPr="0078289D">
        <w:rPr>
          <w:rFonts w:ascii="Times New Roman" w:hAnsi="Times New Roman" w:cs="Times New Roman"/>
          <w:sz w:val="28"/>
          <w:szCs w:val="28"/>
        </w:rPr>
        <w:t>En</w:t>
      </w:r>
      <w:r w:rsidR="00AA276E" w:rsidRPr="0078289D">
        <w:rPr>
          <w:rFonts w:ascii="Times New Roman" w:hAnsi="Times New Roman" w:cs="Times New Roman"/>
          <w:sz w:val="28"/>
          <w:szCs w:val="28"/>
        </w:rPr>
        <w:t xml:space="preserve"> opinión de los demandantes, </w:t>
      </w:r>
      <w:r w:rsidR="002F2FCC" w:rsidRPr="0078289D">
        <w:rPr>
          <w:rFonts w:ascii="Times New Roman" w:hAnsi="Times New Roman" w:cs="Times New Roman"/>
          <w:sz w:val="28"/>
          <w:szCs w:val="28"/>
        </w:rPr>
        <w:t xml:space="preserve">sólo un adecuado estudio social y ambiental en cada caso concreto </w:t>
      </w:r>
      <w:r w:rsidR="006A1622" w:rsidRPr="0078289D">
        <w:rPr>
          <w:rFonts w:ascii="Times New Roman" w:hAnsi="Times New Roman" w:cs="Times New Roman"/>
          <w:sz w:val="28"/>
          <w:szCs w:val="28"/>
        </w:rPr>
        <w:t>permite identificar la necesidad de realizar actividades extractivas o de aplicar el principio de precaución</w:t>
      </w:r>
      <w:r w:rsidR="00C31BBB" w:rsidRPr="0078289D">
        <w:rPr>
          <w:rFonts w:ascii="Times New Roman" w:hAnsi="Times New Roman" w:cs="Times New Roman"/>
          <w:sz w:val="28"/>
          <w:szCs w:val="28"/>
        </w:rPr>
        <w:t>, y, consecuentemente, abstenerse de realizarlas</w:t>
      </w:r>
      <w:r w:rsidR="00D0280B" w:rsidRPr="0078289D">
        <w:rPr>
          <w:rFonts w:ascii="Times New Roman" w:hAnsi="Times New Roman" w:cs="Times New Roman"/>
          <w:sz w:val="28"/>
          <w:szCs w:val="28"/>
        </w:rPr>
        <w:t>.</w:t>
      </w:r>
      <w:r w:rsidR="00101C18" w:rsidRPr="0078289D">
        <w:rPr>
          <w:rStyle w:val="Refdenotaalpie"/>
          <w:rFonts w:ascii="Times New Roman" w:hAnsi="Times New Roman"/>
          <w:sz w:val="28"/>
          <w:szCs w:val="28"/>
        </w:rPr>
        <w:footnoteReference w:id="11"/>
      </w:r>
    </w:p>
    <w:p w:rsidR="006D16B3" w:rsidRPr="0078289D" w:rsidRDefault="006D16B3"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E17C3E" w:rsidRPr="0078289D" w:rsidRDefault="00A63B3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r w:rsidRPr="0078289D">
        <w:rPr>
          <w:rFonts w:ascii="Times New Roman" w:hAnsi="Times New Roman" w:cs="Times New Roman"/>
          <w:b/>
          <w:sz w:val="28"/>
          <w:szCs w:val="28"/>
        </w:rPr>
        <w:t>Concepto del Ministerio Público</w:t>
      </w:r>
    </w:p>
    <w:p w:rsidR="00403C5B" w:rsidRPr="0078289D" w:rsidRDefault="00403C5B"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p>
    <w:p w:rsidR="00125FC9" w:rsidRPr="0078289D" w:rsidRDefault="00F70745"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El Ministerio Público se pronuncia en favor de la </w:t>
      </w:r>
      <w:r w:rsidR="007956F3" w:rsidRPr="0078289D">
        <w:rPr>
          <w:rFonts w:ascii="Times New Roman" w:hAnsi="Times New Roman" w:cs="Times New Roman"/>
          <w:b/>
          <w:sz w:val="28"/>
          <w:szCs w:val="28"/>
        </w:rPr>
        <w:t>exequibilidad</w:t>
      </w:r>
      <w:r w:rsidR="0063404C" w:rsidRPr="0078289D">
        <w:rPr>
          <w:rFonts w:ascii="Times New Roman" w:hAnsi="Times New Roman" w:cs="Times New Roman"/>
          <w:b/>
          <w:sz w:val="28"/>
          <w:szCs w:val="28"/>
        </w:rPr>
        <w:t xml:space="preserve"> </w:t>
      </w:r>
      <w:r w:rsidRPr="0078289D">
        <w:rPr>
          <w:rFonts w:ascii="Times New Roman" w:hAnsi="Times New Roman" w:cs="Times New Roman"/>
          <w:sz w:val="28"/>
          <w:szCs w:val="28"/>
        </w:rPr>
        <w:t>de los artículos 108 de la Ley 1450 de 2011</w:t>
      </w:r>
      <w:r w:rsidR="00C46DD3" w:rsidRPr="0078289D">
        <w:rPr>
          <w:rFonts w:ascii="Times New Roman" w:hAnsi="Times New Roman" w:cs="Times New Roman"/>
          <w:sz w:val="28"/>
          <w:szCs w:val="28"/>
        </w:rPr>
        <w:t xml:space="preserve"> </w:t>
      </w:r>
      <w:r w:rsidR="00125FC9" w:rsidRPr="0078289D">
        <w:rPr>
          <w:rFonts w:ascii="Times New Roman" w:hAnsi="Times New Roman" w:cs="Times New Roman"/>
          <w:sz w:val="28"/>
          <w:szCs w:val="28"/>
        </w:rPr>
        <w:t>y 20 de la Ley 1753 de 2015</w:t>
      </w:r>
      <w:r w:rsidR="00D614C4" w:rsidRPr="0078289D">
        <w:rPr>
          <w:rFonts w:ascii="Times New Roman" w:hAnsi="Times New Roman" w:cs="Times New Roman"/>
          <w:sz w:val="28"/>
          <w:szCs w:val="28"/>
        </w:rPr>
        <w:t xml:space="preserve"> </w:t>
      </w:r>
      <w:r w:rsidR="00D614C4" w:rsidRPr="0078289D">
        <w:rPr>
          <w:rFonts w:ascii="Times New Roman" w:hAnsi="Times New Roman" w:cs="Times New Roman"/>
          <w:i/>
          <w:sz w:val="28"/>
          <w:szCs w:val="28"/>
        </w:rPr>
        <w:t>“bajo el entendido de que las autoridades competentes deben establecer medidas de protección específicas a la población campesina que se vea afectada de manera directa con la introducción de las áreas de reservas mineras estratégicas, así como de las Áreas de Reserva para el Desarrollo Minero</w:t>
      </w:r>
      <w:r w:rsidR="00861786" w:rsidRPr="0078289D">
        <w:rPr>
          <w:rFonts w:ascii="Times New Roman" w:hAnsi="Times New Roman" w:cs="Times New Roman"/>
          <w:i/>
          <w:sz w:val="28"/>
          <w:szCs w:val="28"/>
        </w:rPr>
        <w:t xml:space="preserve">” </w:t>
      </w:r>
      <w:r w:rsidR="00861786" w:rsidRPr="0078289D">
        <w:rPr>
          <w:rFonts w:ascii="Times New Roman" w:hAnsi="Times New Roman" w:cs="Times New Roman"/>
          <w:sz w:val="28"/>
          <w:szCs w:val="28"/>
        </w:rPr>
        <w:t>y</w:t>
      </w:r>
      <w:r w:rsidR="00125FC9" w:rsidRPr="0078289D">
        <w:rPr>
          <w:rFonts w:ascii="Times New Roman" w:hAnsi="Times New Roman" w:cs="Times New Roman"/>
          <w:sz w:val="28"/>
          <w:szCs w:val="28"/>
        </w:rPr>
        <w:t xml:space="preserve"> </w:t>
      </w:r>
      <w:r w:rsidR="00861786" w:rsidRPr="0078289D">
        <w:rPr>
          <w:rFonts w:ascii="Times New Roman" w:hAnsi="Times New Roman" w:cs="Times New Roman"/>
          <w:sz w:val="28"/>
          <w:szCs w:val="28"/>
        </w:rPr>
        <w:t>realiza</w:t>
      </w:r>
      <w:r w:rsidR="00125FC9" w:rsidRPr="0078289D">
        <w:rPr>
          <w:rFonts w:ascii="Times New Roman" w:hAnsi="Times New Roman" w:cs="Times New Roman"/>
          <w:sz w:val="28"/>
          <w:szCs w:val="28"/>
        </w:rPr>
        <w:t xml:space="preserve"> algunas precisiones sobre los argumentos presentados por los demandantes. </w:t>
      </w:r>
    </w:p>
    <w:p w:rsidR="004E0F88" w:rsidRPr="0078289D" w:rsidRDefault="004E0F8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0D5D40" w:rsidRPr="0078289D" w:rsidRDefault="00A41A8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i/>
          <w:sz w:val="28"/>
          <w:szCs w:val="28"/>
        </w:rPr>
      </w:pPr>
      <w:r w:rsidRPr="0078289D">
        <w:rPr>
          <w:rFonts w:ascii="Times New Roman" w:hAnsi="Times New Roman" w:cs="Times New Roman"/>
          <w:sz w:val="28"/>
          <w:szCs w:val="28"/>
        </w:rPr>
        <w:t xml:space="preserve">En </w:t>
      </w:r>
      <w:r w:rsidR="004E0F88" w:rsidRPr="0078289D">
        <w:rPr>
          <w:rFonts w:ascii="Times New Roman" w:hAnsi="Times New Roman" w:cs="Times New Roman"/>
          <w:sz w:val="28"/>
          <w:szCs w:val="28"/>
        </w:rPr>
        <w:t>primer lugar</w:t>
      </w:r>
      <w:r w:rsidR="00B7536E" w:rsidRPr="0078289D">
        <w:rPr>
          <w:rFonts w:ascii="Times New Roman" w:hAnsi="Times New Roman" w:cs="Times New Roman"/>
          <w:sz w:val="28"/>
          <w:szCs w:val="28"/>
        </w:rPr>
        <w:t>,</w:t>
      </w:r>
      <w:r w:rsidR="004E0F88" w:rsidRPr="0078289D">
        <w:rPr>
          <w:rFonts w:ascii="Times New Roman" w:hAnsi="Times New Roman" w:cs="Times New Roman"/>
          <w:sz w:val="28"/>
          <w:szCs w:val="28"/>
        </w:rPr>
        <w:t xml:space="preserve"> señala que </w:t>
      </w:r>
      <w:r w:rsidR="005606DA" w:rsidRPr="0078289D">
        <w:rPr>
          <w:rFonts w:ascii="Times New Roman" w:hAnsi="Times New Roman" w:cs="Times New Roman"/>
          <w:sz w:val="28"/>
          <w:szCs w:val="28"/>
        </w:rPr>
        <w:t>la delimitación y ampliación de Áreas de Reserva Minera</w:t>
      </w:r>
      <w:r w:rsidRPr="0078289D">
        <w:rPr>
          <w:rFonts w:ascii="Times New Roman" w:hAnsi="Times New Roman" w:cs="Times New Roman"/>
          <w:sz w:val="28"/>
          <w:szCs w:val="28"/>
        </w:rPr>
        <w:t xml:space="preserve"> no vulneran los derechos fund</w:t>
      </w:r>
      <w:r w:rsidR="005C3BBD" w:rsidRPr="0078289D">
        <w:rPr>
          <w:rFonts w:ascii="Times New Roman" w:hAnsi="Times New Roman" w:cs="Times New Roman"/>
          <w:sz w:val="28"/>
          <w:szCs w:val="28"/>
        </w:rPr>
        <w:t>amentales de acceso a la tierra ni</w:t>
      </w:r>
      <w:r w:rsidRPr="0078289D">
        <w:rPr>
          <w:rFonts w:ascii="Times New Roman" w:hAnsi="Times New Roman" w:cs="Times New Roman"/>
          <w:sz w:val="28"/>
          <w:szCs w:val="28"/>
        </w:rPr>
        <w:t xml:space="preserve"> a la seguridad y soberan</w:t>
      </w:r>
      <w:r w:rsidR="005606DA" w:rsidRPr="0078289D">
        <w:rPr>
          <w:rFonts w:ascii="Times New Roman" w:hAnsi="Times New Roman" w:cs="Times New Roman"/>
          <w:sz w:val="28"/>
          <w:szCs w:val="28"/>
        </w:rPr>
        <w:t xml:space="preserve">ía alimentaria siempre y cuando se establezcan medidas de protección a la población campesina que pueda verse afectada </w:t>
      </w:r>
      <w:r w:rsidR="00697A4E" w:rsidRPr="0078289D">
        <w:rPr>
          <w:rFonts w:ascii="Times New Roman" w:hAnsi="Times New Roman" w:cs="Times New Roman"/>
          <w:sz w:val="28"/>
          <w:szCs w:val="28"/>
        </w:rPr>
        <w:t xml:space="preserve">con la introducción de estas zonas. </w:t>
      </w:r>
      <w:r w:rsidR="000D5D40" w:rsidRPr="0078289D">
        <w:rPr>
          <w:rFonts w:ascii="Times New Roman" w:hAnsi="Times New Roman" w:cs="Times New Roman"/>
          <w:sz w:val="28"/>
          <w:szCs w:val="28"/>
        </w:rPr>
        <w:t xml:space="preserve">A juicio del Procurador, el condicionamiento propuesto desarrolla en mayor medida </w:t>
      </w:r>
      <w:r w:rsidR="001D5387" w:rsidRPr="0078289D">
        <w:rPr>
          <w:rFonts w:ascii="Times New Roman" w:hAnsi="Times New Roman" w:cs="Times New Roman"/>
          <w:sz w:val="28"/>
          <w:szCs w:val="28"/>
        </w:rPr>
        <w:t>estos derechos</w:t>
      </w:r>
      <w:r w:rsidR="000D5D40" w:rsidRPr="0078289D">
        <w:rPr>
          <w:rFonts w:ascii="Times New Roman" w:hAnsi="Times New Roman" w:cs="Times New Roman"/>
          <w:sz w:val="28"/>
          <w:szCs w:val="28"/>
        </w:rPr>
        <w:t xml:space="preserve"> </w:t>
      </w:r>
      <w:r w:rsidR="00A95A00" w:rsidRPr="0078289D">
        <w:rPr>
          <w:rFonts w:ascii="Times New Roman" w:hAnsi="Times New Roman" w:cs="Times New Roman"/>
          <w:sz w:val="28"/>
          <w:szCs w:val="28"/>
        </w:rPr>
        <w:t xml:space="preserve">y a su vez, garantiza la potestad del Estado de explotar los recursos naturales con el fin de </w:t>
      </w:r>
      <w:r w:rsidR="00A60AAF" w:rsidRPr="0078289D">
        <w:rPr>
          <w:rFonts w:ascii="Times New Roman" w:hAnsi="Times New Roman" w:cs="Times New Roman"/>
          <w:sz w:val="28"/>
          <w:szCs w:val="28"/>
        </w:rPr>
        <w:t>preservar</w:t>
      </w:r>
      <w:r w:rsidR="00A95A00" w:rsidRPr="0078289D">
        <w:rPr>
          <w:rFonts w:ascii="Times New Roman" w:hAnsi="Times New Roman" w:cs="Times New Roman"/>
          <w:sz w:val="28"/>
          <w:szCs w:val="28"/>
        </w:rPr>
        <w:t xml:space="preserve"> el principio de sostenibilidad fiscal y el mejoramiento de la calidad de vida de los ciudadanos. </w:t>
      </w:r>
      <w:r w:rsidR="00B7536E" w:rsidRPr="0078289D">
        <w:rPr>
          <w:rFonts w:ascii="Times New Roman" w:hAnsi="Times New Roman" w:cs="Times New Roman"/>
          <w:sz w:val="28"/>
          <w:szCs w:val="28"/>
        </w:rPr>
        <w:t xml:space="preserve">Así, ejemplifica que </w:t>
      </w:r>
      <w:r w:rsidR="00B7536E" w:rsidRPr="0078289D">
        <w:rPr>
          <w:rFonts w:ascii="Times New Roman" w:hAnsi="Times New Roman" w:cs="Times New Roman"/>
          <w:i/>
          <w:sz w:val="28"/>
          <w:szCs w:val="28"/>
        </w:rPr>
        <w:t xml:space="preserve">“si el Estado, en virtud de la Ley 160 de 1994, puede crear zonas de reserva campesina (…) también es cierto que, en </w:t>
      </w:r>
      <w:r w:rsidR="004C30A1" w:rsidRPr="0078289D">
        <w:rPr>
          <w:rFonts w:ascii="Times New Roman" w:hAnsi="Times New Roman" w:cs="Times New Roman"/>
          <w:i/>
          <w:sz w:val="28"/>
          <w:szCs w:val="28"/>
        </w:rPr>
        <w:t xml:space="preserve">desarrollo del artículo 332 de la Carta Política, éste puede reservar aquellos territorios donde existan depósitos o yacimientos mineros cuya importancia amerite su control singular o particular”. </w:t>
      </w:r>
    </w:p>
    <w:p w:rsidR="00B7536E" w:rsidRPr="0078289D" w:rsidRDefault="00B7536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B7536E" w:rsidRPr="0078289D" w:rsidRDefault="00B7536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En segundo </w:t>
      </w:r>
      <w:r w:rsidR="002707FE" w:rsidRPr="0078289D">
        <w:rPr>
          <w:rFonts w:ascii="Times New Roman" w:hAnsi="Times New Roman" w:cs="Times New Roman"/>
          <w:sz w:val="28"/>
          <w:szCs w:val="28"/>
        </w:rPr>
        <w:t xml:space="preserve">lugar, </w:t>
      </w:r>
      <w:r w:rsidR="00092E7B" w:rsidRPr="0078289D">
        <w:rPr>
          <w:rFonts w:ascii="Times New Roman" w:hAnsi="Times New Roman" w:cs="Times New Roman"/>
          <w:sz w:val="28"/>
          <w:szCs w:val="28"/>
        </w:rPr>
        <w:t>manifiesta</w:t>
      </w:r>
      <w:r w:rsidR="002707FE" w:rsidRPr="0078289D">
        <w:rPr>
          <w:rFonts w:ascii="Times New Roman" w:hAnsi="Times New Roman" w:cs="Times New Roman"/>
          <w:sz w:val="28"/>
          <w:szCs w:val="28"/>
        </w:rPr>
        <w:t xml:space="preserve"> que las normas demandadas no </w:t>
      </w:r>
      <w:r w:rsidR="00092E7B" w:rsidRPr="0078289D">
        <w:rPr>
          <w:rFonts w:ascii="Times New Roman" w:hAnsi="Times New Roman" w:cs="Times New Roman"/>
          <w:sz w:val="28"/>
          <w:szCs w:val="28"/>
        </w:rPr>
        <w:t>pretermiten</w:t>
      </w:r>
      <w:r w:rsidR="002707FE" w:rsidRPr="0078289D">
        <w:rPr>
          <w:rFonts w:ascii="Times New Roman" w:hAnsi="Times New Roman" w:cs="Times New Roman"/>
          <w:sz w:val="28"/>
          <w:szCs w:val="28"/>
        </w:rPr>
        <w:t xml:space="preserve"> los principios</w:t>
      </w:r>
      <w:r w:rsidR="000A16CC" w:rsidRPr="0078289D">
        <w:rPr>
          <w:rFonts w:ascii="Times New Roman" w:hAnsi="Times New Roman" w:cs="Times New Roman"/>
          <w:sz w:val="28"/>
          <w:szCs w:val="28"/>
        </w:rPr>
        <w:t xml:space="preserve"> de coordinación, concurrencia ni</w:t>
      </w:r>
      <w:r w:rsidR="002707FE" w:rsidRPr="0078289D">
        <w:rPr>
          <w:rFonts w:ascii="Times New Roman" w:hAnsi="Times New Roman" w:cs="Times New Roman"/>
          <w:sz w:val="28"/>
          <w:szCs w:val="28"/>
        </w:rPr>
        <w:t xml:space="preserve"> subsidiariedad</w:t>
      </w:r>
      <w:r w:rsidR="000A16CC" w:rsidRPr="0078289D">
        <w:rPr>
          <w:rFonts w:ascii="Times New Roman" w:hAnsi="Times New Roman" w:cs="Times New Roman"/>
          <w:sz w:val="28"/>
          <w:szCs w:val="28"/>
        </w:rPr>
        <w:t xml:space="preserve">, </w:t>
      </w:r>
      <w:r w:rsidR="003610FA" w:rsidRPr="0078289D">
        <w:rPr>
          <w:rFonts w:ascii="Times New Roman" w:hAnsi="Times New Roman" w:cs="Times New Roman"/>
          <w:sz w:val="28"/>
          <w:szCs w:val="28"/>
        </w:rPr>
        <w:t>ni la autonomía de las entidades territoriales</w:t>
      </w:r>
      <w:r w:rsidR="002707FE" w:rsidRPr="0078289D">
        <w:rPr>
          <w:rFonts w:ascii="Times New Roman" w:hAnsi="Times New Roman" w:cs="Times New Roman"/>
          <w:sz w:val="28"/>
          <w:szCs w:val="28"/>
        </w:rPr>
        <w:t>.</w:t>
      </w:r>
      <w:r w:rsidR="00BC7B32" w:rsidRPr="0078289D">
        <w:rPr>
          <w:rFonts w:ascii="Times New Roman" w:hAnsi="Times New Roman" w:cs="Times New Roman"/>
          <w:sz w:val="28"/>
          <w:szCs w:val="28"/>
        </w:rPr>
        <w:t xml:space="preserve"> I</w:t>
      </w:r>
      <w:r w:rsidR="00B13D04" w:rsidRPr="0078289D">
        <w:rPr>
          <w:rFonts w:ascii="Times New Roman" w:hAnsi="Times New Roman" w:cs="Times New Roman"/>
          <w:sz w:val="28"/>
          <w:szCs w:val="28"/>
        </w:rPr>
        <w:t>ndica</w:t>
      </w:r>
      <w:r w:rsidR="004C745C" w:rsidRPr="0078289D">
        <w:rPr>
          <w:rFonts w:ascii="Times New Roman" w:hAnsi="Times New Roman" w:cs="Times New Roman"/>
          <w:sz w:val="28"/>
          <w:szCs w:val="28"/>
        </w:rPr>
        <w:t xml:space="preserve"> que la Constitución Política faculta a las entidades territoriales a ordenar el desarrollo de su territorio, y otorga competencia a los concejos municipales y distritales para reglamentar los usos del suelo</w:t>
      </w:r>
      <w:r w:rsidR="000A16CC" w:rsidRPr="0078289D">
        <w:rPr>
          <w:rFonts w:ascii="Times New Roman" w:hAnsi="Times New Roman" w:cs="Times New Roman"/>
          <w:sz w:val="28"/>
          <w:szCs w:val="28"/>
        </w:rPr>
        <w:t>, pero siempre</w:t>
      </w:r>
      <w:r w:rsidR="004C745C" w:rsidRPr="0078289D">
        <w:rPr>
          <w:rFonts w:ascii="Times New Roman" w:hAnsi="Times New Roman" w:cs="Times New Roman"/>
          <w:sz w:val="28"/>
          <w:szCs w:val="28"/>
        </w:rPr>
        <w:t xml:space="preserve"> dentro de los límites de la Constitución y la ley</w:t>
      </w:r>
      <w:r w:rsidR="003A7FB0" w:rsidRPr="0078289D">
        <w:rPr>
          <w:rFonts w:ascii="Times New Roman" w:hAnsi="Times New Roman" w:cs="Times New Roman"/>
          <w:sz w:val="28"/>
          <w:szCs w:val="28"/>
        </w:rPr>
        <w:t>, tal y como lo ha reconocido</w:t>
      </w:r>
      <w:r w:rsidR="00453C51" w:rsidRPr="0078289D">
        <w:rPr>
          <w:rFonts w:ascii="Times New Roman" w:hAnsi="Times New Roman" w:cs="Times New Roman"/>
          <w:sz w:val="28"/>
          <w:szCs w:val="28"/>
        </w:rPr>
        <w:t xml:space="preserve"> la </w:t>
      </w:r>
      <w:r w:rsidR="00453C51" w:rsidRPr="0078289D">
        <w:rPr>
          <w:rFonts w:ascii="Times New Roman" w:hAnsi="Times New Roman" w:cs="Times New Roman"/>
          <w:b/>
          <w:sz w:val="28"/>
          <w:szCs w:val="28"/>
        </w:rPr>
        <w:t>Sentencia C-534 de 1996</w:t>
      </w:r>
      <w:r w:rsidR="003A7FB0" w:rsidRPr="0078289D">
        <w:rPr>
          <w:rFonts w:ascii="Times New Roman" w:hAnsi="Times New Roman" w:cs="Times New Roman"/>
          <w:sz w:val="28"/>
          <w:szCs w:val="28"/>
        </w:rPr>
        <w:t xml:space="preserve">. </w:t>
      </w:r>
      <w:r w:rsidR="00F648BB" w:rsidRPr="0078289D">
        <w:rPr>
          <w:rFonts w:ascii="Times New Roman" w:hAnsi="Times New Roman" w:cs="Times New Roman"/>
          <w:sz w:val="28"/>
          <w:szCs w:val="28"/>
        </w:rPr>
        <w:t xml:space="preserve"> </w:t>
      </w:r>
    </w:p>
    <w:p w:rsidR="00F96F3A" w:rsidRPr="0078289D" w:rsidRDefault="00F96F3A"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96F3A" w:rsidRPr="0078289D" w:rsidRDefault="00EE3A54"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Así mismo</w:t>
      </w:r>
      <w:r w:rsidR="00F96F3A" w:rsidRPr="0078289D">
        <w:rPr>
          <w:rFonts w:ascii="Times New Roman" w:hAnsi="Times New Roman" w:cs="Times New Roman"/>
          <w:sz w:val="28"/>
          <w:szCs w:val="28"/>
        </w:rPr>
        <w:t xml:space="preserve">, señala que el otorgamiento de competencias en materia de creación y delimitación de Áreas de Reserva Minera </w:t>
      </w:r>
      <w:r w:rsidR="00D113F0" w:rsidRPr="0078289D">
        <w:rPr>
          <w:rFonts w:ascii="Times New Roman" w:hAnsi="Times New Roman" w:cs="Times New Roman"/>
          <w:sz w:val="28"/>
          <w:szCs w:val="28"/>
        </w:rPr>
        <w:t>a la autoridad de</w:t>
      </w:r>
      <w:r w:rsidR="003A13B6" w:rsidRPr="0078289D">
        <w:rPr>
          <w:rFonts w:ascii="Times New Roman" w:hAnsi="Times New Roman" w:cs="Times New Roman"/>
          <w:sz w:val="28"/>
          <w:szCs w:val="28"/>
        </w:rPr>
        <w:t>l</w:t>
      </w:r>
      <w:r w:rsidR="00D113F0" w:rsidRPr="0078289D">
        <w:rPr>
          <w:rFonts w:ascii="Times New Roman" w:hAnsi="Times New Roman" w:cs="Times New Roman"/>
          <w:sz w:val="28"/>
          <w:szCs w:val="28"/>
        </w:rPr>
        <w:t xml:space="preserve"> orden nacional está relacionada con el carácter </w:t>
      </w:r>
      <w:r w:rsidR="00AC78A7" w:rsidRPr="0078289D">
        <w:rPr>
          <w:rFonts w:ascii="Times New Roman" w:hAnsi="Times New Roman" w:cs="Times New Roman"/>
          <w:sz w:val="28"/>
          <w:szCs w:val="28"/>
        </w:rPr>
        <w:t>propio de la minería, el cual trasciende el puramente local, para ser nacional</w:t>
      </w:r>
      <w:r w:rsidR="00D113F0" w:rsidRPr="0078289D">
        <w:rPr>
          <w:rFonts w:ascii="Times New Roman" w:hAnsi="Times New Roman" w:cs="Times New Roman"/>
          <w:sz w:val="28"/>
          <w:szCs w:val="28"/>
        </w:rPr>
        <w:t xml:space="preserve">. Sin embargo, </w:t>
      </w:r>
      <w:r w:rsidR="004E7848" w:rsidRPr="0078289D">
        <w:rPr>
          <w:rFonts w:ascii="Times New Roman" w:hAnsi="Times New Roman" w:cs="Times New Roman"/>
          <w:sz w:val="28"/>
          <w:szCs w:val="28"/>
        </w:rPr>
        <w:t>considera que</w:t>
      </w:r>
      <w:r w:rsidR="00D113F0" w:rsidRPr="0078289D">
        <w:rPr>
          <w:rFonts w:ascii="Times New Roman" w:hAnsi="Times New Roman" w:cs="Times New Roman"/>
          <w:sz w:val="28"/>
          <w:szCs w:val="28"/>
        </w:rPr>
        <w:t xml:space="preserve"> ello no constituye un vaciamiento de competencias – lo cual sí sería inconstitucional- sino una limitación </w:t>
      </w:r>
      <w:r w:rsidR="00ED7C8E" w:rsidRPr="0078289D">
        <w:rPr>
          <w:rFonts w:ascii="Times New Roman" w:hAnsi="Times New Roman" w:cs="Times New Roman"/>
          <w:sz w:val="28"/>
          <w:szCs w:val="28"/>
        </w:rPr>
        <w:t xml:space="preserve">de éstas. </w:t>
      </w:r>
    </w:p>
    <w:p w:rsidR="0015642B" w:rsidRPr="0078289D" w:rsidRDefault="0015642B"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15642B" w:rsidRPr="0078289D" w:rsidRDefault="007317F3"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Con respecto al argumento de vulneración </w:t>
      </w:r>
      <w:r w:rsidR="00A848AB" w:rsidRPr="0078289D">
        <w:rPr>
          <w:rFonts w:ascii="Times New Roman" w:hAnsi="Times New Roman" w:cs="Times New Roman"/>
          <w:sz w:val="28"/>
          <w:szCs w:val="28"/>
        </w:rPr>
        <w:t>de los</w:t>
      </w:r>
      <w:r w:rsidRPr="0078289D">
        <w:rPr>
          <w:rFonts w:ascii="Times New Roman" w:hAnsi="Times New Roman" w:cs="Times New Roman"/>
          <w:sz w:val="28"/>
          <w:szCs w:val="28"/>
        </w:rPr>
        <w:t xml:space="preserve"> principio</w:t>
      </w:r>
      <w:r w:rsidR="00A848AB" w:rsidRPr="0078289D">
        <w:rPr>
          <w:rFonts w:ascii="Times New Roman" w:hAnsi="Times New Roman" w:cs="Times New Roman"/>
          <w:sz w:val="28"/>
          <w:szCs w:val="28"/>
        </w:rPr>
        <w:t>s</w:t>
      </w:r>
      <w:r w:rsidRPr="0078289D">
        <w:rPr>
          <w:rFonts w:ascii="Times New Roman" w:hAnsi="Times New Roman" w:cs="Times New Roman"/>
          <w:sz w:val="28"/>
          <w:szCs w:val="28"/>
        </w:rPr>
        <w:t xml:space="preserve"> de ambiente sano</w:t>
      </w:r>
      <w:r w:rsidR="00A848AB" w:rsidRPr="0078289D">
        <w:rPr>
          <w:rFonts w:ascii="Times New Roman" w:hAnsi="Times New Roman" w:cs="Times New Roman"/>
          <w:sz w:val="28"/>
          <w:szCs w:val="28"/>
        </w:rPr>
        <w:t xml:space="preserve"> y desarrollo sostenible</w:t>
      </w:r>
      <w:r w:rsidR="00DB54EB" w:rsidRPr="0078289D">
        <w:rPr>
          <w:rFonts w:ascii="Times New Roman" w:hAnsi="Times New Roman" w:cs="Times New Roman"/>
          <w:sz w:val="28"/>
          <w:szCs w:val="28"/>
        </w:rPr>
        <w:t xml:space="preserve">, </w:t>
      </w:r>
      <w:r w:rsidRPr="0078289D">
        <w:rPr>
          <w:rFonts w:ascii="Times New Roman" w:hAnsi="Times New Roman" w:cs="Times New Roman"/>
          <w:sz w:val="28"/>
          <w:szCs w:val="28"/>
        </w:rPr>
        <w:t>el Procurador se pronuncia</w:t>
      </w:r>
      <w:r w:rsidR="00DB54EB" w:rsidRPr="0078289D">
        <w:rPr>
          <w:rFonts w:ascii="Times New Roman" w:hAnsi="Times New Roman" w:cs="Times New Roman"/>
          <w:sz w:val="28"/>
          <w:szCs w:val="28"/>
        </w:rPr>
        <w:t xml:space="preserve"> en favor de la </w:t>
      </w:r>
      <w:r w:rsidR="00DB54EB" w:rsidRPr="0078289D">
        <w:rPr>
          <w:rFonts w:ascii="Times New Roman" w:hAnsi="Times New Roman" w:cs="Times New Roman"/>
          <w:b/>
          <w:sz w:val="28"/>
          <w:szCs w:val="28"/>
        </w:rPr>
        <w:t>exequibilidad</w:t>
      </w:r>
      <w:r w:rsidR="00DB54EB" w:rsidRPr="0078289D">
        <w:rPr>
          <w:rFonts w:ascii="Times New Roman" w:hAnsi="Times New Roman" w:cs="Times New Roman"/>
          <w:sz w:val="28"/>
          <w:szCs w:val="28"/>
        </w:rPr>
        <w:t xml:space="preserve"> </w:t>
      </w:r>
      <w:r w:rsidRPr="0078289D">
        <w:rPr>
          <w:rFonts w:ascii="Times New Roman" w:hAnsi="Times New Roman" w:cs="Times New Roman"/>
          <w:sz w:val="28"/>
          <w:szCs w:val="28"/>
        </w:rPr>
        <w:t>de las normas acusadas</w:t>
      </w:r>
      <w:r w:rsidR="00A848AB" w:rsidRPr="0078289D">
        <w:rPr>
          <w:rFonts w:ascii="Times New Roman" w:hAnsi="Times New Roman" w:cs="Times New Roman"/>
          <w:sz w:val="28"/>
          <w:szCs w:val="28"/>
        </w:rPr>
        <w:t xml:space="preserve"> </w:t>
      </w:r>
      <w:r w:rsidR="00DB54EB" w:rsidRPr="0078289D">
        <w:rPr>
          <w:rFonts w:ascii="Times New Roman" w:hAnsi="Times New Roman" w:cs="Times New Roman"/>
          <w:i/>
          <w:sz w:val="28"/>
          <w:szCs w:val="28"/>
        </w:rPr>
        <w:t>“</w:t>
      </w:r>
      <w:r w:rsidR="00047D7C" w:rsidRPr="0078289D">
        <w:rPr>
          <w:rFonts w:ascii="Times New Roman" w:hAnsi="Times New Roman" w:cs="Times New Roman"/>
          <w:i/>
          <w:sz w:val="28"/>
          <w:szCs w:val="28"/>
        </w:rPr>
        <w:t xml:space="preserve">bajo el entendido de que las áreas de reservas mineras estratégicas, así como las Áreas de Reserva para el Desarrollo Minerono </w:t>
      </w:r>
      <w:r w:rsidR="00047D7C" w:rsidRPr="0078289D">
        <w:rPr>
          <w:rFonts w:ascii="Times New Roman" w:hAnsi="Times New Roman" w:cs="Times New Roman"/>
          <w:sz w:val="28"/>
          <w:szCs w:val="28"/>
        </w:rPr>
        <w:t xml:space="preserve">(sic), </w:t>
      </w:r>
      <w:r w:rsidR="00047D7C" w:rsidRPr="0078289D">
        <w:rPr>
          <w:rFonts w:ascii="Times New Roman" w:hAnsi="Times New Roman" w:cs="Times New Roman"/>
          <w:i/>
          <w:sz w:val="28"/>
          <w:szCs w:val="28"/>
        </w:rPr>
        <w:t>en todo caso, no pueden coincidir con aquellos territorios delimitados como páramos, humedales, áreas que integran el sistema de parques naturales o regionales, zonas de reserva forestal, y, en general, con áreas declaradas o que se declaren en el futuro por la autoridad ambiental como zonas excluidas de la minería”</w:t>
      </w:r>
      <w:r w:rsidR="002C1FAB" w:rsidRPr="0078289D">
        <w:rPr>
          <w:rFonts w:ascii="Times New Roman" w:hAnsi="Times New Roman" w:cs="Times New Roman"/>
          <w:i/>
          <w:sz w:val="28"/>
          <w:szCs w:val="28"/>
        </w:rPr>
        <w:t xml:space="preserve">. </w:t>
      </w:r>
      <w:r w:rsidR="0030257B" w:rsidRPr="0078289D">
        <w:rPr>
          <w:rFonts w:ascii="Times New Roman" w:hAnsi="Times New Roman" w:cs="Times New Roman"/>
          <w:sz w:val="28"/>
          <w:szCs w:val="28"/>
        </w:rPr>
        <w:t xml:space="preserve">Así, resaltó el deber de </w:t>
      </w:r>
      <w:r w:rsidR="0030257B" w:rsidRPr="0078289D">
        <w:rPr>
          <w:rFonts w:ascii="Times New Roman" w:hAnsi="Times New Roman" w:cs="Times New Roman"/>
          <w:sz w:val="28"/>
          <w:szCs w:val="28"/>
        </w:rPr>
        <w:lastRenderedPageBreak/>
        <w:t>protección al ambiente a cargo del Estado</w:t>
      </w:r>
      <w:r w:rsidR="006256B8" w:rsidRPr="0078289D">
        <w:rPr>
          <w:rFonts w:ascii="Times New Roman" w:hAnsi="Times New Roman" w:cs="Times New Roman"/>
          <w:sz w:val="28"/>
          <w:szCs w:val="28"/>
        </w:rPr>
        <w:t xml:space="preserve">, y señaló que las disposiciones acusadas no vulneran </w:t>
      </w:r>
      <w:r w:rsidR="00A848AB" w:rsidRPr="0078289D">
        <w:rPr>
          <w:rFonts w:ascii="Times New Roman" w:hAnsi="Times New Roman" w:cs="Times New Roman"/>
          <w:sz w:val="28"/>
          <w:szCs w:val="28"/>
        </w:rPr>
        <w:t>los mencionados principios constitucionales</w:t>
      </w:r>
      <w:r w:rsidR="006256B8" w:rsidRPr="0078289D">
        <w:rPr>
          <w:rFonts w:ascii="Times New Roman" w:hAnsi="Times New Roman" w:cs="Times New Roman"/>
          <w:sz w:val="28"/>
          <w:szCs w:val="28"/>
        </w:rPr>
        <w:t xml:space="preserve">, siempre y cuando no coincidan con los territorios protegidos </w:t>
      </w:r>
      <w:r w:rsidR="00916DA8" w:rsidRPr="0078289D">
        <w:rPr>
          <w:rFonts w:ascii="Times New Roman" w:hAnsi="Times New Roman" w:cs="Times New Roman"/>
          <w:sz w:val="28"/>
          <w:szCs w:val="28"/>
        </w:rPr>
        <w:t>por la ley, y las ya declaradas, o declaradas en el futuro, como zonas excluidas de minería.</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p>
    <w:p w:rsidR="0085006D" w:rsidRPr="0078289D" w:rsidRDefault="00C06AB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sz w:val="28"/>
          <w:szCs w:val="28"/>
        </w:rPr>
      </w:pPr>
      <w:r w:rsidRPr="0078289D">
        <w:rPr>
          <w:rFonts w:ascii="Times New Roman" w:hAnsi="Times New Roman" w:cs="Times New Roman"/>
          <w:b/>
          <w:sz w:val="28"/>
          <w:szCs w:val="28"/>
        </w:rPr>
        <w:t xml:space="preserve">Intervenciones de entidades públicas y </w:t>
      </w:r>
      <w:r w:rsidR="003F1650" w:rsidRPr="0078289D">
        <w:rPr>
          <w:rFonts w:ascii="Times New Roman" w:hAnsi="Times New Roman" w:cs="Times New Roman"/>
          <w:b/>
          <w:sz w:val="28"/>
          <w:szCs w:val="28"/>
        </w:rPr>
        <w:t>de la ciudadanía</w:t>
      </w:r>
    </w:p>
    <w:p w:rsidR="0085006D" w:rsidRPr="0078289D" w:rsidRDefault="0085006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66A22" w:rsidRPr="0078289D" w:rsidRDefault="004F650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r w:rsidRPr="0078289D">
        <w:rPr>
          <w:rFonts w:ascii="Times New Roman" w:hAnsi="Times New Roman" w:cs="Times New Roman"/>
          <w:sz w:val="28"/>
          <w:szCs w:val="28"/>
        </w:rPr>
        <w:tab/>
      </w:r>
      <w:r w:rsidR="00026F6A" w:rsidRPr="0078289D">
        <w:rPr>
          <w:rFonts w:ascii="Times New Roman" w:hAnsi="Times New Roman" w:cs="Times New Roman"/>
          <w:b/>
          <w:i/>
          <w:sz w:val="28"/>
          <w:szCs w:val="28"/>
        </w:rPr>
        <w:t>Inte</w:t>
      </w:r>
      <w:r w:rsidR="00E01929" w:rsidRPr="0078289D">
        <w:rPr>
          <w:rFonts w:ascii="Times New Roman" w:hAnsi="Times New Roman" w:cs="Times New Roman"/>
          <w:b/>
          <w:i/>
          <w:sz w:val="28"/>
          <w:szCs w:val="28"/>
        </w:rPr>
        <w:t>rvención del Ministerio de Ambiente y Desarrollo Sostenible</w:t>
      </w:r>
    </w:p>
    <w:p w:rsidR="00E01929" w:rsidRPr="0078289D" w:rsidRDefault="00E0192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p>
    <w:p w:rsidR="00E01929" w:rsidRPr="0078289D" w:rsidRDefault="00E0192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El Ministerio de Ambiente interviene a favor de la </w:t>
      </w:r>
      <w:r w:rsidRPr="0078289D">
        <w:rPr>
          <w:rFonts w:ascii="Times New Roman" w:hAnsi="Times New Roman" w:cs="Times New Roman"/>
          <w:b/>
          <w:sz w:val="28"/>
          <w:szCs w:val="28"/>
        </w:rPr>
        <w:t>exequibilidad de la disposición acusada</w:t>
      </w:r>
      <w:r w:rsidR="007724E8" w:rsidRPr="0078289D">
        <w:rPr>
          <w:rStyle w:val="Refdenotaalpie"/>
          <w:rFonts w:ascii="Times New Roman" w:hAnsi="Times New Roman"/>
          <w:sz w:val="28"/>
          <w:szCs w:val="28"/>
        </w:rPr>
        <w:footnoteReference w:id="12"/>
      </w:r>
      <w:r w:rsidRPr="0078289D">
        <w:rPr>
          <w:rFonts w:ascii="Times New Roman" w:hAnsi="Times New Roman" w:cs="Times New Roman"/>
          <w:sz w:val="28"/>
          <w:szCs w:val="28"/>
        </w:rPr>
        <w:t xml:space="preserve">. </w:t>
      </w:r>
      <w:r w:rsidR="00950E4A" w:rsidRPr="0078289D">
        <w:rPr>
          <w:rFonts w:ascii="Times New Roman" w:hAnsi="Times New Roman" w:cs="Times New Roman"/>
          <w:sz w:val="28"/>
          <w:szCs w:val="28"/>
        </w:rPr>
        <w:t>En primer lugar</w:t>
      </w:r>
      <w:r w:rsidRPr="0078289D">
        <w:rPr>
          <w:rFonts w:ascii="Times New Roman" w:hAnsi="Times New Roman" w:cs="Times New Roman"/>
          <w:sz w:val="28"/>
          <w:szCs w:val="28"/>
        </w:rPr>
        <w:t xml:space="preserve">, señala que la figura de las Áreas Estratégicas Mineras ofrece seguridad jurídica y claridad sobre los lugares con potencial minero en el país, y </w:t>
      </w:r>
      <w:r w:rsidR="00950E4A" w:rsidRPr="0078289D">
        <w:rPr>
          <w:rFonts w:ascii="Times New Roman" w:hAnsi="Times New Roman" w:cs="Times New Roman"/>
          <w:sz w:val="28"/>
          <w:szCs w:val="28"/>
        </w:rPr>
        <w:t>sobre</w:t>
      </w:r>
      <w:r w:rsidRPr="0078289D">
        <w:rPr>
          <w:rFonts w:ascii="Times New Roman" w:hAnsi="Times New Roman" w:cs="Times New Roman"/>
          <w:sz w:val="28"/>
          <w:szCs w:val="28"/>
        </w:rPr>
        <w:t xml:space="preserve"> los cuales es </w:t>
      </w:r>
      <w:r w:rsidR="00950E4A" w:rsidRPr="0078289D">
        <w:rPr>
          <w:rFonts w:ascii="Times New Roman" w:hAnsi="Times New Roman" w:cs="Times New Roman"/>
          <w:sz w:val="28"/>
          <w:szCs w:val="28"/>
        </w:rPr>
        <w:t>permitido el desarrollo de esta actividad, atendiendo a la obligación</w:t>
      </w:r>
      <w:r w:rsidR="00ED3D56" w:rsidRPr="0078289D">
        <w:rPr>
          <w:rFonts w:ascii="Times New Roman" w:hAnsi="Times New Roman" w:cs="Times New Roman"/>
          <w:sz w:val="28"/>
          <w:szCs w:val="28"/>
        </w:rPr>
        <w:t xml:space="preserve"> estatal</w:t>
      </w:r>
      <w:r w:rsidR="00950E4A" w:rsidRPr="0078289D">
        <w:rPr>
          <w:rFonts w:ascii="Times New Roman" w:hAnsi="Times New Roman" w:cs="Times New Roman"/>
          <w:sz w:val="28"/>
          <w:szCs w:val="28"/>
        </w:rPr>
        <w:t xml:space="preserve"> de preservar los recursos naturales renovables. </w:t>
      </w:r>
    </w:p>
    <w:p w:rsidR="00950E4A" w:rsidRPr="0078289D" w:rsidRDefault="00950E4A"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CE7CB8" w:rsidRPr="0078289D" w:rsidRDefault="007D229A"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Posteriormente, </w:t>
      </w:r>
      <w:r w:rsidR="00511580" w:rsidRPr="0078289D">
        <w:rPr>
          <w:rFonts w:ascii="Times New Roman" w:hAnsi="Times New Roman" w:cs="Times New Roman"/>
          <w:sz w:val="28"/>
          <w:szCs w:val="28"/>
        </w:rPr>
        <w:t xml:space="preserve">indica que las normas acusadas fueron </w:t>
      </w:r>
      <w:r w:rsidR="00033E64" w:rsidRPr="0078289D">
        <w:rPr>
          <w:rFonts w:ascii="Times New Roman" w:hAnsi="Times New Roman" w:cs="Times New Roman"/>
          <w:sz w:val="28"/>
          <w:szCs w:val="28"/>
        </w:rPr>
        <w:t>interpretadas equivocadamente</w:t>
      </w:r>
      <w:r w:rsidR="00511580" w:rsidRPr="0078289D">
        <w:rPr>
          <w:rFonts w:ascii="Times New Roman" w:hAnsi="Times New Roman" w:cs="Times New Roman"/>
          <w:sz w:val="28"/>
          <w:szCs w:val="28"/>
        </w:rPr>
        <w:t xml:space="preserve"> por los accionantes, pues </w:t>
      </w:r>
      <w:r w:rsidR="00BE337E" w:rsidRPr="0078289D">
        <w:rPr>
          <w:rFonts w:ascii="Times New Roman" w:hAnsi="Times New Roman" w:cs="Times New Roman"/>
          <w:sz w:val="28"/>
          <w:szCs w:val="28"/>
        </w:rPr>
        <w:t>éstas no implican</w:t>
      </w:r>
      <w:r w:rsidR="00511580" w:rsidRPr="0078289D">
        <w:rPr>
          <w:rFonts w:ascii="Times New Roman" w:hAnsi="Times New Roman" w:cs="Times New Roman"/>
          <w:sz w:val="28"/>
          <w:szCs w:val="28"/>
        </w:rPr>
        <w:t xml:space="preserve"> una flexibilización de los requisitos </w:t>
      </w:r>
      <w:r w:rsidR="00C940D1" w:rsidRPr="0078289D">
        <w:rPr>
          <w:rFonts w:ascii="Times New Roman" w:hAnsi="Times New Roman" w:cs="Times New Roman"/>
          <w:sz w:val="28"/>
          <w:szCs w:val="28"/>
        </w:rPr>
        <w:t>para el</w:t>
      </w:r>
      <w:r w:rsidR="00511580" w:rsidRPr="0078289D">
        <w:rPr>
          <w:rFonts w:ascii="Times New Roman" w:hAnsi="Times New Roman" w:cs="Times New Roman"/>
          <w:sz w:val="28"/>
          <w:szCs w:val="28"/>
        </w:rPr>
        <w:t xml:space="preserve"> ejercicio de la minería ni suponen la eliminación de los controles en materia ambiental</w:t>
      </w:r>
      <w:r w:rsidR="00B74F76" w:rsidRPr="0078289D">
        <w:rPr>
          <w:rFonts w:ascii="Times New Roman" w:hAnsi="Times New Roman" w:cs="Times New Roman"/>
          <w:sz w:val="28"/>
          <w:szCs w:val="28"/>
        </w:rPr>
        <w:t xml:space="preserve">. </w:t>
      </w:r>
      <w:r w:rsidR="00376904" w:rsidRPr="0078289D">
        <w:rPr>
          <w:rFonts w:ascii="Times New Roman" w:hAnsi="Times New Roman" w:cs="Times New Roman"/>
          <w:sz w:val="28"/>
          <w:szCs w:val="28"/>
        </w:rPr>
        <w:t>En primer lugar</w:t>
      </w:r>
      <w:r w:rsidR="00B74F76" w:rsidRPr="0078289D">
        <w:rPr>
          <w:rFonts w:ascii="Times New Roman" w:hAnsi="Times New Roman" w:cs="Times New Roman"/>
          <w:sz w:val="28"/>
          <w:szCs w:val="28"/>
        </w:rPr>
        <w:t xml:space="preserve">, resalta que la finalidad de la norma es modificar el principio contractual de </w:t>
      </w:r>
      <w:r w:rsidR="00B74F76" w:rsidRPr="0078289D">
        <w:rPr>
          <w:rFonts w:ascii="Times New Roman" w:hAnsi="Times New Roman" w:cs="Times New Roman"/>
          <w:i/>
          <w:sz w:val="28"/>
          <w:szCs w:val="28"/>
        </w:rPr>
        <w:t>“primero en el tiempo, primero en el derecho”</w:t>
      </w:r>
      <w:r w:rsidR="00447D86" w:rsidRPr="0078289D">
        <w:rPr>
          <w:rStyle w:val="Refdenotaalpie"/>
          <w:rFonts w:ascii="Times New Roman" w:hAnsi="Times New Roman"/>
          <w:i/>
          <w:sz w:val="28"/>
          <w:szCs w:val="28"/>
        </w:rPr>
        <w:footnoteReference w:id="13"/>
      </w:r>
      <w:r w:rsidR="00883C5A" w:rsidRPr="0078289D">
        <w:rPr>
          <w:rFonts w:ascii="Times New Roman" w:hAnsi="Times New Roman" w:cs="Times New Roman"/>
          <w:sz w:val="28"/>
          <w:szCs w:val="28"/>
        </w:rPr>
        <w:t xml:space="preserve"> por uno más beneficioso para la Nación</w:t>
      </w:r>
      <w:r w:rsidR="00511580" w:rsidRPr="0078289D">
        <w:rPr>
          <w:rFonts w:ascii="Times New Roman" w:hAnsi="Times New Roman" w:cs="Times New Roman"/>
          <w:sz w:val="28"/>
          <w:szCs w:val="28"/>
        </w:rPr>
        <w:t xml:space="preserve">. </w:t>
      </w:r>
      <w:r w:rsidR="006511AC" w:rsidRPr="0078289D">
        <w:rPr>
          <w:rFonts w:ascii="Times New Roman" w:hAnsi="Times New Roman" w:cs="Times New Roman"/>
          <w:sz w:val="28"/>
          <w:szCs w:val="28"/>
        </w:rPr>
        <w:t>Así, menciona que las normas demandadas exigen un proceso de selección objetiva para la suscripción del contrato de conces</w:t>
      </w:r>
      <w:r w:rsidR="00650292" w:rsidRPr="0078289D">
        <w:rPr>
          <w:rFonts w:ascii="Times New Roman" w:hAnsi="Times New Roman" w:cs="Times New Roman"/>
          <w:sz w:val="28"/>
          <w:szCs w:val="28"/>
        </w:rPr>
        <w:t xml:space="preserve">ión, y el cumplimiento de unos </w:t>
      </w:r>
      <w:r w:rsidR="006511AC" w:rsidRPr="0078289D">
        <w:rPr>
          <w:rFonts w:ascii="Times New Roman" w:hAnsi="Times New Roman" w:cs="Times New Roman"/>
          <w:sz w:val="28"/>
          <w:szCs w:val="28"/>
        </w:rPr>
        <w:t xml:space="preserve">términos de referencia con mayores exigencias que los previstos en la Ley 685 de 2001. </w:t>
      </w:r>
      <w:r w:rsidR="00376904" w:rsidRPr="0078289D">
        <w:rPr>
          <w:rFonts w:ascii="Times New Roman" w:hAnsi="Times New Roman" w:cs="Times New Roman"/>
          <w:sz w:val="28"/>
          <w:szCs w:val="28"/>
        </w:rPr>
        <w:t>En segundo lugar</w:t>
      </w:r>
      <w:r w:rsidR="00A009BA" w:rsidRPr="0078289D">
        <w:rPr>
          <w:rFonts w:ascii="Times New Roman" w:hAnsi="Times New Roman" w:cs="Times New Roman"/>
          <w:sz w:val="28"/>
          <w:szCs w:val="28"/>
        </w:rPr>
        <w:t xml:space="preserve">, señala que el Estado, a través de la expedición de las licencias ambientales, ejerce un control sobre la actividad minera y aplica los principios de precaución y desarrollo sostenible en materia </w:t>
      </w:r>
      <w:r w:rsidR="004D714C" w:rsidRPr="0078289D">
        <w:rPr>
          <w:rFonts w:ascii="Times New Roman" w:hAnsi="Times New Roman" w:cs="Times New Roman"/>
          <w:sz w:val="28"/>
          <w:szCs w:val="28"/>
        </w:rPr>
        <w:t>ambiental</w:t>
      </w:r>
      <w:r w:rsidR="00376904" w:rsidRPr="0078289D">
        <w:rPr>
          <w:rFonts w:ascii="Times New Roman" w:hAnsi="Times New Roman" w:cs="Times New Roman"/>
          <w:sz w:val="28"/>
          <w:szCs w:val="28"/>
        </w:rPr>
        <w:t>, por lo que éstos no se ven vulnerados con la normativa acusada</w:t>
      </w:r>
      <w:r w:rsidR="004D714C" w:rsidRPr="0078289D">
        <w:rPr>
          <w:rFonts w:ascii="Times New Roman" w:hAnsi="Times New Roman" w:cs="Times New Roman"/>
          <w:sz w:val="28"/>
          <w:szCs w:val="28"/>
        </w:rPr>
        <w:t xml:space="preserve">. </w:t>
      </w:r>
      <w:r w:rsidR="00376904" w:rsidRPr="0078289D">
        <w:rPr>
          <w:rFonts w:ascii="Times New Roman" w:hAnsi="Times New Roman" w:cs="Times New Roman"/>
          <w:sz w:val="28"/>
          <w:szCs w:val="28"/>
        </w:rPr>
        <w:t>En tercer lugar</w:t>
      </w:r>
      <w:r w:rsidR="00CE7CB8" w:rsidRPr="0078289D">
        <w:rPr>
          <w:rFonts w:ascii="Times New Roman" w:hAnsi="Times New Roman" w:cs="Times New Roman"/>
          <w:sz w:val="28"/>
          <w:szCs w:val="28"/>
        </w:rPr>
        <w:t xml:space="preserve">, señala que la norma prevé que la delimitación del área </w:t>
      </w:r>
      <w:r w:rsidR="00376904" w:rsidRPr="0078289D">
        <w:rPr>
          <w:rFonts w:ascii="Times New Roman" w:hAnsi="Times New Roman" w:cs="Times New Roman"/>
          <w:sz w:val="28"/>
          <w:szCs w:val="28"/>
        </w:rPr>
        <w:t>debe ser</w:t>
      </w:r>
      <w:r w:rsidR="00CE7CB8" w:rsidRPr="0078289D">
        <w:rPr>
          <w:rFonts w:ascii="Times New Roman" w:hAnsi="Times New Roman" w:cs="Times New Roman"/>
          <w:sz w:val="28"/>
          <w:szCs w:val="28"/>
        </w:rPr>
        <w:t xml:space="preserve"> consultada con el sector </w:t>
      </w:r>
      <w:r w:rsidR="00CC22BB" w:rsidRPr="0078289D">
        <w:rPr>
          <w:rFonts w:ascii="Times New Roman" w:hAnsi="Times New Roman" w:cs="Times New Roman"/>
          <w:sz w:val="28"/>
          <w:szCs w:val="28"/>
        </w:rPr>
        <w:t>descentralizado</w:t>
      </w:r>
      <w:r w:rsidR="00CE7CB8" w:rsidRPr="0078289D">
        <w:rPr>
          <w:rFonts w:ascii="Times New Roman" w:hAnsi="Times New Roman" w:cs="Times New Roman"/>
          <w:sz w:val="28"/>
          <w:szCs w:val="28"/>
        </w:rPr>
        <w:t>, a través de la aplicación del principio de colaboración</w:t>
      </w:r>
      <w:r w:rsidR="00804F2D" w:rsidRPr="0078289D">
        <w:rPr>
          <w:rFonts w:ascii="Times New Roman" w:hAnsi="Times New Roman" w:cs="Times New Roman"/>
          <w:sz w:val="28"/>
          <w:szCs w:val="28"/>
        </w:rPr>
        <w:t xml:space="preserve">. </w:t>
      </w:r>
    </w:p>
    <w:p w:rsidR="00804F2D" w:rsidRPr="0078289D" w:rsidRDefault="00804F2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8D22C1" w:rsidRPr="0078289D" w:rsidRDefault="00804F2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Igualmente, considera que las normas no </w:t>
      </w:r>
      <w:r w:rsidR="00141FCC" w:rsidRPr="0078289D">
        <w:rPr>
          <w:rFonts w:ascii="Times New Roman" w:hAnsi="Times New Roman" w:cs="Times New Roman"/>
          <w:sz w:val="28"/>
          <w:szCs w:val="28"/>
        </w:rPr>
        <w:t xml:space="preserve">generan una situación de conflicto frente al uso de la tierra, sino todo lo contrario. </w:t>
      </w:r>
      <w:r w:rsidR="00EC57E8" w:rsidRPr="0078289D">
        <w:rPr>
          <w:rFonts w:ascii="Times New Roman" w:hAnsi="Times New Roman" w:cs="Times New Roman"/>
          <w:sz w:val="28"/>
          <w:szCs w:val="28"/>
        </w:rPr>
        <w:t>En este sentido</w:t>
      </w:r>
      <w:r w:rsidR="00141FCC" w:rsidRPr="0078289D">
        <w:rPr>
          <w:rFonts w:ascii="Times New Roman" w:hAnsi="Times New Roman" w:cs="Times New Roman"/>
          <w:sz w:val="28"/>
          <w:szCs w:val="28"/>
        </w:rPr>
        <w:t xml:space="preserve">, </w:t>
      </w:r>
      <w:r w:rsidR="00344C3C" w:rsidRPr="0078289D">
        <w:rPr>
          <w:rFonts w:ascii="Times New Roman" w:hAnsi="Times New Roman" w:cs="Times New Roman"/>
          <w:sz w:val="28"/>
          <w:szCs w:val="28"/>
        </w:rPr>
        <w:t xml:space="preserve">explica que </w:t>
      </w:r>
      <w:r w:rsidR="000C7CDB" w:rsidRPr="0078289D">
        <w:rPr>
          <w:rFonts w:ascii="Times New Roman" w:hAnsi="Times New Roman" w:cs="Times New Roman"/>
          <w:sz w:val="28"/>
          <w:szCs w:val="28"/>
        </w:rPr>
        <w:t xml:space="preserve">con las AEM </w:t>
      </w:r>
      <w:r w:rsidR="0036091F" w:rsidRPr="0078289D">
        <w:rPr>
          <w:rFonts w:ascii="Times New Roman" w:hAnsi="Times New Roman" w:cs="Times New Roman"/>
          <w:sz w:val="28"/>
          <w:szCs w:val="28"/>
        </w:rPr>
        <w:t>se protege, por un lado, el principio de confianza legítima de los particulares que realizan este tipo de actividades</w:t>
      </w:r>
      <w:r w:rsidR="009E631A" w:rsidRPr="0078289D">
        <w:rPr>
          <w:rFonts w:ascii="Times New Roman" w:hAnsi="Times New Roman" w:cs="Times New Roman"/>
          <w:sz w:val="28"/>
          <w:szCs w:val="28"/>
        </w:rPr>
        <w:t>, y por otro, los recursos naturales</w:t>
      </w:r>
      <w:r w:rsidR="005A2120" w:rsidRPr="0078289D">
        <w:rPr>
          <w:rFonts w:ascii="Times New Roman" w:hAnsi="Times New Roman" w:cs="Times New Roman"/>
          <w:sz w:val="28"/>
          <w:szCs w:val="28"/>
        </w:rPr>
        <w:t xml:space="preserve"> del Estado</w:t>
      </w:r>
      <w:r w:rsidR="009E631A" w:rsidRPr="0078289D">
        <w:rPr>
          <w:rFonts w:ascii="Times New Roman" w:hAnsi="Times New Roman" w:cs="Times New Roman"/>
          <w:sz w:val="28"/>
          <w:szCs w:val="28"/>
        </w:rPr>
        <w:t xml:space="preserve">. </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8D22C1" w:rsidRPr="0078289D" w:rsidRDefault="008D22C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r w:rsidRPr="0078289D">
        <w:rPr>
          <w:rFonts w:ascii="Times New Roman" w:hAnsi="Times New Roman" w:cs="Times New Roman"/>
          <w:b/>
          <w:i/>
          <w:sz w:val="28"/>
          <w:szCs w:val="28"/>
        </w:rPr>
        <w:t>Intervención del INCODER</w:t>
      </w:r>
    </w:p>
    <w:p w:rsidR="008D22C1" w:rsidRPr="0078289D" w:rsidRDefault="008D22C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p>
    <w:p w:rsidR="00E01929" w:rsidRPr="0078289D" w:rsidRDefault="008D22C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lastRenderedPageBreak/>
        <w:t xml:space="preserve">El INCODER presenta un memorial mediante el cual se abstiene de realizar consideraciones sobre las disposiciones demandadas, </w:t>
      </w:r>
      <w:r w:rsidR="00FA6401" w:rsidRPr="0078289D">
        <w:rPr>
          <w:rFonts w:ascii="Times New Roman" w:hAnsi="Times New Roman" w:cs="Times New Roman"/>
          <w:sz w:val="28"/>
          <w:szCs w:val="28"/>
        </w:rPr>
        <w:t>e indica</w:t>
      </w:r>
      <w:r w:rsidRPr="0078289D">
        <w:rPr>
          <w:rFonts w:ascii="Times New Roman" w:hAnsi="Times New Roman" w:cs="Times New Roman"/>
          <w:sz w:val="28"/>
          <w:szCs w:val="28"/>
        </w:rPr>
        <w:t xml:space="preserve"> que sus competencias no están relacionadas con la delimitación de áreas especiales mineras</w:t>
      </w:r>
      <w:r w:rsidRPr="0078289D">
        <w:rPr>
          <w:rStyle w:val="Refdenotaalpie"/>
          <w:rFonts w:ascii="Times New Roman" w:hAnsi="Times New Roman"/>
          <w:sz w:val="28"/>
          <w:szCs w:val="28"/>
        </w:rPr>
        <w:footnoteReference w:id="14"/>
      </w:r>
      <w:r w:rsidRPr="0078289D">
        <w:rPr>
          <w:rFonts w:ascii="Times New Roman" w:hAnsi="Times New Roman" w:cs="Times New Roman"/>
          <w:sz w:val="28"/>
          <w:szCs w:val="28"/>
        </w:rPr>
        <w:t xml:space="preserve">. </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7279FD" w:rsidRPr="0078289D" w:rsidRDefault="007279F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r w:rsidRPr="0078289D">
        <w:rPr>
          <w:rFonts w:ascii="Times New Roman" w:hAnsi="Times New Roman" w:cs="Times New Roman"/>
          <w:b/>
          <w:i/>
          <w:sz w:val="28"/>
          <w:szCs w:val="28"/>
        </w:rPr>
        <w:t>Intervención de la Agencia Nacional de Minería</w:t>
      </w:r>
    </w:p>
    <w:p w:rsidR="007279FD" w:rsidRPr="0078289D" w:rsidRDefault="007279F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0718AF" w:rsidRPr="0078289D" w:rsidRDefault="00565C6D"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 entidad solicita a la Corte que se declare </w:t>
      </w:r>
      <w:r w:rsidRPr="0078289D">
        <w:rPr>
          <w:rFonts w:ascii="Times New Roman" w:hAnsi="Times New Roman" w:cs="Times New Roman"/>
          <w:b/>
          <w:sz w:val="28"/>
          <w:szCs w:val="28"/>
        </w:rPr>
        <w:t xml:space="preserve">inhibida </w:t>
      </w:r>
      <w:r w:rsidRPr="0078289D">
        <w:rPr>
          <w:rFonts w:ascii="Times New Roman" w:hAnsi="Times New Roman" w:cs="Times New Roman"/>
          <w:sz w:val="28"/>
          <w:szCs w:val="28"/>
        </w:rPr>
        <w:t xml:space="preserve">por ineptitud sustancial de la demanda, o que en su defecto, </w:t>
      </w:r>
      <w:r w:rsidR="00726212" w:rsidRPr="0078289D">
        <w:rPr>
          <w:rFonts w:ascii="Times New Roman" w:hAnsi="Times New Roman" w:cs="Times New Roman"/>
          <w:sz w:val="28"/>
          <w:szCs w:val="28"/>
        </w:rPr>
        <w:t xml:space="preserve">declare la </w:t>
      </w:r>
      <w:r w:rsidR="00726212" w:rsidRPr="0078289D">
        <w:rPr>
          <w:rFonts w:ascii="Times New Roman" w:hAnsi="Times New Roman" w:cs="Times New Roman"/>
          <w:b/>
          <w:sz w:val="28"/>
          <w:szCs w:val="28"/>
        </w:rPr>
        <w:t xml:space="preserve">exequibilidad </w:t>
      </w:r>
      <w:r w:rsidR="00726212" w:rsidRPr="0078289D">
        <w:rPr>
          <w:rFonts w:ascii="Times New Roman" w:hAnsi="Times New Roman" w:cs="Times New Roman"/>
          <w:sz w:val="28"/>
          <w:szCs w:val="28"/>
        </w:rPr>
        <w:t xml:space="preserve">de las normas acusadas. </w:t>
      </w:r>
    </w:p>
    <w:p w:rsidR="00726212" w:rsidRPr="0078289D" w:rsidRDefault="0072621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382FAE" w:rsidRPr="0078289D" w:rsidRDefault="009B4CD9"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Considera</w:t>
      </w:r>
      <w:r w:rsidR="00382FAE" w:rsidRPr="0078289D">
        <w:rPr>
          <w:rFonts w:ascii="Times New Roman" w:hAnsi="Times New Roman" w:cs="Times New Roman"/>
          <w:sz w:val="28"/>
          <w:szCs w:val="28"/>
        </w:rPr>
        <w:t xml:space="preserve"> que </w:t>
      </w:r>
      <w:r w:rsidR="00644AAA" w:rsidRPr="0078289D">
        <w:rPr>
          <w:rFonts w:ascii="Times New Roman" w:hAnsi="Times New Roman" w:cs="Times New Roman"/>
          <w:sz w:val="28"/>
          <w:szCs w:val="28"/>
        </w:rPr>
        <w:t>los cargos presentados por los demandantes</w:t>
      </w:r>
      <w:r w:rsidR="007F169A" w:rsidRPr="0078289D">
        <w:rPr>
          <w:rFonts w:ascii="Times New Roman" w:hAnsi="Times New Roman" w:cs="Times New Roman"/>
          <w:sz w:val="28"/>
          <w:szCs w:val="28"/>
        </w:rPr>
        <w:t xml:space="preserve"> </w:t>
      </w:r>
      <w:r w:rsidR="00644AAA" w:rsidRPr="0078289D">
        <w:rPr>
          <w:rFonts w:ascii="Times New Roman" w:hAnsi="Times New Roman" w:cs="Times New Roman"/>
          <w:sz w:val="28"/>
          <w:szCs w:val="28"/>
        </w:rPr>
        <w:t>carecen de los requisitos de certeza, especificidad y pertinencia necesarios</w:t>
      </w:r>
      <w:r w:rsidR="007F169A" w:rsidRPr="0078289D">
        <w:rPr>
          <w:rFonts w:ascii="Times New Roman" w:hAnsi="Times New Roman" w:cs="Times New Roman"/>
          <w:sz w:val="28"/>
          <w:szCs w:val="28"/>
        </w:rPr>
        <w:t xml:space="preserve"> para la aptitud de la demanda</w:t>
      </w:r>
      <w:r w:rsidR="003A4887" w:rsidRPr="0078289D">
        <w:rPr>
          <w:rFonts w:ascii="Times New Roman" w:hAnsi="Times New Roman" w:cs="Times New Roman"/>
          <w:sz w:val="28"/>
          <w:szCs w:val="28"/>
        </w:rPr>
        <w:t xml:space="preserve">, y se refieren, especialmente, a juicios de carácter político y </w:t>
      </w:r>
      <w:r w:rsidR="00827828" w:rsidRPr="0078289D">
        <w:rPr>
          <w:rFonts w:ascii="Times New Roman" w:hAnsi="Times New Roman" w:cs="Times New Roman"/>
          <w:sz w:val="28"/>
          <w:szCs w:val="28"/>
        </w:rPr>
        <w:t>argumentos críticos</w:t>
      </w:r>
      <w:r w:rsidR="003A4887" w:rsidRPr="0078289D">
        <w:rPr>
          <w:rFonts w:ascii="Times New Roman" w:hAnsi="Times New Roman" w:cs="Times New Roman"/>
          <w:sz w:val="28"/>
          <w:szCs w:val="28"/>
        </w:rPr>
        <w:t xml:space="preserve"> del actual modelo económico</w:t>
      </w:r>
      <w:r w:rsidR="007F169A" w:rsidRPr="0078289D">
        <w:rPr>
          <w:rFonts w:ascii="Times New Roman" w:hAnsi="Times New Roman" w:cs="Times New Roman"/>
          <w:sz w:val="28"/>
          <w:szCs w:val="28"/>
        </w:rPr>
        <w:t xml:space="preserve">. </w:t>
      </w:r>
      <w:r w:rsidR="005445E0" w:rsidRPr="0078289D">
        <w:rPr>
          <w:rFonts w:ascii="Times New Roman" w:hAnsi="Times New Roman" w:cs="Times New Roman"/>
          <w:sz w:val="28"/>
          <w:szCs w:val="28"/>
        </w:rPr>
        <w:t xml:space="preserve">Así, señala que además de que los argumentos presentados son vagos, subjetivos </w:t>
      </w:r>
      <w:r w:rsidR="00827828" w:rsidRPr="0078289D">
        <w:rPr>
          <w:rFonts w:ascii="Times New Roman" w:hAnsi="Times New Roman" w:cs="Times New Roman"/>
          <w:sz w:val="28"/>
          <w:szCs w:val="28"/>
        </w:rPr>
        <w:t>e imprecisos, la formulación de los</w:t>
      </w:r>
      <w:r w:rsidR="005445E0" w:rsidRPr="0078289D">
        <w:rPr>
          <w:rFonts w:ascii="Times New Roman" w:hAnsi="Times New Roman" w:cs="Times New Roman"/>
          <w:sz w:val="28"/>
          <w:szCs w:val="28"/>
        </w:rPr>
        <w:t xml:space="preserve"> cargo</w:t>
      </w:r>
      <w:r w:rsidR="00827828" w:rsidRPr="0078289D">
        <w:rPr>
          <w:rFonts w:ascii="Times New Roman" w:hAnsi="Times New Roman" w:cs="Times New Roman"/>
          <w:sz w:val="28"/>
          <w:szCs w:val="28"/>
        </w:rPr>
        <w:t>s</w:t>
      </w:r>
      <w:r w:rsidR="005445E0" w:rsidRPr="0078289D">
        <w:rPr>
          <w:rFonts w:ascii="Times New Roman" w:hAnsi="Times New Roman" w:cs="Times New Roman"/>
          <w:sz w:val="28"/>
          <w:szCs w:val="28"/>
        </w:rPr>
        <w:t xml:space="preserve"> no se relaciona</w:t>
      </w:r>
      <w:r w:rsidR="00827828" w:rsidRPr="0078289D">
        <w:rPr>
          <w:rFonts w:ascii="Times New Roman" w:hAnsi="Times New Roman" w:cs="Times New Roman"/>
          <w:sz w:val="28"/>
          <w:szCs w:val="28"/>
        </w:rPr>
        <w:t>n</w:t>
      </w:r>
      <w:r w:rsidR="005445E0" w:rsidRPr="0078289D">
        <w:rPr>
          <w:rFonts w:ascii="Times New Roman" w:hAnsi="Times New Roman" w:cs="Times New Roman"/>
          <w:sz w:val="28"/>
          <w:szCs w:val="28"/>
        </w:rPr>
        <w:t xml:space="preserve"> directamente con </w:t>
      </w:r>
      <w:r w:rsidR="00827828" w:rsidRPr="0078289D">
        <w:rPr>
          <w:rFonts w:ascii="Times New Roman" w:hAnsi="Times New Roman" w:cs="Times New Roman"/>
          <w:sz w:val="28"/>
          <w:szCs w:val="28"/>
        </w:rPr>
        <w:t>el texto demandado</w:t>
      </w:r>
      <w:r w:rsidR="005445E0" w:rsidRPr="0078289D">
        <w:rPr>
          <w:rFonts w:ascii="Times New Roman" w:hAnsi="Times New Roman" w:cs="Times New Roman"/>
          <w:sz w:val="28"/>
          <w:szCs w:val="28"/>
        </w:rPr>
        <w:t>, sino con los</w:t>
      </w:r>
      <w:r w:rsidR="00151074" w:rsidRPr="0078289D">
        <w:rPr>
          <w:rFonts w:ascii="Times New Roman" w:hAnsi="Times New Roman" w:cs="Times New Roman"/>
          <w:sz w:val="28"/>
          <w:szCs w:val="28"/>
        </w:rPr>
        <w:t xml:space="preserve"> hipotéticos</w:t>
      </w:r>
      <w:r w:rsidR="005445E0" w:rsidRPr="0078289D">
        <w:rPr>
          <w:rFonts w:ascii="Times New Roman" w:hAnsi="Times New Roman" w:cs="Times New Roman"/>
          <w:sz w:val="28"/>
          <w:szCs w:val="28"/>
        </w:rPr>
        <w:t xml:space="preserve"> efectos que generaría la concesión de títulos mineros. </w:t>
      </w:r>
    </w:p>
    <w:p w:rsidR="0052333F" w:rsidRPr="0078289D" w:rsidRDefault="0052333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52333F" w:rsidRPr="0078289D" w:rsidRDefault="006A51F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Aduce</w:t>
      </w:r>
      <w:r w:rsidR="0052333F" w:rsidRPr="0078289D">
        <w:rPr>
          <w:rFonts w:ascii="Times New Roman" w:hAnsi="Times New Roman" w:cs="Times New Roman"/>
          <w:sz w:val="28"/>
          <w:szCs w:val="28"/>
        </w:rPr>
        <w:t xml:space="preserve"> que, contrario a lo sostenido por los demandantes</w:t>
      </w:r>
      <w:r w:rsidR="001D19F9" w:rsidRPr="0078289D">
        <w:rPr>
          <w:rFonts w:ascii="Times New Roman" w:hAnsi="Times New Roman" w:cs="Times New Roman"/>
          <w:sz w:val="28"/>
          <w:szCs w:val="28"/>
        </w:rPr>
        <w:t xml:space="preserve"> en el primer cargo de </w:t>
      </w:r>
      <w:r w:rsidR="00B60489" w:rsidRPr="0078289D">
        <w:rPr>
          <w:rFonts w:ascii="Times New Roman" w:hAnsi="Times New Roman" w:cs="Times New Roman"/>
          <w:sz w:val="28"/>
          <w:szCs w:val="28"/>
        </w:rPr>
        <w:t>esta sección</w:t>
      </w:r>
      <w:r w:rsidR="0052333F" w:rsidRPr="0078289D">
        <w:rPr>
          <w:rFonts w:ascii="Times New Roman" w:hAnsi="Times New Roman" w:cs="Times New Roman"/>
          <w:sz w:val="28"/>
          <w:szCs w:val="28"/>
        </w:rPr>
        <w:t>, de la</w:t>
      </w:r>
      <w:r w:rsidR="001D19F9" w:rsidRPr="0078289D">
        <w:rPr>
          <w:rFonts w:ascii="Times New Roman" w:hAnsi="Times New Roman" w:cs="Times New Roman"/>
          <w:sz w:val="28"/>
          <w:szCs w:val="28"/>
        </w:rPr>
        <w:t>s</w:t>
      </w:r>
      <w:r w:rsidR="0052333F" w:rsidRPr="0078289D">
        <w:rPr>
          <w:rFonts w:ascii="Times New Roman" w:hAnsi="Times New Roman" w:cs="Times New Roman"/>
          <w:sz w:val="28"/>
          <w:szCs w:val="28"/>
        </w:rPr>
        <w:t xml:space="preserve"> </w:t>
      </w:r>
      <w:r w:rsidR="001534D4" w:rsidRPr="0078289D">
        <w:rPr>
          <w:rFonts w:ascii="Times New Roman" w:hAnsi="Times New Roman" w:cs="Times New Roman"/>
          <w:sz w:val="28"/>
          <w:szCs w:val="28"/>
        </w:rPr>
        <w:t>normas</w:t>
      </w:r>
      <w:r w:rsidR="0052333F" w:rsidRPr="0078289D">
        <w:rPr>
          <w:rFonts w:ascii="Times New Roman" w:hAnsi="Times New Roman" w:cs="Times New Roman"/>
          <w:sz w:val="28"/>
          <w:szCs w:val="28"/>
        </w:rPr>
        <w:t xml:space="preserve"> no se desprende una </w:t>
      </w:r>
      <w:r w:rsidR="0052333F" w:rsidRPr="0078289D">
        <w:rPr>
          <w:rFonts w:ascii="Times New Roman" w:hAnsi="Times New Roman" w:cs="Times New Roman"/>
          <w:i/>
          <w:sz w:val="28"/>
          <w:szCs w:val="28"/>
        </w:rPr>
        <w:t>“</w:t>
      </w:r>
      <w:r w:rsidR="009B4CD9" w:rsidRPr="0078289D">
        <w:rPr>
          <w:rFonts w:ascii="Times New Roman" w:hAnsi="Times New Roman" w:cs="Times New Roman"/>
          <w:i/>
          <w:sz w:val="28"/>
          <w:szCs w:val="28"/>
        </w:rPr>
        <w:t>vocación exclusivamente minera”</w:t>
      </w:r>
      <w:r w:rsidR="001534D4" w:rsidRPr="0078289D">
        <w:rPr>
          <w:rFonts w:ascii="Times New Roman" w:hAnsi="Times New Roman" w:cs="Times New Roman"/>
          <w:sz w:val="28"/>
          <w:szCs w:val="28"/>
        </w:rPr>
        <w:t xml:space="preserve"> de las AEM </w:t>
      </w:r>
      <w:r w:rsidR="00CA2F25" w:rsidRPr="0078289D">
        <w:rPr>
          <w:rFonts w:ascii="Times New Roman" w:hAnsi="Times New Roman" w:cs="Times New Roman"/>
          <w:sz w:val="28"/>
          <w:szCs w:val="28"/>
        </w:rPr>
        <w:t>ni una priorización de esta activida</w:t>
      </w:r>
      <w:r w:rsidR="00524442" w:rsidRPr="0078289D">
        <w:rPr>
          <w:rFonts w:ascii="Times New Roman" w:hAnsi="Times New Roman" w:cs="Times New Roman"/>
          <w:sz w:val="28"/>
          <w:szCs w:val="28"/>
        </w:rPr>
        <w:t xml:space="preserve">d, pues, en principio, todas las áreas libres del territorio nacional pueden ser destinadas a la minería. Así, señala que </w:t>
      </w:r>
      <w:r w:rsidR="00FE1CCC" w:rsidRPr="0078289D">
        <w:rPr>
          <w:rFonts w:ascii="Times New Roman" w:hAnsi="Times New Roman" w:cs="Times New Roman"/>
          <w:sz w:val="28"/>
          <w:szCs w:val="28"/>
        </w:rPr>
        <w:t xml:space="preserve">con </w:t>
      </w:r>
      <w:r w:rsidR="00524442" w:rsidRPr="0078289D">
        <w:rPr>
          <w:rFonts w:ascii="Times New Roman" w:hAnsi="Times New Roman" w:cs="Times New Roman"/>
          <w:sz w:val="28"/>
          <w:szCs w:val="28"/>
        </w:rPr>
        <w:t>las normas demandadas únicamente se pretendió modificar el régimen de concesión para que fuese más favorable a la Nación</w:t>
      </w:r>
      <w:r w:rsidR="006B0461" w:rsidRPr="0078289D">
        <w:rPr>
          <w:rFonts w:ascii="Times New Roman" w:hAnsi="Times New Roman" w:cs="Times New Roman"/>
          <w:sz w:val="28"/>
          <w:szCs w:val="28"/>
        </w:rPr>
        <w:t xml:space="preserve"> sobre algunas áreas</w:t>
      </w:r>
      <w:r w:rsidR="00FE1CCC" w:rsidRPr="0078289D">
        <w:rPr>
          <w:rFonts w:ascii="Times New Roman" w:hAnsi="Times New Roman" w:cs="Times New Roman"/>
          <w:sz w:val="28"/>
          <w:szCs w:val="28"/>
        </w:rPr>
        <w:t>, siendo indispensable</w:t>
      </w:r>
      <w:r w:rsidR="006B0461" w:rsidRPr="0078289D">
        <w:rPr>
          <w:rFonts w:ascii="Times New Roman" w:hAnsi="Times New Roman" w:cs="Times New Roman"/>
          <w:sz w:val="28"/>
          <w:szCs w:val="28"/>
        </w:rPr>
        <w:t xml:space="preserve"> prevenir que se lleven a cabo nue</w:t>
      </w:r>
      <w:r w:rsidR="009B4CD9" w:rsidRPr="0078289D">
        <w:rPr>
          <w:rFonts w:ascii="Times New Roman" w:hAnsi="Times New Roman" w:cs="Times New Roman"/>
          <w:sz w:val="28"/>
          <w:szCs w:val="28"/>
        </w:rPr>
        <w:t xml:space="preserve">vas propuestas frente a éstas. </w:t>
      </w:r>
      <w:r w:rsidR="00703631" w:rsidRPr="0078289D">
        <w:rPr>
          <w:rFonts w:ascii="Times New Roman" w:hAnsi="Times New Roman" w:cs="Times New Roman"/>
          <w:sz w:val="28"/>
          <w:szCs w:val="28"/>
        </w:rPr>
        <w:t>En este sentido,</w:t>
      </w:r>
      <w:r w:rsidR="00807015" w:rsidRPr="0078289D">
        <w:rPr>
          <w:rFonts w:ascii="Times New Roman" w:hAnsi="Times New Roman" w:cs="Times New Roman"/>
          <w:sz w:val="28"/>
          <w:szCs w:val="28"/>
        </w:rPr>
        <w:t xml:space="preserve"> las normas acusadas</w:t>
      </w:r>
      <w:r w:rsidR="00703631" w:rsidRPr="0078289D">
        <w:rPr>
          <w:rFonts w:ascii="Times New Roman" w:hAnsi="Times New Roman" w:cs="Times New Roman"/>
          <w:sz w:val="28"/>
          <w:szCs w:val="28"/>
        </w:rPr>
        <w:t xml:space="preserve"> i) no asignan un uso</w:t>
      </w:r>
      <w:r w:rsidR="009B4CD9" w:rsidRPr="0078289D">
        <w:rPr>
          <w:rFonts w:ascii="Times New Roman" w:hAnsi="Times New Roman" w:cs="Times New Roman"/>
          <w:sz w:val="28"/>
          <w:szCs w:val="28"/>
        </w:rPr>
        <w:t xml:space="preserve"> exclusivo</w:t>
      </w:r>
      <w:r w:rsidR="00703631" w:rsidRPr="0078289D">
        <w:rPr>
          <w:rFonts w:ascii="Times New Roman" w:hAnsi="Times New Roman" w:cs="Times New Roman"/>
          <w:sz w:val="28"/>
          <w:szCs w:val="28"/>
        </w:rPr>
        <w:t xml:space="preserve"> al suelo, y mucho menos, excluye la protección de la agricultura, ii) </w:t>
      </w:r>
      <w:r w:rsidR="00D77CCF" w:rsidRPr="0078289D">
        <w:rPr>
          <w:rFonts w:ascii="Times New Roman" w:hAnsi="Times New Roman" w:cs="Times New Roman"/>
          <w:sz w:val="28"/>
          <w:szCs w:val="28"/>
        </w:rPr>
        <w:t>no asigna</w:t>
      </w:r>
      <w:r w:rsidR="004C3699" w:rsidRPr="0078289D">
        <w:rPr>
          <w:rFonts w:ascii="Times New Roman" w:hAnsi="Times New Roman" w:cs="Times New Roman"/>
          <w:sz w:val="28"/>
          <w:szCs w:val="28"/>
        </w:rPr>
        <w:t>n</w:t>
      </w:r>
      <w:r w:rsidR="00D77CCF" w:rsidRPr="0078289D">
        <w:rPr>
          <w:rFonts w:ascii="Times New Roman" w:hAnsi="Times New Roman" w:cs="Times New Roman"/>
          <w:sz w:val="28"/>
          <w:szCs w:val="28"/>
        </w:rPr>
        <w:t xml:space="preserve"> títulos mineros, sino que se limita</w:t>
      </w:r>
      <w:r w:rsidR="004C3699" w:rsidRPr="0078289D">
        <w:rPr>
          <w:rFonts w:ascii="Times New Roman" w:hAnsi="Times New Roman" w:cs="Times New Roman"/>
          <w:sz w:val="28"/>
          <w:szCs w:val="28"/>
        </w:rPr>
        <w:t>n</w:t>
      </w:r>
      <w:r w:rsidR="00D77CCF" w:rsidRPr="0078289D">
        <w:rPr>
          <w:rFonts w:ascii="Times New Roman" w:hAnsi="Times New Roman" w:cs="Times New Roman"/>
          <w:sz w:val="28"/>
          <w:szCs w:val="28"/>
        </w:rPr>
        <w:t xml:space="preserve"> a garantizar la realización de procedimientos de selección objetiva,</w:t>
      </w:r>
      <w:r w:rsidR="005F7F55" w:rsidRPr="0078289D">
        <w:rPr>
          <w:rFonts w:ascii="Times New Roman" w:hAnsi="Times New Roman" w:cs="Times New Roman"/>
          <w:sz w:val="28"/>
          <w:szCs w:val="28"/>
        </w:rPr>
        <w:t xml:space="preserve"> y</w:t>
      </w:r>
      <w:r w:rsidR="00D77CCF" w:rsidRPr="0078289D">
        <w:rPr>
          <w:rFonts w:ascii="Times New Roman" w:hAnsi="Times New Roman" w:cs="Times New Roman"/>
          <w:sz w:val="28"/>
          <w:szCs w:val="28"/>
        </w:rPr>
        <w:t xml:space="preserve"> iii) no </w:t>
      </w:r>
      <w:r w:rsidR="00807015" w:rsidRPr="0078289D">
        <w:rPr>
          <w:rFonts w:ascii="Times New Roman" w:hAnsi="Times New Roman" w:cs="Times New Roman"/>
          <w:sz w:val="28"/>
          <w:szCs w:val="28"/>
        </w:rPr>
        <w:t xml:space="preserve">contravienen </w:t>
      </w:r>
      <w:r w:rsidR="00710AAB" w:rsidRPr="0078289D">
        <w:rPr>
          <w:rFonts w:ascii="Times New Roman" w:hAnsi="Times New Roman" w:cs="Times New Roman"/>
          <w:sz w:val="28"/>
          <w:szCs w:val="28"/>
        </w:rPr>
        <w:t>las limitaciones y prohibiciones contenidas en el Código de Minas.</w:t>
      </w:r>
    </w:p>
    <w:p w:rsidR="000160A5" w:rsidRPr="0078289D" w:rsidRDefault="000160A5"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0160A5" w:rsidRPr="0078289D" w:rsidRDefault="000160A5"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Con respecto al segundo cargo, </w:t>
      </w:r>
      <w:r w:rsidR="002D3567" w:rsidRPr="0078289D">
        <w:rPr>
          <w:rFonts w:ascii="Times New Roman" w:hAnsi="Times New Roman" w:cs="Times New Roman"/>
          <w:sz w:val="28"/>
          <w:szCs w:val="28"/>
        </w:rPr>
        <w:t xml:space="preserve">precisa que, contrario a lo expuesto por los demandantes, la norma no regula situaciones relacionadas con la explotación del suelo, sino del subsuelo. En todo caso, </w:t>
      </w:r>
      <w:r w:rsidRPr="0078289D">
        <w:rPr>
          <w:rFonts w:ascii="Times New Roman" w:hAnsi="Times New Roman" w:cs="Times New Roman"/>
          <w:sz w:val="28"/>
          <w:szCs w:val="28"/>
        </w:rPr>
        <w:t xml:space="preserve">señala que </w:t>
      </w:r>
      <w:r w:rsidR="00A06512" w:rsidRPr="0078289D">
        <w:rPr>
          <w:rFonts w:ascii="Times New Roman" w:hAnsi="Times New Roman" w:cs="Times New Roman"/>
          <w:sz w:val="28"/>
          <w:szCs w:val="28"/>
        </w:rPr>
        <w:t>de la norma no se deriva una destinación exclusiva a la actividad minera, toda vez que hasta q</w:t>
      </w:r>
      <w:r w:rsidR="006D4DFA" w:rsidRPr="0078289D">
        <w:rPr>
          <w:rFonts w:ascii="Times New Roman" w:hAnsi="Times New Roman" w:cs="Times New Roman"/>
          <w:sz w:val="28"/>
          <w:szCs w:val="28"/>
        </w:rPr>
        <w:t>ue el predio no sea adjudicado</w:t>
      </w:r>
      <w:r w:rsidR="00A06512" w:rsidRPr="0078289D">
        <w:rPr>
          <w:rFonts w:ascii="Times New Roman" w:hAnsi="Times New Roman" w:cs="Times New Roman"/>
          <w:sz w:val="28"/>
          <w:szCs w:val="28"/>
        </w:rPr>
        <w:t xml:space="preserve">, puede ser empleado para otro tipo de actividades, como es el caso de la agricultura. </w:t>
      </w:r>
    </w:p>
    <w:p w:rsidR="00A93487" w:rsidRPr="0078289D" w:rsidRDefault="00A934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A93487" w:rsidRPr="0078289D" w:rsidRDefault="00A934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A su vez, </w:t>
      </w:r>
      <w:r w:rsidR="00707E4B" w:rsidRPr="0078289D">
        <w:rPr>
          <w:rFonts w:ascii="Times New Roman" w:hAnsi="Times New Roman" w:cs="Times New Roman"/>
          <w:sz w:val="28"/>
          <w:szCs w:val="28"/>
        </w:rPr>
        <w:t>también desestima la aptitud del</w:t>
      </w:r>
      <w:r w:rsidR="001F1F22" w:rsidRPr="0078289D">
        <w:rPr>
          <w:rFonts w:ascii="Times New Roman" w:hAnsi="Times New Roman" w:cs="Times New Roman"/>
          <w:sz w:val="28"/>
          <w:szCs w:val="28"/>
        </w:rPr>
        <w:t xml:space="preserve"> tercer cargo</w:t>
      </w:r>
      <w:r w:rsidR="00E71B9F" w:rsidRPr="0078289D">
        <w:rPr>
          <w:rFonts w:ascii="Times New Roman" w:hAnsi="Times New Roman" w:cs="Times New Roman"/>
          <w:sz w:val="28"/>
          <w:szCs w:val="28"/>
        </w:rPr>
        <w:t xml:space="preserve">, es decir, la presunta vulneración de </w:t>
      </w:r>
      <w:r w:rsidR="00E35BDA" w:rsidRPr="0078289D">
        <w:rPr>
          <w:rFonts w:ascii="Times New Roman" w:hAnsi="Times New Roman" w:cs="Times New Roman"/>
          <w:sz w:val="28"/>
          <w:szCs w:val="28"/>
        </w:rPr>
        <w:t>los principios de democracia participativa y representativa y del derecho de acceso a la información p</w:t>
      </w:r>
      <w:r w:rsidR="00B60489" w:rsidRPr="0078289D">
        <w:rPr>
          <w:rFonts w:ascii="Times New Roman" w:hAnsi="Times New Roman" w:cs="Times New Roman"/>
          <w:sz w:val="28"/>
          <w:szCs w:val="28"/>
        </w:rPr>
        <w:t xml:space="preserve">ública. </w:t>
      </w:r>
      <w:r w:rsidR="00754D37" w:rsidRPr="0078289D">
        <w:rPr>
          <w:rFonts w:ascii="Times New Roman" w:hAnsi="Times New Roman" w:cs="Times New Roman"/>
          <w:sz w:val="28"/>
          <w:szCs w:val="28"/>
        </w:rPr>
        <w:t>Frente a estas alegaciones señala</w:t>
      </w:r>
      <w:r w:rsidR="00E1004D" w:rsidRPr="0078289D">
        <w:rPr>
          <w:rFonts w:ascii="Times New Roman" w:hAnsi="Times New Roman" w:cs="Times New Roman"/>
          <w:sz w:val="28"/>
          <w:szCs w:val="28"/>
        </w:rPr>
        <w:t xml:space="preserve"> que i) el área susceptible de delimitación, en principio, puede ser concedida </w:t>
      </w:r>
      <w:r w:rsidR="00BB13CB" w:rsidRPr="0078289D">
        <w:rPr>
          <w:rFonts w:ascii="Times New Roman" w:hAnsi="Times New Roman" w:cs="Times New Roman"/>
          <w:sz w:val="28"/>
          <w:szCs w:val="28"/>
        </w:rPr>
        <w:t xml:space="preserve">a particulares </w:t>
      </w:r>
      <w:r w:rsidR="00E1004D" w:rsidRPr="0078289D">
        <w:rPr>
          <w:rFonts w:ascii="Times New Roman" w:hAnsi="Times New Roman" w:cs="Times New Roman"/>
          <w:sz w:val="28"/>
          <w:szCs w:val="28"/>
        </w:rPr>
        <w:t>mediante un título minero</w:t>
      </w:r>
      <w:r w:rsidR="003B4132" w:rsidRPr="0078289D">
        <w:rPr>
          <w:rFonts w:ascii="Times New Roman" w:hAnsi="Times New Roman" w:cs="Times New Roman"/>
          <w:sz w:val="28"/>
          <w:szCs w:val="28"/>
        </w:rPr>
        <w:t>,</w:t>
      </w:r>
      <w:r w:rsidR="00E1004D" w:rsidRPr="0078289D">
        <w:rPr>
          <w:rFonts w:ascii="Times New Roman" w:hAnsi="Times New Roman" w:cs="Times New Roman"/>
          <w:sz w:val="28"/>
          <w:szCs w:val="28"/>
        </w:rPr>
        <w:t xml:space="preserve"> incluso previamente al acto de delimitación, ii) </w:t>
      </w:r>
      <w:r w:rsidR="00AC740A" w:rsidRPr="0078289D">
        <w:rPr>
          <w:rFonts w:ascii="Times New Roman" w:hAnsi="Times New Roman" w:cs="Times New Roman"/>
          <w:sz w:val="28"/>
          <w:szCs w:val="28"/>
        </w:rPr>
        <w:t xml:space="preserve">las normas brindan mayores garantías a la </w:t>
      </w:r>
      <w:r w:rsidR="00AC740A" w:rsidRPr="0078289D">
        <w:rPr>
          <w:rFonts w:ascii="Times New Roman" w:hAnsi="Times New Roman" w:cs="Times New Roman"/>
          <w:sz w:val="28"/>
          <w:szCs w:val="28"/>
        </w:rPr>
        <w:lastRenderedPageBreak/>
        <w:t>participación de las entidades territoriales, por tratarse de un procedimiento especializado</w:t>
      </w:r>
      <w:r w:rsidR="001256E6" w:rsidRPr="0078289D">
        <w:rPr>
          <w:rFonts w:ascii="Times New Roman" w:hAnsi="Times New Roman" w:cs="Times New Roman"/>
          <w:sz w:val="28"/>
          <w:szCs w:val="28"/>
        </w:rPr>
        <w:t xml:space="preserve">, iii) </w:t>
      </w:r>
      <w:r w:rsidR="00EA061A" w:rsidRPr="0078289D">
        <w:rPr>
          <w:rFonts w:ascii="Times New Roman" w:hAnsi="Times New Roman" w:cs="Times New Roman"/>
          <w:sz w:val="28"/>
          <w:szCs w:val="28"/>
        </w:rPr>
        <w:t xml:space="preserve">la norma no contempla una limitación de las competencias de los concejos, </w:t>
      </w:r>
      <w:r w:rsidR="005B21AB" w:rsidRPr="0078289D">
        <w:rPr>
          <w:rFonts w:ascii="Times New Roman" w:hAnsi="Times New Roman" w:cs="Times New Roman"/>
          <w:sz w:val="28"/>
          <w:szCs w:val="28"/>
        </w:rPr>
        <w:t>y en todo caso, es la Corte Constitucional la que debe interpretar el alcance de las</w:t>
      </w:r>
      <w:r w:rsidR="00EA061A" w:rsidRPr="0078289D">
        <w:rPr>
          <w:rFonts w:ascii="Times New Roman" w:hAnsi="Times New Roman" w:cs="Times New Roman"/>
          <w:sz w:val="28"/>
          <w:szCs w:val="28"/>
        </w:rPr>
        <w:t xml:space="preserve"> facultades </w:t>
      </w:r>
      <w:r w:rsidR="007C283E" w:rsidRPr="0078289D">
        <w:rPr>
          <w:rFonts w:ascii="Times New Roman" w:hAnsi="Times New Roman" w:cs="Times New Roman"/>
          <w:sz w:val="28"/>
          <w:szCs w:val="28"/>
        </w:rPr>
        <w:t>de estas corporaciones en la determinación de</w:t>
      </w:r>
      <w:r w:rsidR="00EA061A" w:rsidRPr="0078289D">
        <w:rPr>
          <w:rFonts w:ascii="Times New Roman" w:hAnsi="Times New Roman" w:cs="Times New Roman"/>
          <w:sz w:val="28"/>
          <w:szCs w:val="28"/>
        </w:rPr>
        <w:t xml:space="preserve"> áreas de explotación minera, iv) </w:t>
      </w:r>
      <w:r w:rsidR="004840E9" w:rsidRPr="0078289D">
        <w:rPr>
          <w:rFonts w:ascii="Times New Roman" w:hAnsi="Times New Roman" w:cs="Times New Roman"/>
          <w:sz w:val="28"/>
          <w:szCs w:val="28"/>
        </w:rPr>
        <w:t xml:space="preserve">no existe un argumento claro o hilo conductor sobre la presunta vulneración del derecho a la información, pues los demandantes se limitan a </w:t>
      </w:r>
      <w:r w:rsidR="00173FBC" w:rsidRPr="0078289D">
        <w:rPr>
          <w:rFonts w:ascii="Times New Roman" w:hAnsi="Times New Roman" w:cs="Times New Roman"/>
          <w:sz w:val="28"/>
          <w:szCs w:val="28"/>
        </w:rPr>
        <w:t xml:space="preserve">realizar apreciaciones sobre la vulneración del derecho de participación, y, finalmente, v) son subjetivos los argumentos relacionados con la presunta vulneración de la Constitución Ecológica, pues de la norma demandada no se deducen las </w:t>
      </w:r>
      <w:r w:rsidR="00633122" w:rsidRPr="0078289D">
        <w:rPr>
          <w:rFonts w:ascii="Times New Roman" w:hAnsi="Times New Roman" w:cs="Times New Roman"/>
          <w:sz w:val="28"/>
          <w:szCs w:val="28"/>
        </w:rPr>
        <w:t>consecuencias</w:t>
      </w:r>
      <w:r w:rsidR="00173FBC" w:rsidRPr="0078289D">
        <w:rPr>
          <w:rFonts w:ascii="Times New Roman" w:hAnsi="Times New Roman" w:cs="Times New Roman"/>
          <w:sz w:val="28"/>
          <w:szCs w:val="28"/>
        </w:rPr>
        <w:t xml:space="preserve"> </w:t>
      </w:r>
      <w:r w:rsidR="00BE69DB" w:rsidRPr="0078289D">
        <w:rPr>
          <w:rFonts w:ascii="Times New Roman" w:hAnsi="Times New Roman" w:cs="Times New Roman"/>
          <w:sz w:val="28"/>
          <w:szCs w:val="28"/>
        </w:rPr>
        <w:t xml:space="preserve">señaladas por los accionantes. </w:t>
      </w:r>
    </w:p>
    <w:p w:rsidR="00A06512" w:rsidRPr="0078289D" w:rsidRDefault="00A0651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012714" w:rsidRPr="0078289D" w:rsidRDefault="00012714"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Así, </w:t>
      </w:r>
      <w:r w:rsidR="00A93487" w:rsidRPr="0078289D">
        <w:rPr>
          <w:rFonts w:ascii="Times New Roman" w:hAnsi="Times New Roman" w:cs="Times New Roman"/>
          <w:sz w:val="28"/>
          <w:szCs w:val="28"/>
        </w:rPr>
        <w:t>reitera</w:t>
      </w:r>
      <w:r w:rsidRPr="0078289D">
        <w:rPr>
          <w:rFonts w:ascii="Times New Roman" w:hAnsi="Times New Roman" w:cs="Times New Roman"/>
          <w:sz w:val="28"/>
          <w:szCs w:val="28"/>
        </w:rPr>
        <w:t xml:space="preserve"> que </w:t>
      </w:r>
      <w:r w:rsidR="00A93487" w:rsidRPr="0078289D">
        <w:rPr>
          <w:rFonts w:ascii="Times New Roman" w:hAnsi="Times New Roman" w:cs="Times New Roman"/>
          <w:sz w:val="28"/>
          <w:szCs w:val="28"/>
        </w:rPr>
        <w:t xml:space="preserve">los cargos carecen de certeza, pertinencia y especificidad y que </w:t>
      </w:r>
      <w:r w:rsidRPr="0078289D">
        <w:rPr>
          <w:rFonts w:ascii="Times New Roman" w:hAnsi="Times New Roman" w:cs="Times New Roman"/>
          <w:sz w:val="28"/>
          <w:szCs w:val="28"/>
        </w:rPr>
        <w:t xml:space="preserve">la finalidad de la norma es </w:t>
      </w:r>
      <w:r w:rsidR="00636643" w:rsidRPr="0078289D">
        <w:rPr>
          <w:rFonts w:ascii="Times New Roman" w:hAnsi="Times New Roman" w:cs="Times New Roman"/>
          <w:sz w:val="28"/>
          <w:szCs w:val="28"/>
        </w:rPr>
        <w:t xml:space="preserve">necesaria y proporcional para la obtención de un aprovechamiento razonable y sostenible de los minerales estratégicos del país, bajo un concepto de responsabilidad técnica, ambiental y social. </w:t>
      </w:r>
    </w:p>
    <w:p w:rsidR="009E3B66" w:rsidRPr="0078289D" w:rsidRDefault="009E3B66"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401B96" w:rsidRPr="0078289D" w:rsidRDefault="00401B96"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Subsidiariamente, solicita que las normas demandadas sean declaradas </w:t>
      </w:r>
      <w:r w:rsidRPr="0078289D">
        <w:rPr>
          <w:rFonts w:ascii="Times New Roman" w:hAnsi="Times New Roman" w:cs="Times New Roman"/>
          <w:b/>
          <w:sz w:val="28"/>
          <w:szCs w:val="28"/>
        </w:rPr>
        <w:t>exequibles</w:t>
      </w:r>
      <w:r w:rsidRPr="0078289D">
        <w:rPr>
          <w:rFonts w:ascii="Times New Roman" w:hAnsi="Times New Roman" w:cs="Times New Roman"/>
          <w:sz w:val="28"/>
          <w:szCs w:val="28"/>
        </w:rPr>
        <w:t xml:space="preserve">. Así, </w:t>
      </w:r>
      <w:r w:rsidR="003A56D0" w:rsidRPr="0078289D">
        <w:rPr>
          <w:rFonts w:ascii="Times New Roman" w:hAnsi="Times New Roman" w:cs="Times New Roman"/>
          <w:sz w:val="28"/>
          <w:szCs w:val="28"/>
        </w:rPr>
        <w:t>aclaró</w:t>
      </w:r>
      <w:r w:rsidR="00E91D9F" w:rsidRPr="0078289D">
        <w:rPr>
          <w:rFonts w:ascii="Times New Roman" w:hAnsi="Times New Roman" w:cs="Times New Roman"/>
          <w:sz w:val="28"/>
          <w:szCs w:val="28"/>
        </w:rPr>
        <w:t xml:space="preserve"> que la autonomía de las entidades territoriales no es absoluta</w:t>
      </w:r>
      <w:r w:rsidR="001303D7" w:rsidRPr="0078289D">
        <w:rPr>
          <w:rFonts w:ascii="Times New Roman" w:hAnsi="Times New Roman" w:cs="Times New Roman"/>
          <w:sz w:val="28"/>
          <w:szCs w:val="28"/>
        </w:rPr>
        <w:t>, y que, a su vez, el ordenamiento minero no hace parte del ordenamiento territorial</w:t>
      </w:r>
      <w:r w:rsidR="00F34FF2" w:rsidRPr="0078289D">
        <w:rPr>
          <w:rFonts w:ascii="Times New Roman" w:hAnsi="Times New Roman" w:cs="Times New Roman"/>
          <w:sz w:val="28"/>
          <w:szCs w:val="28"/>
        </w:rPr>
        <w:t xml:space="preserve">, </w:t>
      </w:r>
      <w:r w:rsidR="00CF7534" w:rsidRPr="0078289D">
        <w:rPr>
          <w:rFonts w:ascii="Times New Roman" w:hAnsi="Times New Roman" w:cs="Times New Roman"/>
          <w:sz w:val="28"/>
          <w:szCs w:val="28"/>
        </w:rPr>
        <w:t xml:space="preserve">y por lo tanto, escapa a la competencia de los concejos, </w:t>
      </w:r>
      <w:r w:rsidR="00F34FF2" w:rsidRPr="0078289D">
        <w:rPr>
          <w:rFonts w:ascii="Times New Roman" w:hAnsi="Times New Roman" w:cs="Times New Roman"/>
          <w:sz w:val="28"/>
          <w:szCs w:val="28"/>
        </w:rPr>
        <w:t>tal y como lo ha expresado el Consejo de Estado en su jurisprudencia</w:t>
      </w:r>
      <w:r w:rsidR="00F34FF2" w:rsidRPr="0078289D">
        <w:rPr>
          <w:rStyle w:val="Refdenotaalpie"/>
          <w:rFonts w:ascii="Times New Roman" w:hAnsi="Times New Roman"/>
          <w:sz w:val="28"/>
          <w:szCs w:val="28"/>
        </w:rPr>
        <w:footnoteReference w:id="15"/>
      </w:r>
      <w:r w:rsidR="001303D7" w:rsidRPr="0078289D">
        <w:rPr>
          <w:rFonts w:ascii="Times New Roman" w:hAnsi="Times New Roman" w:cs="Times New Roman"/>
          <w:sz w:val="28"/>
          <w:szCs w:val="28"/>
        </w:rPr>
        <w:t xml:space="preserve">. </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sz w:val="28"/>
          <w:szCs w:val="28"/>
        </w:rPr>
      </w:pPr>
    </w:p>
    <w:p w:rsidR="00DA7A3B" w:rsidRPr="0078289D" w:rsidRDefault="00DA7A3B" w:rsidP="0078289D">
      <w:pPr>
        <w:pStyle w:val="NormalWeb"/>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sz w:val="28"/>
          <w:szCs w:val="28"/>
        </w:rPr>
      </w:pPr>
      <w:r w:rsidRPr="0078289D">
        <w:rPr>
          <w:rFonts w:ascii="Times New Roman" w:hAnsi="Times New Roman" w:cs="Times New Roman"/>
          <w:b/>
          <w:i/>
          <w:sz w:val="28"/>
          <w:szCs w:val="28"/>
        </w:rPr>
        <w:t>Intervención del Departamento Nacional de Planeación</w:t>
      </w:r>
    </w:p>
    <w:p w:rsidR="00B82E65" w:rsidRPr="0078289D" w:rsidRDefault="00B82E65" w:rsidP="0078289D">
      <w:pPr>
        <w:pStyle w:val="NormalWeb"/>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sz w:val="28"/>
          <w:szCs w:val="28"/>
        </w:rPr>
      </w:pPr>
    </w:p>
    <w:p w:rsidR="00B82E65" w:rsidRPr="0078289D" w:rsidRDefault="009252E3"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La entidad</w:t>
      </w:r>
      <w:r w:rsidR="001F7FDA" w:rsidRPr="0078289D">
        <w:rPr>
          <w:rFonts w:ascii="Times New Roman" w:hAnsi="Times New Roman" w:cs="Times New Roman"/>
          <w:sz w:val="28"/>
          <w:szCs w:val="28"/>
        </w:rPr>
        <w:t xml:space="preserve"> solicita a la Corte que se declare </w:t>
      </w:r>
      <w:r w:rsidR="001F7FDA" w:rsidRPr="0078289D">
        <w:rPr>
          <w:rFonts w:ascii="Times New Roman" w:hAnsi="Times New Roman" w:cs="Times New Roman"/>
          <w:b/>
          <w:sz w:val="28"/>
          <w:szCs w:val="28"/>
        </w:rPr>
        <w:t xml:space="preserve">inhibida </w:t>
      </w:r>
      <w:r w:rsidR="001F7FDA" w:rsidRPr="0078289D">
        <w:rPr>
          <w:rFonts w:ascii="Times New Roman" w:hAnsi="Times New Roman" w:cs="Times New Roman"/>
          <w:sz w:val="28"/>
          <w:szCs w:val="28"/>
        </w:rPr>
        <w:t xml:space="preserve">para conocer de los cargos presentados, por cuanto éstos no reúnen los requisitos de certeza, suficiencia </w:t>
      </w:r>
      <w:r w:rsidR="007A5555" w:rsidRPr="0078289D">
        <w:rPr>
          <w:rFonts w:ascii="Times New Roman" w:hAnsi="Times New Roman" w:cs="Times New Roman"/>
          <w:sz w:val="28"/>
          <w:szCs w:val="28"/>
        </w:rPr>
        <w:t>y claridad</w:t>
      </w:r>
      <w:r w:rsidR="00687F17" w:rsidRPr="0078289D">
        <w:rPr>
          <w:rFonts w:ascii="Times New Roman" w:hAnsi="Times New Roman" w:cs="Times New Roman"/>
          <w:sz w:val="28"/>
          <w:szCs w:val="28"/>
        </w:rPr>
        <w:t>, o en su defecto, declar</w:t>
      </w:r>
      <w:r w:rsidR="00B62CF2" w:rsidRPr="0078289D">
        <w:rPr>
          <w:rFonts w:ascii="Times New Roman" w:hAnsi="Times New Roman" w:cs="Times New Roman"/>
          <w:sz w:val="28"/>
          <w:szCs w:val="28"/>
        </w:rPr>
        <w:t>e</w:t>
      </w:r>
      <w:r w:rsidR="00687F17" w:rsidRPr="0078289D">
        <w:rPr>
          <w:rFonts w:ascii="Times New Roman" w:hAnsi="Times New Roman" w:cs="Times New Roman"/>
          <w:sz w:val="28"/>
          <w:szCs w:val="28"/>
        </w:rPr>
        <w:t xml:space="preserve"> </w:t>
      </w:r>
      <w:r w:rsidR="00650EB0" w:rsidRPr="0078289D">
        <w:rPr>
          <w:rFonts w:ascii="Times New Roman" w:hAnsi="Times New Roman" w:cs="Times New Roman"/>
          <w:sz w:val="28"/>
          <w:szCs w:val="28"/>
        </w:rPr>
        <w:t>su</w:t>
      </w:r>
      <w:r w:rsidR="00687F17" w:rsidRPr="0078289D">
        <w:rPr>
          <w:rFonts w:ascii="Times New Roman" w:hAnsi="Times New Roman" w:cs="Times New Roman"/>
          <w:sz w:val="28"/>
          <w:szCs w:val="28"/>
        </w:rPr>
        <w:t xml:space="preserve"> </w:t>
      </w:r>
      <w:r w:rsidR="00687F17" w:rsidRPr="0078289D">
        <w:rPr>
          <w:rFonts w:ascii="Times New Roman" w:hAnsi="Times New Roman" w:cs="Times New Roman"/>
          <w:b/>
          <w:sz w:val="28"/>
          <w:szCs w:val="28"/>
        </w:rPr>
        <w:t>exequibilidad</w:t>
      </w:r>
      <w:r w:rsidR="007A5555" w:rsidRPr="0078289D">
        <w:rPr>
          <w:rFonts w:ascii="Times New Roman" w:hAnsi="Times New Roman" w:cs="Times New Roman"/>
          <w:sz w:val="28"/>
          <w:szCs w:val="28"/>
        </w:rPr>
        <w:t xml:space="preserve">. En opinión de la interviniente, </w:t>
      </w:r>
      <w:r w:rsidR="005A111D" w:rsidRPr="0078289D">
        <w:rPr>
          <w:rFonts w:ascii="Times New Roman" w:hAnsi="Times New Roman" w:cs="Times New Roman"/>
          <w:sz w:val="28"/>
          <w:szCs w:val="28"/>
        </w:rPr>
        <w:t xml:space="preserve">los accionantes presentan </w:t>
      </w:r>
      <w:r w:rsidR="00D436B8" w:rsidRPr="0078289D">
        <w:rPr>
          <w:rFonts w:ascii="Times New Roman" w:hAnsi="Times New Roman" w:cs="Times New Roman"/>
          <w:sz w:val="28"/>
          <w:szCs w:val="28"/>
        </w:rPr>
        <w:t xml:space="preserve">argumentos vagos, indeterminados y abstractos, que denotan una posición política y filosófica, pero no una verdadera contradicción de las normas acusadas con la Carta Política. </w:t>
      </w:r>
      <w:r w:rsidR="00EE3A54" w:rsidRPr="0078289D">
        <w:rPr>
          <w:rFonts w:ascii="Times New Roman" w:hAnsi="Times New Roman" w:cs="Times New Roman"/>
          <w:sz w:val="28"/>
          <w:szCs w:val="28"/>
        </w:rPr>
        <w:t>Así mismo</w:t>
      </w:r>
      <w:r w:rsidR="00650EB0" w:rsidRPr="0078289D">
        <w:rPr>
          <w:rFonts w:ascii="Times New Roman" w:hAnsi="Times New Roman" w:cs="Times New Roman"/>
          <w:sz w:val="28"/>
          <w:szCs w:val="28"/>
        </w:rPr>
        <w:t>, señal</w:t>
      </w:r>
      <w:r w:rsidR="00F940EF" w:rsidRPr="0078289D">
        <w:rPr>
          <w:rFonts w:ascii="Times New Roman" w:hAnsi="Times New Roman" w:cs="Times New Roman"/>
          <w:sz w:val="28"/>
          <w:szCs w:val="28"/>
        </w:rPr>
        <w:t>a</w:t>
      </w:r>
      <w:r w:rsidR="00650EB0" w:rsidRPr="0078289D">
        <w:rPr>
          <w:rFonts w:ascii="Times New Roman" w:hAnsi="Times New Roman" w:cs="Times New Roman"/>
          <w:sz w:val="28"/>
          <w:szCs w:val="28"/>
        </w:rPr>
        <w:t xml:space="preserve"> que los demandantes presentaron cifras y hechos que no corresponden a la realidad extractiva del país con el fin de generar un error de apreciación en la Corte. </w:t>
      </w:r>
    </w:p>
    <w:p w:rsidR="00710BD5" w:rsidRPr="0078289D" w:rsidRDefault="00710BD5"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710BD5" w:rsidRPr="0078289D" w:rsidRDefault="00F940E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Reitera</w:t>
      </w:r>
      <w:r w:rsidR="00867B14" w:rsidRPr="0078289D">
        <w:rPr>
          <w:rFonts w:ascii="Times New Roman" w:hAnsi="Times New Roman" w:cs="Times New Roman"/>
          <w:sz w:val="28"/>
          <w:szCs w:val="28"/>
        </w:rPr>
        <w:t xml:space="preserve"> algunos de los argumentos presentados por los anteriores intervinientes frent</w:t>
      </w:r>
      <w:r w:rsidR="005A7E7B" w:rsidRPr="0078289D">
        <w:rPr>
          <w:rFonts w:ascii="Times New Roman" w:hAnsi="Times New Roman" w:cs="Times New Roman"/>
          <w:sz w:val="28"/>
          <w:szCs w:val="28"/>
        </w:rPr>
        <w:t>e a la ineptitud de la demanda</w:t>
      </w:r>
      <w:r w:rsidR="00FA60E0" w:rsidRPr="0078289D">
        <w:rPr>
          <w:rFonts w:ascii="Times New Roman" w:hAnsi="Times New Roman" w:cs="Times New Roman"/>
          <w:sz w:val="28"/>
          <w:szCs w:val="28"/>
        </w:rPr>
        <w:t xml:space="preserve">, </w:t>
      </w:r>
      <w:r w:rsidR="00471D53" w:rsidRPr="0078289D">
        <w:rPr>
          <w:rFonts w:ascii="Times New Roman" w:hAnsi="Times New Roman" w:cs="Times New Roman"/>
          <w:sz w:val="28"/>
          <w:szCs w:val="28"/>
        </w:rPr>
        <w:t xml:space="preserve">como es el caso de la ampliación de requisitos para el otorgamiento de contratos de concesión y los mayores beneficios que recibirá el Estado </w:t>
      </w:r>
      <w:r w:rsidR="00F75A65" w:rsidRPr="0078289D">
        <w:rPr>
          <w:rFonts w:ascii="Times New Roman" w:hAnsi="Times New Roman" w:cs="Times New Roman"/>
          <w:sz w:val="28"/>
          <w:szCs w:val="28"/>
        </w:rPr>
        <w:t>para inversión en sus fines esenciales</w:t>
      </w:r>
      <w:r w:rsidR="00471D53" w:rsidRPr="0078289D">
        <w:rPr>
          <w:rFonts w:ascii="Times New Roman" w:hAnsi="Times New Roman" w:cs="Times New Roman"/>
          <w:sz w:val="28"/>
          <w:szCs w:val="28"/>
        </w:rPr>
        <w:t xml:space="preserve">. Sin embargo, </w:t>
      </w:r>
      <w:r w:rsidR="009F3530" w:rsidRPr="0078289D">
        <w:rPr>
          <w:rFonts w:ascii="Times New Roman" w:hAnsi="Times New Roman" w:cs="Times New Roman"/>
          <w:sz w:val="28"/>
          <w:szCs w:val="28"/>
        </w:rPr>
        <w:t xml:space="preserve">resaltó otros </w:t>
      </w:r>
      <w:r w:rsidR="00736451" w:rsidRPr="0078289D">
        <w:rPr>
          <w:rFonts w:ascii="Times New Roman" w:hAnsi="Times New Roman" w:cs="Times New Roman"/>
          <w:sz w:val="28"/>
          <w:szCs w:val="28"/>
        </w:rPr>
        <w:t>aspectos</w:t>
      </w:r>
      <w:r w:rsidR="009F3530" w:rsidRPr="0078289D">
        <w:rPr>
          <w:rFonts w:ascii="Times New Roman" w:hAnsi="Times New Roman" w:cs="Times New Roman"/>
          <w:sz w:val="28"/>
          <w:szCs w:val="28"/>
        </w:rPr>
        <w:t xml:space="preserve">. Así, </w:t>
      </w:r>
      <w:r w:rsidR="00456AEA" w:rsidRPr="0078289D">
        <w:rPr>
          <w:rFonts w:ascii="Times New Roman" w:hAnsi="Times New Roman" w:cs="Times New Roman"/>
          <w:sz w:val="28"/>
          <w:szCs w:val="28"/>
        </w:rPr>
        <w:t xml:space="preserve">desestimó el cargo por vulneración del principio de democracia participativa. Al respecto, </w:t>
      </w:r>
      <w:r w:rsidR="00A53624" w:rsidRPr="0078289D">
        <w:rPr>
          <w:rFonts w:ascii="Times New Roman" w:hAnsi="Times New Roman" w:cs="Times New Roman"/>
          <w:sz w:val="28"/>
          <w:szCs w:val="28"/>
        </w:rPr>
        <w:t>señaló que en la aprobación del Plan Nacional de Desarrollo se garantizó la debida participación de las entidades territoriales y de los sectores sociales, económicos, ecológicos, comunitarios y culturales</w:t>
      </w:r>
      <w:r w:rsidR="00456AEA" w:rsidRPr="0078289D">
        <w:rPr>
          <w:rFonts w:ascii="Times New Roman" w:hAnsi="Times New Roman" w:cs="Times New Roman"/>
          <w:sz w:val="28"/>
          <w:szCs w:val="28"/>
        </w:rPr>
        <w:t xml:space="preserve">, quienes hicieron parte del Consejo Nacional de Planeación. </w:t>
      </w:r>
    </w:p>
    <w:p w:rsidR="00054107" w:rsidRPr="0078289D" w:rsidRDefault="0005410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210944" w:rsidRPr="0078289D" w:rsidRDefault="0005410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Posteriormente, expres</w:t>
      </w:r>
      <w:r w:rsidR="00F940EF" w:rsidRPr="0078289D">
        <w:rPr>
          <w:rFonts w:ascii="Times New Roman" w:hAnsi="Times New Roman" w:cs="Times New Roman"/>
          <w:sz w:val="28"/>
          <w:szCs w:val="28"/>
        </w:rPr>
        <w:t>a</w:t>
      </w:r>
      <w:r w:rsidRPr="0078289D">
        <w:rPr>
          <w:rFonts w:ascii="Times New Roman" w:hAnsi="Times New Roman" w:cs="Times New Roman"/>
          <w:sz w:val="28"/>
          <w:szCs w:val="28"/>
        </w:rPr>
        <w:t xml:space="preserve"> algunos argumentos en favor de </w:t>
      </w:r>
      <w:r w:rsidR="00E63874" w:rsidRPr="0078289D">
        <w:rPr>
          <w:rFonts w:ascii="Times New Roman" w:hAnsi="Times New Roman" w:cs="Times New Roman"/>
          <w:sz w:val="28"/>
          <w:szCs w:val="28"/>
        </w:rPr>
        <w:t>la actividad minera</w:t>
      </w:r>
      <w:r w:rsidRPr="0078289D">
        <w:rPr>
          <w:rFonts w:ascii="Times New Roman" w:hAnsi="Times New Roman" w:cs="Times New Roman"/>
          <w:sz w:val="28"/>
          <w:szCs w:val="28"/>
        </w:rPr>
        <w:t xml:space="preserve"> y señal</w:t>
      </w:r>
      <w:r w:rsidR="0025129E" w:rsidRPr="0078289D">
        <w:rPr>
          <w:rFonts w:ascii="Times New Roman" w:hAnsi="Times New Roman" w:cs="Times New Roman"/>
          <w:sz w:val="28"/>
          <w:szCs w:val="28"/>
        </w:rPr>
        <w:t xml:space="preserve">ó que </w:t>
      </w:r>
      <w:r w:rsidR="00AD0436" w:rsidRPr="0078289D">
        <w:rPr>
          <w:rFonts w:ascii="Times New Roman" w:hAnsi="Times New Roman" w:cs="Times New Roman"/>
          <w:sz w:val="28"/>
          <w:szCs w:val="28"/>
        </w:rPr>
        <w:t xml:space="preserve">el Legislador optó por </w:t>
      </w:r>
      <w:r w:rsidR="00E63874" w:rsidRPr="0078289D">
        <w:rPr>
          <w:rFonts w:ascii="Times New Roman" w:hAnsi="Times New Roman" w:cs="Times New Roman"/>
          <w:sz w:val="28"/>
          <w:szCs w:val="28"/>
        </w:rPr>
        <w:t xml:space="preserve">clasificarla como de </w:t>
      </w:r>
      <w:r w:rsidR="00E63874" w:rsidRPr="0078289D">
        <w:rPr>
          <w:rFonts w:ascii="Times New Roman" w:hAnsi="Times New Roman" w:cs="Times New Roman"/>
          <w:i/>
          <w:sz w:val="28"/>
          <w:szCs w:val="28"/>
        </w:rPr>
        <w:t xml:space="preserve">“utilidad pública e interés social” </w:t>
      </w:r>
      <w:r w:rsidR="00E63874" w:rsidRPr="0078289D">
        <w:rPr>
          <w:rFonts w:ascii="Times New Roman" w:hAnsi="Times New Roman" w:cs="Times New Roman"/>
          <w:sz w:val="28"/>
          <w:szCs w:val="28"/>
        </w:rPr>
        <w:t xml:space="preserve">en la Ley 685 de 2001, </w:t>
      </w:r>
      <w:r w:rsidR="00AD0436" w:rsidRPr="0078289D">
        <w:rPr>
          <w:rFonts w:ascii="Times New Roman" w:hAnsi="Times New Roman" w:cs="Times New Roman"/>
          <w:sz w:val="28"/>
          <w:szCs w:val="28"/>
        </w:rPr>
        <w:t>en tanto es</w:t>
      </w:r>
      <w:r w:rsidR="0025129E" w:rsidRPr="0078289D">
        <w:rPr>
          <w:rFonts w:ascii="Times New Roman" w:hAnsi="Times New Roman" w:cs="Times New Roman"/>
          <w:sz w:val="28"/>
          <w:szCs w:val="28"/>
        </w:rPr>
        <w:t xml:space="preserve"> necesaria para el adecuado desarrollo del país</w:t>
      </w:r>
      <w:r w:rsidR="00AD0436" w:rsidRPr="0078289D">
        <w:rPr>
          <w:rFonts w:ascii="Times New Roman" w:hAnsi="Times New Roman" w:cs="Times New Roman"/>
          <w:sz w:val="28"/>
          <w:szCs w:val="28"/>
        </w:rPr>
        <w:t xml:space="preserve">. </w:t>
      </w:r>
      <w:r w:rsidR="00210944" w:rsidRPr="0078289D">
        <w:rPr>
          <w:rFonts w:ascii="Times New Roman" w:hAnsi="Times New Roman" w:cs="Times New Roman"/>
          <w:sz w:val="28"/>
          <w:szCs w:val="28"/>
        </w:rPr>
        <w:t xml:space="preserve">En este mismo sentido, </w:t>
      </w:r>
      <w:r w:rsidR="00B2629E" w:rsidRPr="0078289D">
        <w:rPr>
          <w:rFonts w:ascii="Times New Roman" w:hAnsi="Times New Roman" w:cs="Times New Roman"/>
          <w:sz w:val="28"/>
          <w:szCs w:val="28"/>
        </w:rPr>
        <w:t>indic</w:t>
      </w:r>
      <w:r w:rsidR="00F940EF" w:rsidRPr="0078289D">
        <w:rPr>
          <w:rFonts w:ascii="Times New Roman" w:hAnsi="Times New Roman" w:cs="Times New Roman"/>
          <w:sz w:val="28"/>
          <w:szCs w:val="28"/>
        </w:rPr>
        <w:t>a</w:t>
      </w:r>
      <w:r w:rsidR="00B2629E" w:rsidRPr="0078289D">
        <w:rPr>
          <w:rFonts w:ascii="Times New Roman" w:hAnsi="Times New Roman" w:cs="Times New Roman"/>
          <w:sz w:val="28"/>
          <w:szCs w:val="28"/>
        </w:rPr>
        <w:t xml:space="preserve"> que </w:t>
      </w:r>
      <w:r w:rsidR="00210944" w:rsidRPr="0078289D">
        <w:rPr>
          <w:rFonts w:ascii="Times New Roman" w:hAnsi="Times New Roman" w:cs="Times New Roman"/>
          <w:sz w:val="28"/>
          <w:szCs w:val="28"/>
        </w:rPr>
        <w:t>la</w:t>
      </w:r>
      <w:r w:rsidR="00EE5DEF" w:rsidRPr="0078289D">
        <w:rPr>
          <w:rFonts w:ascii="Times New Roman" w:hAnsi="Times New Roman" w:cs="Times New Roman"/>
          <w:sz w:val="28"/>
          <w:szCs w:val="28"/>
        </w:rPr>
        <w:t xml:space="preserve"> delimitación de áreas exclusivas para la exploración minera implica la eventual apertura de procesos más </w:t>
      </w:r>
      <w:r w:rsidR="00B2629E" w:rsidRPr="0078289D">
        <w:rPr>
          <w:rFonts w:ascii="Times New Roman" w:hAnsi="Times New Roman" w:cs="Times New Roman"/>
          <w:sz w:val="28"/>
          <w:szCs w:val="28"/>
        </w:rPr>
        <w:t xml:space="preserve">competitivos y un mayor beneficio para la Nación. </w:t>
      </w:r>
    </w:p>
    <w:p w:rsidR="00210944" w:rsidRPr="0078289D" w:rsidRDefault="00210944"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A15328" w:rsidRPr="0078289D" w:rsidRDefault="00AD0436"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No obstante, </w:t>
      </w:r>
      <w:r w:rsidR="00F940EF" w:rsidRPr="0078289D">
        <w:rPr>
          <w:rFonts w:ascii="Times New Roman" w:hAnsi="Times New Roman" w:cs="Times New Roman"/>
          <w:sz w:val="28"/>
          <w:szCs w:val="28"/>
        </w:rPr>
        <w:t xml:space="preserve">aclara </w:t>
      </w:r>
      <w:r w:rsidR="009A1CE3" w:rsidRPr="0078289D">
        <w:rPr>
          <w:rFonts w:ascii="Times New Roman" w:hAnsi="Times New Roman" w:cs="Times New Roman"/>
          <w:sz w:val="28"/>
          <w:szCs w:val="28"/>
        </w:rPr>
        <w:t xml:space="preserve">que el </w:t>
      </w:r>
      <w:r w:rsidR="00A15328" w:rsidRPr="0078289D">
        <w:rPr>
          <w:rFonts w:ascii="Times New Roman" w:hAnsi="Times New Roman" w:cs="Times New Roman"/>
          <w:sz w:val="28"/>
          <w:szCs w:val="28"/>
        </w:rPr>
        <w:t xml:space="preserve">artículo 20 </w:t>
      </w:r>
      <w:r w:rsidR="001349B7" w:rsidRPr="0078289D">
        <w:rPr>
          <w:rFonts w:ascii="Times New Roman" w:hAnsi="Times New Roman" w:cs="Times New Roman"/>
          <w:sz w:val="28"/>
          <w:szCs w:val="28"/>
        </w:rPr>
        <w:t xml:space="preserve">de la Ley 1753 de 2015 </w:t>
      </w:r>
      <w:r w:rsidR="009A1CE3" w:rsidRPr="0078289D">
        <w:rPr>
          <w:rFonts w:ascii="Times New Roman" w:hAnsi="Times New Roman" w:cs="Times New Roman"/>
          <w:sz w:val="28"/>
          <w:szCs w:val="28"/>
        </w:rPr>
        <w:t>pretende</w:t>
      </w:r>
      <w:r w:rsidR="001349B7" w:rsidRPr="0078289D">
        <w:rPr>
          <w:rFonts w:ascii="Times New Roman" w:hAnsi="Times New Roman" w:cs="Times New Roman"/>
          <w:sz w:val="28"/>
          <w:szCs w:val="28"/>
        </w:rPr>
        <w:t xml:space="preserve"> delimitar zonas donde existe potencial minero, pero ello no implica </w:t>
      </w:r>
      <w:r w:rsidR="00177B16" w:rsidRPr="0078289D">
        <w:rPr>
          <w:rFonts w:ascii="Times New Roman" w:hAnsi="Times New Roman" w:cs="Times New Roman"/>
          <w:i/>
          <w:sz w:val="28"/>
          <w:szCs w:val="28"/>
        </w:rPr>
        <w:t xml:space="preserve">per se </w:t>
      </w:r>
      <w:r w:rsidR="001349B7" w:rsidRPr="0078289D">
        <w:rPr>
          <w:rFonts w:ascii="Times New Roman" w:hAnsi="Times New Roman" w:cs="Times New Roman"/>
          <w:sz w:val="28"/>
          <w:szCs w:val="28"/>
        </w:rPr>
        <w:t>una fase de explotación, pues ésta requiere, en todo caso, la realización de la consulta previa respectiva</w:t>
      </w:r>
      <w:r w:rsidR="00423BD0" w:rsidRPr="0078289D">
        <w:rPr>
          <w:rFonts w:ascii="Times New Roman" w:hAnsi="Times New Roman" w:cs="Times New Roman"/>
          <w:sz w:val="28"/>
          <w:szCs w:val="28"/>
        </w:rPr>
        <w:t xml:space="preserve"> en caso de que en la zona haya asentamiento de comunidades étnicas</w:t>
      </w:r>
      <w:r w:rsidR="001349B7" w:rsidRPr="0078289D">
        <w:rPr>
          <w:rFonts w:ascii="Times New Roman" w:hAnsi="Times New Roman" w:cs="Times New Roman"/>
          <w:sz w:val="28"/>
          <w:szCs w:val="28"/>
        </w:rPr>
        <w:t xml:space="preserve">. </w:t>
      </w:r>
      <w:r w:rsidR="00EE3A54" w:rsidRPr="0078289D">
        <w:rPr>
          <w:rFonts w:ascii="Times New Roman" w:hAnsi="Times New Roman" w:cs="Times New Roman"/>
          <w:sz w:val="28"/>
          <w:szCs w:val="28"/>
        </w:rPr>
        <w:t>Así mismo</w:t>
      </w:r>
      <w:r w:rsidR="00FE5FC1" w:rsidRPr="0078289D">
        <w:rPr>
          <w:rFonts w:ascii="Times New Roman" w:hAnsi="Times New Roman" w:cs="Times New Roman"/>
          <w:sz w:val="28"/>
          <w:szCs w:val="28"/>
        </w:rPr>
        <w:t>, dicha delimitación estará necesariamente acompañada por el Ministerio de Ambiente, lo que implica que no es arbitraria</w:t>
      </w:r>
      <w:r w:rsidR="00012A47" w:rsidRPr="0078289D">
        <w:rPr>
          <w:rFonts w:ascii="Times New Roman" w:hAnsi="Times New Roman" w:cs="Times New Roman"/>
          <w:sz w:val="28"/>
          <w:szCs w:val="28"/>
        </w:rPr>
        <w:t>, y excluiría áreas protegidas, como es el caso de áreas de reserva forestal</w:t>
      </w:r>
      <w:r w:rsidR="00FE5FC1" w:rsidRPr="0078289D">
        <w:rPr>
          <w:rFonts w:ascii="Times New Roman" w:hAnsi="Times New Roman" w:cs="Times New Roman"/>
          <w:sz w:val="28"/>
          <w:szCs w:val="28"/>
        </w:rPr>
        <w:t xml:space="preserve">. </w:t>
      </w:r>
    </w:p>
    <w:p w:rsidR="00FE5FC1" w:rsidRPr="0078289D" w:rsidRDefault="00FE5FC1"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E5FC1" w:rsidRPr="0078289D" w:rsidRDefault="00F940E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Señala</w:t>
      </w:r>
      <w:r w:rsidR="000036FE" w:rsidRPr="0078289D">
        <w:rPr>
          <w:rFonts w:ascii="Times New Roman" w:hAnsi="Times New Roman" w:cs="Times New Roman"/>
          <w:sz w:val="28"/>
          <w:szCs w:val="28"/>
        </w:rPr>
        <w:t xml:space="preserve"> que la existencia de títu</w:t>
      </w:r>
      <w:r w:rsidR="00B67A3E" w:rsidRPr="0078289D">
        <w:rPr>
          <w:rFonts w:ascii="Times New Roman" w:hAnsi="Times New Roman" w:cs="Times New Roman"/>
          <w:sz w:val="28"/>
          <w:szCs w:val="28"/>
        </w:rPr>
        <w:t xml:space="preserve">los mineros no es un indicativo de </w:t>
      </w:r>
      <w:r w:rsidR="000036FE" w:rsidRPr="0078289D">
        <w:rPr>
          <w:rFonts w:ascii="Times New Roman" w:hAnsi="Times New Roman" w:cs="Times New Roman"/>
          <w:sz w:val="28"/>
          <w:szCs w:val="28"/>
        </w:rPr>
        <w:t>explotaci</w:t>
      </w:r>
      <w:r w:rsidR="00F94BDD" w:rsidRPr="0078289D">
        <w:rPr>
          <w:rFonts w:ascii="Times New Roman" w:hAnsi="Times New Roman" w:cs="Times New Roman"/>
          <w:sz w:val="28"/>
          <w:szCs w:val="28"/>
        </w:rPr>
        <w:t xml:space="preserve">ón o </w:t>
      </w:r>
      <w:r w:rsidR="000036FE" w:rsidRPr="0078289D">
        <w:rPr>
          <w:rFonts w:ascii="Times New Roman" w:hAnsi="Times New Roman" w:cs="Times New Roman"/>
          <w:sz w:val="28"/>
          <w:szCs w:val="28"/>
        </w:rPr>
        <w:t xml:space="preserve">de afectación </w:t>
      </w:r>
      <w:r w:rsidR="00F94BDD" w:rsidRPr="0078289D">
        <w:rPr>
          <w:rFonts w:ascii="Times New Roman" w:hAnsi="Times New Roman" w:cs="Times New Roman"/>
          <w:sz w:val="28"/>
          <w:szCs w:val="28"/>
        </w:rPr>
        <w:t>al ambiente, a los</w:t>
      </w:r>
      <w:r w:rsidR="00596C4C" w:rsidRPr="0078289D">
        <w:rPr>
          <w:rFonts w:ascii="Times New Roman" w:hAnsi="Times New Roman" w:cs="Times New Roman"/>
          <w:sz w:val="28"/>
          <w:szCs w:val="28"/>
        </w:rPr>
        <w:t xml:space="preserve"> trabajadores agrarios, </w:t>
      </w:r>
      <w:r w:rsidR="00F94BDD" w:rsidRPr="0078289D">
        <w:rPr>
          <w:rFonts w:ascii="Times New Roman" w:hAnsi="Times New Roman" w:cs="Times New Roman"/>
          <w:sz w:val="28"/>
          <w:szCs w:val="28"/>
        </w:rPr>
        <w:t>al</w:t>
      </w:r>
      <w:r w:rsidR="00276D22" w:rsidRPr="0078289D">
        <w:rPr>
          <w:rFonts w:ascii="Times New Roman" w:hAnsi="Times New Roman" w:cs="Times New Roman"/>
          <w:sz w:val="28"/>
          <w:szCs w:val="28"/>
        </w:rPr>
        <w:t xml:space="preserve"> agua, </w:t>
      </w:r>
      <w:r w:rsidR="00F94BDD" w:rsidRPr="0078289D">
        <w:rPr>
          <w:rFonts w:ascii="Times New Roman" w:hAnsi="Times New Roman" w:cs="Times New Roman"/>
          <w:sz w:val="28"/>
          <w:szCs w:val="28"/>
        </w:rPr>
        <w:t>a</w:t>
      </w:r>
      <w:r w:rsidR="00596C4C" w:rsidRPr="0078289D">
        <w:rPr>
          <w:rFonts w:ascii="Times New Roman" w:hAnsi="Times New Roman" w:cs="Times New Roman"/>
          <w:sz w:val="28"/>
          <w:szCs w:val="28"/>
        </w:rPr>
        <w:t xml:space="preserve"> la agricultura</w:t>
      </w:r>
      <w:r w:rsidR="00276D22" w:rsidRPr="0078289D">
        <w:rPr>
          <w:rFonts w:ascii="Times New Roman" w:hAnsi="Times New Roman" w:cs="Times New Roman"/>
          <w:sz w:val="28"/>
          <w:szCs w:val="28"/>
        </w:rPr>
        <w:t xml:space="preserve"> </w:t>
      </w:r>
      <w:r w:rsidR="00F94BDD" w:rsidRPr="0078289D">
        <w:rPr>
          <w:rFonts w:ascii="Times New Roman" w:hAnsi="Times New Roman" w:cs="Times New Roman"/>
          <w:sz w:val="28"/>
          <w:szCs w:val="28"/>
        </w:rPr>
        <w:t>o</w:t>
      </w:r>
      <w:r w:rsidR="00621FC3" w:rsidRPr="0078289D">
        <w:rPr>
          <w:rFonts w:ascii="Times New Roman" w:hAnsi="Times New Roman" w:cs="Times New Roman"/>
          <w:sz w:val="28"/>
          <w:szCs w:val="28"/>
        </w:rPr>
        <w:t xml:space="preserve"> a</w:t>
      </w:r>
      <w:r w:rsidR="00276D22" w:rsidRPr="0078289D">
        <w:rPr>
          <w:rFonts w:ascii="Times New Roman" w:hAnsi="Times New Roman" w:cs="Times New Roman"/>
          <w:sz w:val="28"/>
          <w:szCs w:val="28"/>
        </w:rPr>
        <w:t xml:space="preserve"> la soberanía alimentaria.</w:t>
      </w:r>
      <w:r w:rsidR="00100F4A" w:rsidRPr="0078289D">
        <w:rPr>
          <w:rFonts w:ascii="Times New Roman" w:hAnsi="Times New Roman" w:cs="Times New Roman"/>
          <w:sz w:val="28"/>
          <w:szCs w:val="28"/>
        </w:rPr>
        <w:t xml:space="preserve"> R</w:t>
      </w:r>
      <w:r w:rsidR="00276D22" w:rsidRPr="0078289D">
        <w:rPr>
          <w:rFonts w:ascii="Times New Roman" w:hAnsi="Times New Roman" w:cs="Times New Roman"/>
          <w:sz w:val="28"/>
          <w:szCs w:val="28"/>
        </w:rPr>
        <w:t>esalt</w:t>
      </w:r>
      <w:r w:rsidRPr="0078289D">
        <w:rPr>
          <w:rFonts w:ascii="Times New Roman" w:hAnsi="Times New Roman" w:cs="Times New Roman"/>
          <w:sz w:val="28"/>
          <w:szCs w:val="28"/>
        </w:rPr>
        <w:t>a</w:t>
      </w:r>
      <w:r w:rsidR="000036FE" w:rsidRPr="0078289D">
        <w:rPr>
          <w:rFonts w:ascii="Times New Roman" w:hAnsi="Times New Roman" w:cs="Times New Roman"/>
          <w:sz w:val="28"/>
          <w:szCs w:val="28"/>
        </w:rPr>
        <w:t xml:space="preserve"> que las fases de exploración </w:t>
      </w:r>
      <w:r w:rsidR="00DA75BB" w:rsidRPr="0078289D">
        <w:rPr>
          <w:rFonts w:ascii="Times New Roman" w:hAnsi="Times New Roman" w:cs="Times New Roman"/>
          <w:sz w:val="28"/>
          <w:szCs w:val="28"/>
        </w:rPr>
        <w:t>no implican un mayor grado de impacto ambiental</w:t>
      </w:r>
      <w:r w:rsidR="00596C4C" w:rsidRPr="0078289D">
        <w:rPr>
          <w:rFonts w:ascii="Times New Roman" w:hAnsi="Times New Roman" w:cs="Times New Roman"/>
          <w:sz w:val="28"/>
          <w:szCs w:val="28"/>
        </w:rPr>
        <w:t>, y que, por ejemplo, sólo una de cada cien áreas exploradas se convierte en mina</w:t>
      </w:r>
      <w:r w:rsidR="00FD7602" w:rsidRPr="0078289D">
        <w:rPr>
          <w:rStyle w:val="Refdenotaalpie"/>
          <w:rFonts w:ascii="Times New Roman" w:hAnsi="Times New Roman"/>
          <w:sz w:val="28"/>
          <w:szCs w:val="28"/>
        </w:rPr>
        <w:footnoteReference w:id="16"/>
      </w:r>
      <w:r w:rsidR="00DA75BB" w:rsidRPr="0078289D">
        <w:rPr>
          <w:rFonts w:ascii="Times New Roman" w:hAnsi="Times New Roman" w:cs="Times New Roman"/>
          <w:sz w:val="28"/>
          <w:szCs w:val="28"/>
        </w:rPr>
        <w:t xml:space="preserve">. </w:t>
      </w:r>
    </w:p>
    <w:p w:rsidR="00ED0A6F" w:rsidRPr="0078289D" w:rsidRDefault="00ED0A6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ED0A6F" w:rsidRPr="0078289D" w:rsidRDefault="00ED0A6F"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Manif</w:t>
      </w:r>
      <w:r w:rsidR="00F940EF" w:rsidRPr="0078289D">
        <w:rPr>
          <w:rFonts w:ascii="Times New Roman" w:hAnsi="Times New Roman" w:cs="Times New Roman"/>
          <w:sz w:val="28"/>
          <w:szCs w:val="28"/>
        </w:rPr>
        <w:t>i</w:t>
      </w:r>
      <w:r w:rsidRPr="0078289D">
        <w:rPr>
          <w:rFonts w:ascii="Times New Roman" w:hAnsi="Times New Roman" w:cs="Times New Roman"/>
          <w:sz w:val="28"/>
          <w:szCs w:val="28"/>
        </w:rPr>
        <w:t>est</w:t>
      </w:r>
      <w:r w:rsidR="00F940EF" w:rsidRPr="0078289D">
        <w:rPr>
          <w:rFonts w:ascii="Times New Roman" w:hAnsi="Times New Roman" w:cs="Times New Roman"/>
          <w:sz w:val="28"/>
          <w:szCs w:val="28"/>
        </w:rPr>
        <w:t>a</w:t>
      </w:r>
      <w:r w:rsidRPr="0078289D">
        <w:rPr>
          <w:rFonts w:ascii="Times New Roman" w:hAnsi="Times New Roman" w:cs="Times New Roman"/>
          <w:sz w:val="28"/>
          <w:szCs w:val="28"/>
        </w:rPr>
        <w:t xml:space="preserve"> que la Corte Constitucional en </w:t>
      </w:r>
      <w:r w:rsidRPr="0078289D">
        <w:rPr>
          <w:rFonts w:ascii="Times New Roman" w:hAnsi="Times New Roman" w:cs="Times New Roman"/>
          <w:b/>
          <w:sz w:val="28"/>
          <w:szCs w:val="28"/>
        </w:rPr>
        <w:t xml:space="preserve">Sentencia C-123 de 2014 </w:t>
      </w:r>
      <w:r w:rsidR="00113F9C" w:rsidRPr="0078289D">
        <w:rPr>
          <w:rFonts w:ascii="Times New Roman" w:hAnsi="Times New Roman" w:cs="Times New Roman"/>
          <w:sz w:val="28"/>
          <w:szCs w:val="28"/>
        </w:rPr>
        <w:t>estableció el alcance de los principios de concurrencia, autonomía y participación</w:t>
      </w:r>
      <w:r w:rsidR="00F716D8" w:rsidRPr="0078289D">
        <w:rPr>
          <w:rFonts w:ascii="Times New Roman" w:hAnsi="Times New Roman" w:cs="Times New Roman"/>
          <w:sz w:val="28"/>
          <w:szCs w:val="28"/>
        </w:rPr>
        <w:t xml:space="preserve"> e</w:t>
      </w:r>
      <w:r w:rsidR="00113F9C" w:rsidRPr="0078289D">
        <w:rPr>
          <w:rFonts w:ascii="Times New Roman" w:hAnsi="Times New Roman" w:cs="Times New Roman"/>
          <w:sz w:val="28"/>
          <w:szCs w:val="28"/>
        </w:rPr>
        <w:t xml:space="preserve"> indicó que la autoridad nacion</w:t>
      </w:r>
      <w:r w:rsidR="000E6E7F" w:rsidRPr="0078289D">
        <w:rPr>
          <w:rFonts w:ascii="Times New Roman" w:hAnsi="Times New Roman" w:cs="Times New Roman"/>
          <w:sz w:val="28"/>
          <w:szCs w:val="28"/>
        </w:rPr>
        <w:t>a</w:t>
      </w:r>
      <w:r w:rsidR="00113F9C" w:rsidRPr="0078289D">
        <w:rPr>
          <w:rFonts w:ascii="Times New Roman" w:hAnsi="Times New Roman" w:cs="Times New Roman"/>
          <w:sz w:val="28"/>
          <w:szCs w:val="28"/>
        </w:rPr>
        <w:t xml:space="preserve">l </w:t>
      </w:r>
      <w:r w:rsidR="000E6E7F" w:rsidRPr="0078289D">
        <w:rPr>
          <w:rFonts w:ascii="Times New Roman" w:hAnsi="Times New Roman" w:cs="Times New Roman"/>
          <w:sz w:val="28"/>
          <w:szCs w:val="28"/>
        </w:rPr>
        <w:t>sí ha garantizado la intervención de las autoridades locales para el adelantamiento de este tipo de proyectos</w:t>
      </w:r>
      <w:r w:rsidR="00886175" w:rsidRPr="0078289D">
        <w:rPr>
          <w:rFonts w:ascii="Times New Roman" w:hAnsi="Times New Roman" w:cs="Times New Roman"/>
          <w:sz w:val="28"/>
          <w:szCs w:val="28"/>
        </w:rPr>
        <w:t xml:space="preserve">. </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p>
    <w:p w:rsidR="004D4218" w:rsidRPr="0078289D" w:rsidRDefault="004D421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r w:rsidRPr="0078289D">
        <w:rPr>
          <w:rFonts w:ascii="Times New Roman" w:hAnsi="Times New Roman" w:cs="Times New Roman"/>
          <w:b/>
          <w:i/>
          <w:sz w:val="28"/>
          <w:szCs w:val="28"/>
        </w:rPr>
        <w:t>Intervenciones ciudadanas</w:t>
      </w:r>
    </w:p>
    <w:p w:rsidR="004D4218" w:rsidRPr="0078289D" w:rsidRDefault="004D421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b/>
          <w:i/>
          <w:sz w:val="28"/>
          <w:szCs w:val="28"/>
        </w:rPr>
      </w:pPr>
    </w:p>
    <w:p w:rsidR="004D4218" w:rsidRPr="0078289D" w:rsidRDefault="004D4218"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Las ciudadanas María Paula Saffón Sanín y Andrea Alfonso Sierra coadyuvan la declaratoria de </w:t>
      </w:r>
      <w:r w:rsidRPr="0078289D">
        <w:rPr>
          <w:rFonts w:ascii="Times New Roman" w:hAnsi="Times New Roman" w:cs="Times New Roman"/>
          <w:b/>
          <w:sz w:val="28"/>
          <w:szCs w:val="28"/>
        </w:rPr>
        <w:t>inconstitucionalidad</w:t>
      </w:r>
      <w:r w:rsidRPr="0078289D">
        <w:rPr>
          <w:rFonts w:ascii="Times New Roman" w:hAnsi="Times New Roman" w:cs="Times New Roman"/>
          <w:sz w:val="28"/>
          <w:szCs w:val="28"/>
        </w:rPr>
        <w:t xml:space="preserve"> de las normas demanda</w:t>
      </w:r>
      <w:r w:rsidR="00CF49F2" w:rsidRPr="0078289D">
        <w:rPr>
          <w:rFonts w:ascii="Times New Roman" w:hAnsi="Times New Roman" w:cs="Times New Roman"/>
          <w:sz w:val="28"/>
          <w:szCs w:val="28"/>
        </w:rPr>
        <w:t>da</w:t>
      </w:r>
      <w:r w:rsidRPr="0078289D">
        <w:rPr>
          <w:rFonts w:ascii="Times New Roman" w:hAnsi="Times New Roman" w:cs="Times New Roman"/>
          <w:sz w:val="28"/>
          <w:szCs w:val="28"/>
        </w:rPr>
        <w:t>s. Particularmente, señalan que las normas dan</w:t>
      </w:r>
      <w:r w:rsidR="00E63E7B" w:rsidRPr="0078289D">
        <w:rPr>
          <w:rFonts w:ascii="Times New Roman" w:hAnsi="Times New Roman" w:cs="Times New Roman"/>
          <w:sz w:val="28"/>
          <w:szCs w:val="28"/>
        </w:rPr>
        <w:t xml:space="preserve"> una</w:t>
      </w:r>
      <w:r w:rsidRPr="0078289D">
        <w:rPr>
          <w:rFonts w:ascii="Times New Roman" w:hAnsi="Times New Roman" w:cs="Times New Roman"/>
          <w:sz w:val="28"/>
          <w:szCs w:val="28"/>
        </w:rPr>
        <w:t xml:space="preserve"> prelación </w:t>
      </w:r>
      <w:r w:rsidR="00E63E7B" w:rsidRPr="0078289D">
        <w:rPr>
          <w:rFonts w:ascii="Times New Roman" w:hAnsi="Times New Roman" w:cs="Times New Roman"/>
          <w:sz w:val="28"/>
          <w:szCs w:val="28"/>
        </w:rPr>
        <w:t xml:space="preserve">desproporcionada </w:t>
      </w:r>
      <w:r w:rsidRPr="0078289D">
        <w:rPr>
          <w:rFonts w:ascii="Times New Roman" w:hAnsi="Times New Roman" w:cs="Times New Roman"/>
          <w:sz w:val="28"/>
          <w:szCs w:val="28"/>
        </w:rPr>
        <w:t>al desarrollo minero en contraposición al desarrollo agrario y ambiental</w:t>
      </w:r>
      <w:r w:rsidR="00C32F3D" w:rsidRPr="0078289D">
        <w:rPr>
          <w:rFonts w:ascii="Times New Roman" w:hAnsi="Times New Roman" w:cs="Times New Roman"/>
          <w:sz w:val="28"/>
          <w:szCs w:val="28"/>
        </w:rPr>
        <w:t>, los cuales son bienes de mayor importancia</w:t>
      </w:r>
      <w:r w:rsidRPr="0078289D">
        <w:rPr>
          <w:rFonts w:ascii="Times New Roman" w:hAnsi="Times New Roman" w:cs="Times New Roman"/>
          <w:sz w:val="28"/>
          <w:szCs w:val="28"/>
        </w:rPr>
        <w:t xml:space="preserve">. </w:t>
      </w:r>
    </w:p>
    <w:p w:rsidR="004A497E" w:rsidRPr="0078289D" w:rsidRDefault="004A497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4A497E" w:rsidRPr="0078289D" w:rsidRDefault="004A497E"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i/>
          <w:sz w:val="28"/>
          <w:szCs w:val="28"/>
        </w:rPr>
      </w:pPr>
      <w:r w:rsidRPr="0078289D">
        <w:rPr>
          <w:rFonts w:ascii="Times New Roman" w:hAnsi="Times New Roman" w:cs="Times New Roman"/>
          <w:sz w:val="28"/>
          <w:szCs w:val="28"/>
        </w:rPr>
        <w:t xml:space="preserve">La Asociación Colectivo Derechos, Diversidad y Selvas, </w:t>
      </w:r>
      <w:r w:rsidR="00F13AC3" w:rsidRPr="0078289D">
        <w:rPr>
          <w:rFonts w:ascii="Times New Roman" w:hAnsi="Times New Roman" w:cs="Times New Roman"/>
          <w:sz w:val="28"/>
          <w:szCs w:val="28"/>
        </w:rPr>
        <w:t>DEDISE</w:t>
      </w:r>
      <w:r w:rsidRPr="0078289D">
        <w:rPr>
          <w:rFonts w:ascii="Times New Roman" w:hAnsi="Times New Roman" w:cs="Times New Roman"/>
          <w:sz w:val="28"/>
          <w:szCs w:val="28"/>
        </w:rPr>
        <w:t xml:space="preserve">- </w:t>
      </w:r>
      <w:r w:rsidR="00B97043" w:rsidRPr="0078289D">
        <w:rPr>
          <w:rFonts w:ascii="Times New Roman" w:hAnsi="Times New Roman" w:cs="Times New Roman"/>
          <w:sz w:val="28"/>
          <w:szCs w:val="28"/>
        </w:rPr>
        <w:t xml:space="preserve">coadyuva la demanda de </w:t>
      </w:r>
      <w:r w:rsidR="00B97043" w:rsidRPr="0078289D">
        <w:rPr>
          <w:rFonts w:ascii="Times New Roman" w:hAnsi="Times New Roman" w:cs="Times New Roman"/>
          <w:b/>
          <w:sz w:val="28"/>
          <w:szCs w:val="28"/>
        </w:rPr>
        <w:t>inconstitucionalidad</w:t>
      </w:r>
      <w:r w:rsidR="009373AF" w:rsidRPr="0078289D">
        <w:rPr>
          <w:rFonts w:ascii="Times New Roman" w:hAnsi="Times New Roman" w:cs="Times New Roman"/>
          <w:sz w:val="28"/>
          <w:szCs w:val="28"/>
        </w:rPr>
        <w:t>, y solicita la aplicación del principio de precaución y la protección de los derechos de los pueblos indígenas y del ambiente sano</w:t>
      </w:r>
      <w:r w:rsidR="009373AF" w:rsidRPr="0078289D">
        <w:rPr>
          <w:rStyle w:val="Refdenotaalpie"/>
          <w:rFonts w:ascii="Times New Roman" w:hAnsi="Times New Roman"/>
          <w:sz w:val="28"/>
          <w:szCs w:val="28"/>
        </w:rPr>
        <w:footnoteReference w:id="17"/>
      </w:r>
      <w:r w:rsidR="00B97043" w:rsidRPr="0078289D">
        <w:rPr>
          <w:rFonts w:ascii="Times New Roman" w:hAnsi="Times New Roman" w:cs="Times New Roman"/>
          <w:sz w:val="28"/>
          <w:szCs w:val="28"/>
        </w:rPr>
        <w:t xml:space="preserve">. </w:t>
      </w:r>
      <w:r w:rsidR="00706F0A" w:rsidRPr="0078289D">
        <w:rPr>
          <w:rFonts w:ascii="Times New Roman" w:hAnsi="Times New Roman" w:cs="Times New Roman"/>
          <w:sz w:val="28"/>
          <w:szCs w:val="28"/>
        </w:rPr>
        <w:t>Específicamente</w:t>
      </w:r>
      <w:r w:rsidR="005656E4" w:rsidRPr="0078289D">
        <w:rPr>
          <w:rFonts w:ascii="Times New Roman" w:hAnsi="Times New Roman" w:cs="Times New Roman"/>
          <w:sz w:val="28"/>
          <w:szCs w:val="28"/>
        </w:rPr>
        <w:t>, presenta</w:t>
      </w:r>
      <w:r w:rsidR="00B97043" w:rsidRPr="0078289D">
        <w:rPr>
          <w:rFonts w:ascii="Times New Roman" w:hAnsi="Times New Roman" w:cs="Times New Roman"/>
          <w:sz w:val="28"/>
          <w:szCs w:val="28"/>
        </w:rPr>
        <w:t xml:space="preserve"> evidencia empírica de los impactos ambientales de la minería en el territorio de la Amazonia colombiana</w:t>
      </w:r>
      <w:r w:rsidR="009C2C1F" w:rsidRPr="0078289D">
        <w:rPr>
          <w:rFonts w:ascii="Times New Roman" w:hAnsi="Times New Roman" w:cs="Times New Roman"/>
          <w:sz w:val="28"/>
          <w:szCs w:val="28"/>
        </w:rPr>
        <w:t xml:space="preserve"> y de la afectación de las comunidades indígenas y los recursos naturales en esta zona</w:t>
      </w:r>
      <w:r w:rsidR="00706F0A" w:rsidRPr="0078289D">
        <w:rPr>
          <w:rFonts w:ascii="Times New Roman" w:hAnsi="Times New Roman" w:cs="Times New Roman"/>
          <w:sz w:val="28"/>
          <w:szCs w:val="28"/>
        </w:rPr>
        <w:t xml:space="preserve">. </w:t>
      </w:r>
      <w:r w:rsidR="009C2C1F" w:rsidRPr="0078289D">
        <w:rPr>
          <w:rFonts w:ascii="Times New Roman" w:hAnsi="Times New Roman" w:cs="Times New Roman"/>
          <w:sz w:val="28"/>
          <w:szCs w:val="28"/>
        </w:rPr>
        <w:t xml:space="preserve">Así, </w:t>
      </w:r>
      <w:r w:rsidR="009C2C1F" w:rsidRPr="0078289D">
        <w:rPr>
          <w:rFonts w:ascii="Times New Roman" w:hAnsi="Times New Roman" w:cs="Times New Roman"/>
          <w:sz w:val="28"/>
          <w:szCs w:val="28"/>
        </w:rPr>
        <w:lastRenderedPageBreak/>
        <w:t>r</w:t>
      </w:r>
      <w:r w:rsidR="00706F0A" w:rsidRPr="0078289D">
        <w:rPr>
          <w:rFonts w:ascii="Times New Roman" w:hAnsi="Times New Roman" w:cs="Times New Roman"/>
          <w:sz w:val="28"/>
          <w:szCs w:val="28"/>
        </w:rPr>
        <w:t xml:space="preserve">esalta que </w:t>
      </w:r>
      <w:r w:rsidR="00706F0A" w:rsidRPr="0078289D">
        <w:rPr>
          <w:rFonts w:ascii="Times New Roman" w:hAnsi="Times New Roman" w:cs="Times New Roman"/>
          <w:i/>
          <w:sz w:val="28"/>
          <w:szCs w:val="28"/>
        </w:rPr>
        <w:t>“dentro del AEM están 70 Resguardos Indígenas que no participaron en ningún tipo de consulta previa para que se tomara semejante determinación</w:t>
      </w:r>
      <w:r w:rsidR="0091115A" w:rsidRPr="0078289D">
        <w:rPr>
          <w:rFonts w:ascii="Times New Roman" w:hAnsi="Times New Roman" w:cs="Times New Roman"/>
          <w:i/>
          <w:sz w:val="28"/>
          <w:szCs w:val="28"/>
        </w:rPr>
        <w:t xml:space="preserve"> (…) 4 Parques Nacionales Naturales (…) el Tuparro (…) Puinawai (…) Nukak (…) y el Yaigojé Apaporis</w:t>
      </w:r>
      <w:r w:rsidR="00706F0A" w:rsidRPr="0078289D">
        <w:rPr>
          <w:rFonts w:ascii="Times New Roman" w:hAnsi="Times New Roman" w:cs="Times New Roman"/>
          <w:i/>
          <w:sz w:val="28"/>
          <w:szCs w:val="28"/>
        </w:rPr>
        <w:t>”</w:t>
      </w:r>
      <w:r w:rsidR="00DB4115" w:rsidRPr="0078289D">
        <w:rPr>
          <w:rStyle w:val="Refdenotaalpie"/>
          <w:rFonts w:ascii="Times New Roman" w:hAnsi="Times New Roman"/>
          <w:i/>
          <w:sz w:val="28"/>
          <w:szCs w:val="28"/>
        </w:rPr>
        <w:footnoteReference w:id="18"/>
      </w:r>
      <w:r w:rsidR="00EE2524" w:rsidRPr="0078289D">
        <w:rPr>
          <w:rFonts w:ascii="Times New Roman" w:hAnsi="Times New Roman" w:cs="Times New Roman"/>
          <w:i/>
          <w:sz w:val="28"/>
          <w:szCs w:val="28"/>
        </w:rPr>
        <w:t xml:space="preserve">. </w:t>
      </w:r>
    </w:p>
    <w:p w:rsidR="00547578" w:rsidRPr="0078289D" w:rsidRDefault="0054757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i/>
          <w:sz w:val="28"/>
          <w:szCs w:val="28"/>
        </w:rPr>
      </w:pPr>
    </w:p>
    <w:p w:rsidR="000C4AAE" w:rsidRPr="0078289D" w:rsidRDefault="007B3BCB"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 Corporación Colectivo de Abogados José Alvear Restrepo </w:t>
      </w:r>
      <w:r w:rsidR="00641A0E" w:rsidRPr="0078289D">
        <w:rPr>
          <w:rFonts w:ascii="Times New Roman" w:hAnsi="Times New Roman" w:cs="Times New Roman"/>
          <w:sz w:val="28"/>
          <w:szCs w:val="28"/>
        </w:rPr>
        <w:t>coadyuva</w:t>
      </w:r>
      <w:r w:rsidR="009D2FF1" w:rsidRPr="0078289D">
        <w:rPr>
          <w:rFonts w:ascii="Times New Roman" w:hAnsi="Times New Roman" w:cs="Times New Roman"/>
          <w:sz w:val="28"/>
          <w:szCs w:val="28"/>
        </w:rPr>
        <w:t xml:space="preserve"> la </w:t>
      </w:r>
      <w:r w:rsidR="00A234DA" w:rsidRPr="0078289D">
        <w:rPr>
          <w:rFonts w:ascii="Times New Roman" w:hAnsi="Times New Roman" w:cs="Times New Roman"/>
          <w:sz w:val="28"/>
          <w:szCs w:val="28"/>
        </w:rPr>
        <w:t xml:space="preserve">solicitud de </w:t>
      </w:r>
      <w:r w:rsidR="00A234DA" w:rsidRPr="0078289D">
        <w:rPr>
          <w:rFonts w:ascii="Times New Roman" w:hAnsi="Times New Roman" w:cs="Times New Roman"/>
          <w:b/>
          <w:sz w:val="28"/>
          <w:szCs w:val="28"/>
        </w:rPr>
        <w:t>inconstitucionalidad</w:t>
      </w:r>
      <w:r w:rsidR="00A234DA" w:rsidRPr="0078289D">
        <w:rPr>
          <w:rFonts w:ascii="Times New Roman" w:hAnsi="Times New Roman" w:cs="Times New Roman"/>
          <w:sz w:val="28"/>
          <w:szCs w:val="28"/>
        </w:rPr>
        <w:t xml:space="preserve">. </w:t>
      </w:r>
      <w:r w:rsidR="00C70120" w:rsidRPr="0078289D">
        <w:rPr>
          <w:rFonts w:ascii="Times New Roman" w:hAnsi="Times New Roman" w:cs="Times New Roman"/>
          <w:sz w:val="28"/>
          <w:szCs w:val="28"/>
        </w:rPr>
        <w:t xml:space="preserve">Señala que además de los derechos invocados como violados, </w:t>
      </w:r>
      <w:r w:rsidR="003C4E38" w:rsidRPr="0078289D">
        <w:rPr>
          <w:rFonts w:ascii="Times New Roman" w:hAnsi="Times New Roman" w:cs="Times New Roman"/>
          <w:sz w:val="28"/>
          <w:szCs w:val="28"/>
        </w:rPr>
        <w:t>también se v</w:t>
      </w:r>
      <w:r w:rsidR="000C4AAE" w:rsidRPr="0078289D">
        <w:rPr>
          <w:rFonts w:ascii="Times New Roman" w:hAnsi="Times New Roman" w:cs="Times New Roman"/>
          <w:sz w:val="28"/>
          <w:szCs w:val="28"/>
        </w:rPr>
        <w:t>ulneran los derechos al trabajo y a</w:t>
      </w:r>
      <w:r w:rsidR="003C4E38" w:rsidRPr="0078289D">
        <w:rPr>
          <w:rFonts w:ascii="Times New Roman" w:hAnsi="Times New Roman" w:cs="Times New Roman"/>
          <w:sz w:val="28"/>
          <w:szCs w:val="28"/>
        </w:rPr>
        <w:t xml:space="preserve"> </w:t>
      </w:r>
      <w:r w:rsidR="000C4AAE" w:rsidRPr="0078289D">
        <w:rPr>
          <w:rFonts w:ascii="Times New Roman" w:hAnsi="Times New Roman" w:cs="Times New Roman"/>
          <w:sz w:val="28"/>
          <w:szCs w:val="28"/>
        </w:rPr>
        <w:t xml:space="preserve">los usos y costumbres de las comunidades indígenas, en caso de que las áreas reservadas sean </w:t>
      </w:r>
      <w:r w:rsidR="002D564E" w:rsidRPr="0078289D">
        <w:rPr>
          <w:rFonts w:ascii="Times New Roman" w:hAnsi="Times New Roman" w:cs="Times New Roman"/>
          <w:sz w:val="28"/>
          <w:szCs w:val="28"/>
        </w:rPr>
        <w:t xml:space="preserve">lugares destinados para el trabajo de agricultores, o para </w:t>
      </w:r>
      <w:r w:rsidR="00915D29" w:rsidRPr="0078289D">
        <w:rPr>
          <w:rFonts w:ascii="Times New Roman" w:hAnsi="Times New Roman" w:cs="Times New Roman"/>
          <w:sz w:val="28"/>
          <w:szCs w:val="28"/>
        </w:rPr>
        <w:t>el asentamiento de comunidades. I</w:t>
      </w:r>
      <w:r w:rsidR="00D11D15" w:rsidRPr="0078289D">
        <w:rPr>
          <w:rFonts w:ascii="Times New Roman" w:hAnsi="Times New Roman" w:cs="Times New Roman"/>
          <w:sz w:val="28"/>
          <w:szCs w:val="28"/>
        </w:rPr>
        <w:t>ndica</w:t>
      </w:r>
      <w:r w:rsidR="005D2581" w:rsidRPr="0078289D">
        <w:rPr>
          <w:rFonts w:ascii="Times New Roman" w:hAnsi="Times New Roman" w:cs="Times New Roman"/>
          <w:sz w:val="28"/>
          <w:szCs w:val="28"/>
        </w:rPr>
        <w:t xml:space="preserve"> que </w:t>
      </w:r>
      <w:r w:rsidR="00D11D15" w:rsidRPr="0078289D">
        <w:rPr>
          <w:rFonts w:ascii="Times New Roman" w:hAnsi="Times New Roman" w:cs="Times New Roman"/>
          <w:sz w:val="28"/>
          <w:szCs w:val="28"/>
        </w:rPr>
        <w:t>existe</w:t>
      </w:r>
      <w:r w:rsidR="005D2581" w:rsidRPr="0078289D">
        <w:rPr>
          <w:rFonts w:ascii="Times New Roman" w:hAnsi="Times New Roman" w:cs="Times New Roman"/>
          <w:sz w:val="28"/>
          <w:szCs w:val="28"/>
        </w:rPr>
        <w:t xml:space="preserve"> una omisión legislativa relativa al no </w:t>
      </w:r>
      <w:r w:rsidR="00050DB2" w:rsidRPr="0078289D">
        <w:rPr>
          <w:rFonts w:ascii="Times New Roman" w:hAnsi="Times New Roman" w:cs="Times New Roman"/>
          <w:sz w:val="28"/>
          <w:szCs w:val="28"/>
        </w:rPr>
        <w:t xml:space="preserve">haberse declarado </w:t>
      </w:r>
      <w:r w:rsidR="00915D29" w:rsidRPr="0078289D">
        <w:rPr>
          <w:rFonts w:ascii="Times New Roman" w:hAnsi="Times New Roman" w:cs="Times New Roman"/>
          <w:sz w:val="28"/>
          <w:szCs w:val="28"/>
        </w:rPr>
        <w:t>las</w:t>
      </w:r>
      <w:r w:rsidR="00050DB2" w:rsidRPr="0078289D">
        <w:rPr>
          <w:rFonts w:ascii="Times New Roman" w:hAnsi="Times New Roman" w:cs="Times New Roman"/>
          <w:sz w:val="28"/>
          <w:szCs w:val="28"/>
        </w:rPr>
        <w:t xml:space="preserve"> zonas</w:t>
      </w:r>
      <w:r w:rsidR="00915D29" w:rsidRPr="0078289D">
        <w:rPr>
          <w:rFonts w:ascii="Times New Roman" w:hAnsi="Times New Roman" w:cs="Times New Roman"/>
          <w:sz w:val="28"/>
          <w:szCs w:val="28"/>
        </w:rPr>
        <w:t xml:space="preserve"> de las comunidades étnicas y aquellas ocupadas por trabajadores agrarios</w:t>
      </w:r>
      <w:r w:rsidR="00824157" w:rsidRPr="0078289D">
        <w:rPr>
          <w:rFonts w:ascii="Times New Roman" w:hAnsi="Times New Roman" w:cs="Times New Roman"/>
          <w:sz w:val="28"/>
          <w:szCs w:val="28"/>
        </w:rPr>
        <w:t>, como</w:t>
      </w:r>
      <w:r w:rsidR="00C764F7" w:rsidRPr="0078289D">
        <w:rPr>
          <w:rFonts w:ascii="Times New Roman" w:hAnsi="Times New Roman" w:cs="Times New Roman"/>
          <w:sz w:val="28"/>
          <w:szCs w:val="28"/>
        </w:rPr>
        <w:t xml:space="preserve"> libres de minería</w:t>
      </w:r>
      <w:r w:rsidR="00050DB2" w:rsidRPr="0078289D">
        <w:rPr>
          <w:rFonts w:ascii="Times New Roman" w:hAnsi="Times New Roman" w:cs="Times New Roman"/>
          <w:sz w:val="28"/>
          <w:szCs w:val="28"/>
        </w:rPr>
        <w:t xml:space="preserve">. </w:t>
      </w:r>
    </w:p>
    <w:p w:rsidR="000C4AAE" w:rsidRPr="0078289D" w:rsidRDefault="000C4AAE"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547578" w:rsidRPr="0078289D" w:rsidRDefault="002D564E"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Igualmente, </w:t>
      </w:r>
      <w:r w:rsidR="00652413" w:rsidRPr="0078289D">
        <w:rPr>
          <w:rFonts w:ascii="Times New Roman" w:hAnsi="Times New Roman" w:cs="Times New Roman"/>
          <w:sz w:val="28"/>
          <w:szCs w:val="28"/>
        </w:rPr>
        <w:t>manifiesta</w:t>
      </w:r>
      <w:r w:rsidRPr="0078289D">
        <w:rPr>
          <w:rFonts w:ascii="Times New Roman" w:hAnsi="Times New Roman" w:cs="Times New Roman"/>
          <w:sz w:val="28"/>
          <w:szCs w:val="28"/>
        </w:rPr>
        <w:t xml:space="preserve"> que </w:t>
      </w:r>
      <w:r w:rsidR="00474CB6" w:rsidRPr="0078289D">
        <w:rPr>
          <w:rFonts w:ascii="Times New Roman" w:hAnsi="Times New Roman" w:cs="Times New Roman"/>
          <w:sz w:val="28"/>
          <w:szCs w:val="28"/>
        </w:rPr>
        <w:t xml:space="preserve">las normas demandadas constituyen un régimen especial y excepcional </w:t>
      </w:r>
      <w:r w:rsidR="00D37861" w:rsidRPr="0078289D">
        <w:rPr>
          <w:rFonts w:ascii="Times New Roman" w:hAnsi="Times New Roman" w:cs="Times New Roman"/>
          <w:sz w:val="28"/>
          <w:szCs w:val="28"/>
        </w:rPr>
        <w:t>que desconoce</w:t>
      </w:r>
      <w:r w:rsidR="000C4AAE" w:rsidRPr="0078289D">
        <w:rPr>
          <w:rFonts w:ascii="Times New Roman" w:hAnsi="Times New Roman" w:cs="Times New Roman"/>
          <w:sz w:val="28"/>
          <w:szCs w:val="28"/>
        </w:rPr>
        <w:t xml:space="preserve"> </w:t>
      </w:r>
      <w:r w:rsidR="00DE04D3" w:rsidRPr="0078289D">
        <w:rPr>
          <w:rFonts w:ascii="Times New Roman" w:hAnsi="Times New Roman" w:cs="Times New Roman"/>
          <w:sz w:val="28"/>
          <w:szCs w:val="28"/>
        </w:rPr>
        <w:t>los principios de racionalidad, desarrollo sostenible y fortalecimiento económico y social, contenidos en el artículo 1º del Código de Minas</w:t>
      </w:r>
      <w:r w:rsidR="005A3732" w:rsidRPr="0078289D">
        <w:rPr>
          <w:rFonts w:ascii="Times New Roman" w:hAnsi="Times New Roman" w:cs="Times New Roman"/>
          <w:sz w:val="28"/>
          <w:szCs w:val="28"/>
        </w:rPr>
        <w:t>, y por ende,</w:t>
      </w:r>
      <w:r w:rsidR="00C43CCF" w:rsidRPr="0078289D">
        <w:rPr>
          <w:rFonts w:ascii="Times New Roman" w:hAnsi="Times New Roman" w:cs="Times New Roman"/>
          <w:sz w:val="28"/>
          <w:szCs w:val="28"/>
        </w:rPr>
        <w:t xml:space="preserve"> vulneran</w:t>
      </w:r>
      <w:r w:rsidR="005A3732" w:rsidRPr="0078289D">
        <w:rPr>
          <w:rFonts w:ascii="Times New Roman" w:hAnsi="Times New Roman" w:cs="Times New Roman"/>
          <w:sz w:val="28"/>
          <w:szCs w:val="28"/>
        </w:rPr>
        <w:t xml:space="preserve"> el derecho al medio ambiente sano. </w:t>
      </w:r>
    </w:p>
    <w:p w:rsidR="005A3732" w:rsidRPr="0078289D" w:rsidRDefault="005A373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5A3732" w:rsidRPr="0078289D" w:rsidRDefault="00EE3A54"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Así mismo</w:t>
      </w:r>
      <w:r w:rsidR="005A3732" w:rsidRPr="0078289D">
        <w:rPr>
          <w:rFonts w:ascii="Times New Roman" w:hAnsi="Times New Roman" w:cs="Times New Roman"/>
          <w:sz w:val="28"/>
          <w:szCs w:val="28"/>
        </w:rPr>
        <w:t xml:space="preserve">, </w:t>
      </w:r>
      <w:r w:rsidR="00652413" w:rsidRPr="0078289D">
        <w:rPr>
          <w:rFonts w:ascii="Times New Roman" w:hAnsi="Times New Roman" w:cs="Times New Roman"/>
          <w:sz w:val="28"/>
          <w:szCs w:val="28"/>
        </w:rPr>
        <w:t>solicita</w:t>
      </w:r>
      <w:r w:rsidR="00C0086A" w:rsidRPr="0078289D">
        <w:rPr>
          <w:rFonts w:ascii="Times New Roman" w:hAnsi="Times New Roman" w:cs="Times New Roman"/>
          <w:sz w:val="28"/>
          <w:szCs w:val="28"/>
        </w:rPr>
        <w:t xml:space="preserve"> que en virtud del principio de </w:t>
      </w:r>
      <w:r w:rsidR="003D7B95" w:rsidRPr="0078289D">
        <w:rPr>
          <w:rFonts w:ascii="Times New Roman" w:hAnsi="Times New Roman" w:cs="Times New Roman"/>
          <w:sz w:val="28"/>
          <w:szCs w:val="28"/>
        </w:rPr>
        <w:t xml:space="preserve">unidad normativa, se estudien diversas </w:t>
      </w:r>
      <w:r w:rsidR="003D09AD" w:rsidRPr="0078289D">
        <w:rPr>
          <w:rFonts w:ascii="Times New Roman" w:hAnsi="Times New Roman" w:cs="Times New Roman"/>
          <w:sz w:val="28"/>
          <w:szCs w:val="28"/>
        </w:rPr>
        <w:t>resoluciones expedidas por el Ministerio de Minas y Energía y la Agencia Nacional de Minería</w:t>
      </w:r>
      <w:r w:rsidR="003D7B95" w:rsidRPr="0078289D">
        <w:rPr>
          <w:rFonts w:ascii="Times New Roman" w:hAnsi="Times New Roman" w:cs="Times New Roman"/>
          <w:sz w:val="28"/>
          <w:szCs w:val="28"/>
        </w:rPr>
        <w:t xml:space="preserve"> con base en las normas demandadas. </w:t>
      </w:r>
    </w:p>
    <w:p w:rsidR="004D4218" w:rsidRPr="0078289D" w:rsidRDefault="004D421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7464C" w:rsidRPr="0078289D" w:rsidRDefault="00F7464C"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 Asociación Colectivo Mujeres al Derecho coadyuva la demanda y solicita la declaratoria de </w:t>
      </w:r>
      <w:r w:rsidRPr="0078289D">
        <w:rPr>
          <w:rFonts w:ascii="Times New Roman" w:hAnsi="Times New Roman" w:cs="Times New Roman"/>
          <w:b/>
          <w:sz w:val="28"/>
          <w:szCs w:val="28"/>
        </w:rPr>
        <w:t>inexequibilidad</w:t>
      </w:r>
      <w:r w:rsidRPr="0078289D">
        <w:rPr>
          <w:rFonts w:ascii="Times New Roman" w:hAnsi="Times New Roman" w:cs="Times New Roman"/>
          <w:sz w:val="28"/>
          <w:szCs w:val="28"/>
        </w:rPr>
        <w:t xml:space="preserve"> de las normas acusadas. Señala, específicamente, los impactos ambientales que la minería ha ocasionado en la región de la Costa Atlántica, e indica que la política minera gubernamental ha desplazado la productividad agrícola y ganadera. </w:t>
      </w:r>
      <w:r w:rsidR="00EE3A54" w:rsidRPr="0078289D">
        <w:rPr>
          <w:rFonts w:ascii="Times New Roman" w:hAnsi="Times New Roman" w:cs="Times New Roman"/>
          <w:sz w:val="28"/>
          <w:szCs w:val="28"/>
        </w:rPr>
        <w:t>Así mismo</w:t>
      </w:r>
      <w:r w:rsidRPr="0078289D">
        <w:rPr>
          <w:rFonts w:ascii="Times New Roman" w:hAnsi="Times New Roman" w:cs="Times New Roman"/>
          <w:sz w:val="28"/>
          <w:szCs w:val="28"/>
        </w:rPr>
        <w:t xml:space="preserve">, puso de presente el fracaso de las políticas agrarias que pretendieron implementarse con la Ley 160 de 1994 y, como consecuencia de ello, la desprotección de la mujer agricultora y campesina. </w:t>
      </w:r>
    </w:p>
    <w:p w:rsidR="00F7464C" w:rsidRPr="0078289D" w:rsidRDefault="00F7464C"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F7464C" w:rsidRPr="0078289D" w:rsidRDefault="00F7464C"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El Centro de Investigación y Educación Popular – CINEP coadyuvó la demanda y solicitó la declaratoria </w:t>
      </w:r>
      <w:r w:rsidRPr="0078289D">
        <w:rPr>
          <w:rFonts w:ascii="Times New Roman" w:hAnsi="Times New Roman" w:cs="Times New Roman"/>
          <w:b/>
          <w:sz w:val="28"/>
          <w:szCs w:val="28"/>
        </w:rPr>
        <w:t>inexequibilidad</w:t>
      </w:r>
      <w:r w:rsidRPr="0078289D">
        <w:rPr>
          <w:rFonts w:ascii="Times New Roman" w:hAnsi="Times New Roman" w:cs="Times New Roman"/>
          <w:sz w:val="28"/>
          <w:szCs w:val="28"/>
        </w:rPr>
        <w:t xml:space="preserve"> de las normas acusadas. Indicó que la priorización de la actividad minera ha intensificado los conflictos sociales en el país. </w:t>
      </w:r>
      <w:r w:rsidR="0029603B" w:rsidRPr="0078289D">
        <w:rPr>
          <w:rFonts w:ascii="Times New Roman" w:hAnsi="Times New Roman" w:cs="Times New Roman"/>
          <w:sz w:val="28"/>
          <w:szCs w:val="28"/>
        </w:rPr>
        <w:t>A juicio</w:t>
      </w:r>
      <w:r w:rsidRPr="0078289D">
        <w:rPr>
          <w:rFonts w:ascii="Times New Roman" w:hAnsi="Times New Roman" w:cs="Times New Roman"/>
          <w:sz w:val="28"/>
          <w:szCs w:val="28"/>
        </w:rPr>
        <w:t xml:space="preserve"> de la organización, dichos conflictos pueden disminuirse si se evalúa la viabilidad de cada proyecto de forma individual. </w:t>
      </w:r>
    </w:p>
    <w:p w:rsidR="0044686A" w:rsidRPr="0078289D" w:rsidRDefault="0044686A"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641A0E" w:rsidRPr="0078289D" w:rsidRDefault="00641A0E"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 Asociación Colombiana de Minería </w:t>
      </w:r>
      <w:r w:rsidR="00F720FE" w:rsidRPr="0078289D">
        <w:rPr>
          <w:rFonts w:ascii="Times New Roman" w:hAnsi="Times New Roman" w:cs="Times New Roman"/>
          <w:sz w:val="28"/>
          <w:szCs w:val="28"/>
        </w:rPr>
        <w:t xml:space="preserve">solicita la </w:t>
      </w:r>
      <w:r w:rsidR="00F720FE" w:rsidRPr="0078289D">
        <w:rPr>
          <w:rFonts w:ascii="Times New Roman" w:hAnsi="Times New Roman" w:cs="Times New Roman"/>
          <w:b/>
          <w:sz w:val="28"/>
          <w:szCs w:val="28"/>
        </w:rPr>
        <w:t>inhibición</w:t>
      </w:r>
      <w:r w:rsidR="00F720FE" w:rsidRPr="0078289D">
        <w:rPr>
          <w:rFonts w:ascii="Times New Roman" w:hAnsi="Times New Roman" w:cs="Times New Roman"/>
          <w:sz w:val="28"/>
          <w:szCs w:val="28"/>
        </w:rPr>
        <w:t xml:space="preserve"> por falta de aptitud de la demanda. </w:t>
      </w:r>
      <w:r w:rsidR="00EF38A8" w:rsidRPr="0078289D">
        <w:rPr>
          <w:rFonts w:ascii="Times New Roman" w:hAnsi="Times New Roman" w:cs="Times New Roman"/>
          <w:sz w:val="28"/>
          <w:szCs w:val="28"/>
        </w:rPr>
        <w:t xml:space="preserve">La interviniente </w:t>
      </w:r>
      <w:r w:rsidR="00F720FE" w:rsidRPr="0078289D">
        <w:rPr>
          <w:rFonts w:ascii="Times New Roman" w:hAnsi="Times New Roman" w:cs="Times New Roman"/>
          <w:sz w:val="28"/>
          <w:szCs w:val="28"/>
        </w:rPr>
        <w:t xml:space="preserve">reitera que la actividad minera sí </w:t>
      </w:r>
      <w:r w:rsidR="00D37861" w:rsidRPr="0078289D">
        <w:rPr>
          <w:rFonts w:ascii="Times New Roman" w:hAnsi="Times New Roman" w:cs="Times New Roman"/>
          <w:sz w:val="28"/>
          <w:szCs w:val="28"/>
        </w:rPr>
        <w:t xml:space="preserve">tiene límites en Colombia, pero resalta que los accionantes cuestionan </w:t>
      </w:r>
      <w:r w:rsidR="00F720FE" w:rsidRPr="0078289D">
        <w:rPr>
          <w:rFonts w:ascii="Times New Roman" w:hAnsi="Times New Roman" w:cs="Times New Roman"/>
          <w:sz w:val="28"/>
          <w:szCs w:val="28"/>
        </w:rPr>
        <w:t xml:space="preserve">la </w:t>
      </w:r>
      <w:r w:rsidR="00F720FE" w:rsidRPr="0078289D">
        <w:rPr>
          <w:rFonts w:ascii="Times New Roman" w:hAnsi="Times New Roman" w:cs="Times New Roman"/>
          <w:sz w:val="28"/>
          <w:szCs w:val="28"/>
        </w:rPr>
        <w:lastRenderedPageBreak/>
        <w:t>eficacia de este marco normativo</w:t>
      </w:r>
      <w:r w:rsidR="00826AF7" w:rsidRPr="0078289D">
        <w:rPr>
          <w:rFonts w:ascii="Times New Roman" w:hAnsi="Times New Roman" w:cs="Times New Roman"/>
          <w:sz w:val="28"/>
          <w:szCs w:val="28"/>
        </w:rPr>
        <w:t xml:space="preserve">. En opinión de la interviniente, los cargos carecen de certeza, toda </w:t>
      </w:r>
      <w:r w:rsidR="003B00CB" w:rsidRPr="0078289D">
        <w:rPr>
          <w:rFonts w:ascii="Times New Roman" w:hAnsi="Times New Roman" w:cs="Times New Roman"/>
          <w:sz w:val="28"/>
          <w:szCs w:val="28"/>
        </w:rPr>
        <w:t xml:space="preserve">vez que las alegaciones de los accionantes no se dirigen a atacar la norma demandada, sino su incorrecta aplicación. </w:t>
      </w:r>
    </w:p>
    <w:p w:rsidR="00EF38A8" w:rsidRPr="0078289D" w:rsidRDefault="00EF38A8"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241C7E" w:rsidRPr="0078289D" w:rsidRDefault="00241C7E" w:rsidP="0078289D">
      <w:pPr>
        <w:pStyle w:val="NormalWeb"/>
        <w:numPr>
          <w:ilvl w:val="0"/>
          <w:numId w:val="11"/>
        </w:numPr>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La Asociación Nacional de </w:t>
      </w:r>
      <w:r w:rsidR="00C06AB1" w:rsidRPr="0078289D">
        <w:rPr>
          <w:rFonts w:ascii="Times New Roman" w:hAnsi="Times New Roman" w:cs="Times New Roman"/>
          <w:sz w:val="28"/>
          <w:szCs w:val="28"/>
        </w:rPr>
        <w:t>Industriales</w:t>
      </w:r>
      <w:r w:rsidR="00940D70" w:rsidRPr="0078289D">
        <w:rPr>
          <w:rFonts w:ascii="Times New Roman" w:hAnsi="Times New Roman" w:cs="Times New Roman"/>
          <w:sz w:val="28"/>
          <w:szCs w:val="28"/>
        </w:rPr>
        <w:t>,</w:t>
      </w:r>
      <w:r w:rsidRPr="0078289D">
        <w:rPr>
          <w:rFonts w:ascii="Times New Roman" w:hAnsi="Times New Roman" w:cs="Times New Roman"/>
          <w:sz w:val="28"/>
          <w:szCs w:val="28"/>
        </w:rPr>
        <w:t xml:space="preserve"> </w:t>
      </w:r>
      <w:r w:rsidR="00940D70" w:rsidRPr="0078289D">
        <w:rPr>
          <w:rFonts w:ascii="Times New Roman" w:hAnsi="Times New Roman" w:cs="Times New Roman"/>
          <w:sz w:val="28"/>
          <w:szCs w:val="28"/>
        </w:rPr>
        <w:t>ANDI,</w:t>
      </w:r>
      <w:r w:rsidRPr="0078289D">
        <w:rPr>
          <w:rFonts w:ascii="Times New Roman" w:hAnsi="Times New Roman" w:cs="Times New Roman"/>
          <w:sz w:val="28"/>
          <w:szCs w:val="28"/>
        </w:rPr>
        <w:t xml:space="preserve"> </w:t>
      </w:r>
      <w:r w:rsidR="00C07B32" w:rsidRPr="0078289D">
        <w:rPr>
          <w:rFonts w:ascii="Times New Roman" w:hAnsi="Times New Roman" w:cs="Times New Roman"/>
          <w:sz w:val="28"/>
          <w:szCs w:val="28"/>
        </w:rPr>
        <w:t xml:space="preserve">se pronunció solicitando la </w:t>
      </w:r>
      <w:r w:rsidR="00C07B32" w:rsidRPr="0078289D">
        <w:rPr>
          <w:rFonts w:ascii="Times New Roman" w:hAnsi="Times New Roman" w:cs="Times New Roman"/>
          <w:b/>
          <w:sz w:val="28"/>
          <w:szCs w:val="28"/>
        </w:rPr>
        <w:t>exequibilidad</w:t>
      </w:r>
      <w:r w:rsidR="00C07B32" w:rsidRPr="0078289D">
        <w:rPr>
          <w:rFonts w:ascii="Times New Roman" w:hAnsi="Times New Roman" w:cs="Times New Roman"/>
          <w:sz w:val="28"/>
          <w:szCs w:val="28"/>
        </w:rPr>
        <w:t xml:space="preserve"> de las normas jurídicas demandadas. </w:t>
      </w:r>
      <w:r w:rsidR="001A0FC2" w:rsidRPr="0078289D">
        <w:rPr>
          <w:rFonts w:ascii="Times New Roman" w:hAnsi="Times New Roman" w:cs="Times New Roman"/>
          <w:sz w:val="28"/>
          <w:szCs w:val="28"/>
        </w:rPr>
        <w:t xml:space="preserve">Señaló que sí se garantizó la </w:t>
      </w:r>
      <w:r w:rsidR="004972B8" w:rsidRPr="0078289D">
        <w:rPr>
          <w:rFonts w:ascii="Times New Roman" w:hAnsi="Times New Roman" w:cs="Times New Roman"/>
          <w:sz w:val="28"/>
          <w:szCs w:val="28"/>
        </w:rPr>
        <w:t>participación de las comunidades en la aprobación de las normas</w:t>
      </w:r>
      <w:r w:rsidR="001A0FC2" w:rsidRPr="0078289D">
        <w:rPr>
          <w:rFonts w:ascii="Times New Roman" w:hAnsi="Times New Roman" w:cs="Times New Roman"/>
          <w:sz w:val="28"/>
          <w:szCs w:val="28"/>
        </w:rPr>
        <w:t xml:space="preserve"> </w:t>
      </w:r>
      <w:r w:rsidR="0021067E" w:rsidRPr="0078289D">
        <w:rPr>
          <w:rFonts w:ascii="Times New Roman" w:hAnsi="Times New Roman" w:cs="Times New Roman"/>
          <w:sz w:val="28"/>
          <w:szCs w:val="28"/>
        </w:rPr>
        <w:t xml:space="preserve">a través de los debates desarrollados tanto en el Congreso de la República como en los Consejos Territoriales de Planeación. </w:t>
      </w:r>
    </w:p>
    <w:p w:rsidR="00397587" w:rsidRPr="0078289D" w:rsidRDefault="00397587"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654D29" w:rsidRPr="0078289D" w:rsidRDefault="00654D29" w:rsidP="0078289D">
      <w:pPr>
        <w:pBdr>
          <w:top w:val="none" w:sz="0" w:space="0" w:color="auto"/>
          <w:left w:val="none" w:sz="0" w:space="0" w:color="auto"/>
          <w:bottom w:val="none" w:sz="0" w:space="0" w:color="auto"/>
          <w:right w:val="none" w:sz="0" w:space="0" w:color="auto"/>
        </w:pBdr>
        <w:contextualSpacing/>
        <w:jc w:val="both"/>
        <w:rPr>
          <w:b/>
          <w:sz w:val="28"/>
          <w:szCs w:val="28"/>
          <w:u w:color="000000"/>
          <w:lang w:val="es-MX"/>
        </w:rPr>
      </w:pPr>
      <w:r w:rsidRPr="0078289D">
        <w:rPr>
          <w:b/>
          <w:sz w:val="28"/>
          <w:szCs w:val="28"/>
          <w:u w:color="000000"/>
          <w:lang w:val="es-MX"/>
        </w:rPr>
        <w:t>CONSIDERACIONES DE LA CORTE CONSTITUCIONAL</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b/>
          <w:i/>
          <w:sz w:val="28"/>
          <w:szCs w:val="28"/>
          <w:u w:color="000000"/>
          <w:lang w:val="es-MX" w:eastAsia="es-ES"/>
        </w:rPr>
      </w:pPr>
      <w:r w:rsidRPr="0078289D">
        <w:rPr>
          <w:b/>
          <w:i/>
          <w:sz w:val="28"/>
          <w:szCs w:val="28"/>
          <w:u w:color="000000"/>
          <w:lang w:val="es-MX"/>
        </w:rPr>
        <w:t>A</w:t>
      </w:r>
      <w:r w:rsidRPr="0078289D">
        <w:rPr>
          <w:b/>
          <w:i/>
          <w:sz w:val="28"/>
          <w:szCs w:val="28"/>
          <w:u w:color="000000"/>
          <w:lang w:val="es-MX" w:eastAsia="es-ES"/>
        </w:rPr>
        <w:t>sunto procesal previo: aptitud de la demanda</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b/>
          <w:sz w:val="28"/>
          <w:szCs w:val="28"/>
          <w:u w:color="000000"/>
          <w:lang w:val="es-MX" w:eastAsia="es-ES"/>
        </w:rPr>
      </w:pPr>
    </w:p>
    <w:p w:rsidR="00654D29" w:rsidRPr="0078289D" w:rsidRDefault="00A825B7"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 xml:space="preserve">1. </w:t>
      </w:r>
      <w:r w:rsidR="00654D29" w:rsidRPr="0078289D">
        <w:rPr>
          <w:sz w:val="28"/>
          <w:szCs w:val="28"/>
          <w:u w:color="000000"/>
          <w:lang w:val="es-MX" w:eastAsia="es-ES"/>
        </w:rPr>
        <w:t xml:space="preserve">En el presente acápite la Sala realizará un breve resumen de los cargos y </w:t>
      </w:r>
      <w:r w:rsidR="00DA58BF" w:rsidRPr="0078289D">
        <w:rPr>
          <w:sz w:val="28"/>
          <w:szCs w:val="28"/>
          <w:u w:color="000000"/>
          <w:lang w:val="es-MX" w:eastAsia="es-ES"/>
        </w:rPr>
        <w:t xml:space="preserve">de </w:t>
      </w:r>
      <w:r w:rsidR="00654D29" w:rsidRPr="0078289D">
        <w:rPr>
          <w:sz w:val="28"/>
          <w:szCs w:val="28"/>
          <w:u w:color="000000"/>
          <w:lang w:val="es-MX" w:eastAsia="es-ES"/>
        </w:rPr>
        <w:t>las intervenciones que corresponden a la primera sección de la demanda, en la medida en que algunos intervinientes plantean dudas sobre la aptitud de los cargos. Posteriormente la Sala explicará los requisitos de los cargos en las demandas de inconstitucionalidad</w:t>
      </w:r>
      <w:r w:rsidR="00654D29" w:rsidRPr="0078289D">
        <w:rPr>
          <w:sz w:val="28"/>
          <w:szCs w:val="28"/>
          <w:u w:color="000000"/>
          <w:lang w:val="uz-Cyrl-UZ" w:eastAsia="es-ES"/>
        </w:rPr>
        <w:t>, para luego analizar si en el presente caso la Corte debe pronunciarse de fondo sobre la constitucionalidad de la</w:t>
      </w:r>
      <w:r w:rsidR="00F13AC3" w:rsidRPr="0078289D">
        <w:rPr>
          <w:sz w:val="28"/>
          <w:szCs w:val="28"/>
          <w:u w:color="000000"/>
          <w:lang w:val="es-CO" w:eastAsia="es-ES"/>
        </w:rPr>
        <w:t>s</w:t>
      </w:r>
      <w:r w:rsidR="00654D29" w:rsidRPr="0078289D">
        <w:rPr>
          <w:sz w:val="28"/>
          <w:szCs w:val="28"/>
          <w:u w:color="000000"/>
          <w:lang w:val="uz-Cyrl-UZ" w:eastAsia="es-ES"/>
        </w:rPr>
        <w:t xml:space="preserve"> norma</w:t>
      </w:r>
      <w:r w:rsidR="00F13AC3" w:rsidRPr="0078289D">
        <w:rPr>
          <w:sz w:val="28"/>
          <w:szCs w:val="28"/>
          <w:u w:color="000000"/>
          <w:lang w:val="es-CO" w:eastAsia="es-ES"/>
        </w:rPr>
        <w:t>s</w:t>
      </w:r>
      <w:r w:rsidR="00654D29" w:rsidRPr="0078289D">
        <w:rPr>
          <w:sz w:val="28"/>
          <w:szCs w:val="28"/>
          <w:u w:color="000000"/>
          <w:lang w:val="uz-Cyrl-UZ" w:eastAsia="es-ES"/>
        </w:rPr>
        <w:t xml:space="preserve"> demandada</w:t>
      </w:r>
      <w:r w:rsidR="00F13AC3" w:rsidRPr="0078289D">
        <w:rPr>
          <w:sz w:val="28"/>
          <w:szCs w:val="28"/>
          <w:u w:color="000000"/>
          <w:lang w:val="es-CO" w:eastAsia="es-ES"/>
        </w:rPr>
        <w:t>s</w:t>
      </w:r>
      <w:r w:rsidR="00654D29" w:rsidRPr="0078289D">
        <w:rPr>
          <w:sz w:val="28"/>
          <w:szCs w:val="28"/>
          <w:u w:color="000000"/>
          <w:lang w:val="uz-Cyrl-UZ" w:eastAsia="es-ES"/>
        </w:rPr>
        <w:t>, o si debe proferirse una decisión inhibitoria, como lo solicitan algunos de los intervinientes dentro del proceso</w:t>
      </w:r>
      <w:r w:rsidR="00654D29" w:rsidRPr="0078289D">
        <w:rPr>
          <w:sz w:val="28"/>
          <w:szCs w:val="28"/>
          <w:u w:color="000000"/>
          <w:lang w:val="es-MX" w:eastAsia="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2. L</w:t>
      </w:r>
      <w:r w:rsidRPr="0078289D">
        <w:rPr>
          <w:rFonts w:eastAsia="Times New Roman"/>
          <w:sz w:val="28"/>
          <w:szCs w:val="28"/>
          <w:u w:color="000000"/>
          <w:lang w:val="es-MX" w:eastAsia="es-ES"/>
        </w:rPr>
        <w:t xml:space="preserve">os demandantes señalan que los artículos 108 de la Ley 1450 de 2011 y 20 de la Ley 1753 de 2015, vulneran lo dispuesto </w:t>
      </w:r>
      <w:r w:rsidRPr="0078289D">
        <w:rPr>
          <w:rFonts w:eastAsia="Times New Roman"/>
          <w:sz w:val="28"/>
          <w:szCs w:val="28"/>
          <w:u w:color="000000"/>
          <w:lang w:val="uz-Cyrl-UZ" w:eastAsia="es-ES"/>
        </w:rPr>
        <w:t xml:space="preserve">en </w:t>
      </w:r>
      <w:r w:rsidRPr="0078289D">
        <w:rPr>
          <w:rFonts w:eastAsia="Times New Roman"/>
          <w:sz w:val="28"/>
          <w:szCs w:val="28"/>
          <w:u w:color="000000"/>
          <w:lang w:val="es-CO" w:eastAsia="es-ES"/>
        </w:rPr>
        <w:t xml:space="preserve">los artículos 8, 79, 64, 65, 66, 287 y 288 superiores.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 xml:space="preserve">Para fundamentar su solicitud presentaron cuatro cargos en contra de los textos acusados. Por razones metodológicas, y para facilitar su análisis por parte de la Corporación, tales cargos serán presentados de la siguiente manera: i) </w:t>
      </w:r>
      <w:r w:rsidR="00CD6E3A" w:rsidRPr="0078289D">
        <w:rPr>
          <w:sz w:val="28"/>
          <w:szCs w:val="28"/>
          <w:u w:color="000000"/>
          <w:lang w:val="es-MX" w:eastAsia="es-ES"/>
        </w:rPr>
        <w:t xml:space="preserve">Se analizará inicialmente </w:t>
      </w:r>
      <w:r w:rsidRPr="0078289D">
        <w:rPr>
          <w:sz w:val="28"/>
          <w:szCs w:val="28"/>
          <w:u w:color="000000"/>
          <w:lang w:val="es-MX" w:eastAsia="es-ES"/>
        </w:rPr>
        <w:t xml:space="preserve">el primer cargo, que se refiere a </w:t>
      </w:r>
      <w:r w:rsidRPr="0078289D">
        <w:rPr>
          <w:bCs/>
          <w:sz w:val="28"/>
          <w:szCs w:val="28"/>
          <w:u w:color="000000"/>
          <w:lang w:val="es-ES" w:eastAsia="es-ES"/>
        </w:rPr>
        <w:t>los derechos a la alimentación, so</w:t>
      </w:r>
      <w:r w:rsidR="00606559" w:rsidRPr="0078289D">
        <w:rPr>
          <w:bCs/>
          <w:sz w:val="28"/>
          <w:szCs w:val="28"/>
          <w:u w:color="000000"/>
          <w:lang w:val="es-ES" w:eastAsia="es-ES"/>
        </w:rPr>
        <w:t>beranía y seguridad alimentaria.</w:t>
      </w:r>
      <w:r w:rsidRPr="0078289D">
        <w:rPr>
          <w:bCs/>
          <w:sz w:val="28"/>
          <w:szCs w:val="28"/>
          <w:u w:color="000000"/>
          <w:lang w:val="es-ES" w:eastAsia="es-ES"/>
        </w:rPr>
        <w:t xml:space="preserve"> </w:t>
      </w:r>
      <w:r w:rsidRPr="0078289D">
        <w:rPr>
          <w:sz w:val="28"/>
          <w:szCs w:val="28"/>
          <w:u w:color="000000"/>
          <w:lang w:val="es-MX" w:eastAsia="es-ES"/>
        </w:rPr>
        <w:t xml:space="preserve">ii) </w:t>
      </w:r>
      <w:r w:rsidR="00606559" w:rsidRPr="0078289D">
        <w:rPr>
          <w:sz w:val="28"/>
          <w:szCs w:val="28"/>
          <w:u w:color="000000"/>
          <w:lang w:val="es-MX" w:eastAsia="es-ES"/>
        </w:rPr>
        <w:t xml:space="preserve">Posteriormente se estudiarán </w:t>
      </w:r>
      <w:r w:rsidRPr="0078289D">
        <w:rPr>
          <w:sz w:val="28"/>
          <w:szCs w:val="28"/>
          <w:u w:color="000000"/>
          <w:lang w:val="es-MX" w:eastAsia="es-ES"/>
        </w:rPr>
        <w:t>los cargos segundo y tercero</w:t>
      </w:r>
      <w:r w:rsidR="00606559" w:rsidRPr="0078289D">
        <w:rPr>
          <w:sz w:val="28"/>
          <w:szCs w:val="28"/>
          <w:u w:color="000000"/>
          <w:lang w:val="es-MX" w:eastAsia="es-ES"/>
        </w:rPr>
        <w:t>, que</w:t>
      </w:r>
      <w:r w:rsidRPr="0078289D">
        <w:rPr>
          <w:sz w:val="28"/>
          <w:szCs w:val="28"/>
          <w:u w:color="000000"/>
          <w:lang w:val="es-MX" w:eastAsia="es-ES"/>
        </w:rPr>
        <w:t xml:space="preserve"> </w:t>
      </w:r>
      <w:r w:rsidR="00DC30F5" w:rsidRPr="0078289D">
        <w:rPr>
          <w:sz w:val="28"/>
          <w:szCs w:val="28"/>
          <w:u w:color="000000"/>
          <w:lang w:val="uz-Cyrl-UZ" w:eastAsia="es-ES"/>
        </w:rPr>
        <w:t xml:space="preserve">acusan una vulneración </w:t>
      </w:r>
      <w:r w:rsidR="00DC30F5" w:rsidRPr="0078289D">
        <w:rPr>
          <w:sz w:val="28"/>
          <w:szCs w:val="28"/>
          <w:u w:color="000000"/>
          <w:lang w:val="es-CO" w:eastAsia="es-ES"/>
        </w:rPr>
        <w:t xml:space="preserve">de </w:t>
      </w:r>
      <w:r w:rsidR="00DC30F5" w:rsidRPr="0078289D">
        <w:rPr>
          <w:bCs/>
          <w:sz w:val="28"/>
          <w:szCs w:val="28"/>
          <w:u w:color="000000"/>
          <w:lang w:val="es-ES" w:eastAsia="es-ES"/>
        </w:rPr>
        <w:t>los principios de autonomía de las entidades territoriales</w:t>
      </w:r>
      <w:r w:rsidR="00DC30F5" w:rsidRPr="0078289D">
        <w:rPr>
          <w:sz w:val="28"/>
          <w:szCs w:val="28"/>
          <w:u w:color="000000"/>
          <w:lang w:val="es-MX" w:eastAsia="es-ES"/>
        </w:rPr>
        <w:t>, y el derecho a una representación política efectiva</w:t>
      </w:r>
      <w:r w:rsidR="00606559" w:rsidRPr="0078289D">
        <w:rPr>
          <w:sz w:val="28"/>
          <w:szCs w:val="28"/>
          <w:u w:color="000000"/>
          <w:lang w:val="es-MX" w:eastAsia="es-ES"/>
        </w:rPr>
        <w:t xml:space="preserve"> en lo local.</w:t>
      </w:r>
      <w:r w:rsidR="00DC30F5" w:rsidRPr="0078289D">
        <w:rPr>
          <w:sz w:val="28"/>
          <w:szCs w:val="28"/>
          <w:u w:color="000000"/>
          <w:lang w:val="es-MX" w:eastAsia="es-ES"/>
        </w:rPr>
        <w:t xml:space="preserve"> </w:t>
      </w:r>
      <w:r w:rsidR="00606559" w:rsidRPr="0078289D">
        <w:rPr>
          <w:sz w:val="28"/>
          <w:szCs w:val="28"/>
          <w:u w:color="000000"/>
          <w:lang w:val="es-MX" w:eastAsia="es-ES"/>
        </w:rPr>
        <w:t>Estos dos cargos</w:t>
      </w:r>
      <w:r w:rsidR="00DC30F5" w:rsidRPr="0078289D">
        <w:rPr>
          <w:sz w:val="28"/>
          <w:szCs w:val="28"/>
          <w:u w:color="000000"/>
          <w:lang w:val="es-MX" w:eastAsia="es-ES"/>
        </w:rPr>
        <w:t xml:space="preserve"> </w:t>
      </w:r>
      <w:r w:rsidRPr="0078289D">
        <w:rPr>
          <w:sz w:val="28"/>
          <w:szCs w:val="28"/>
          <w:u w:color="000000"/>
          <w:lang w:val="es-MX" w:eastAsia="es-ES"/>
        </w:rPr>
        <w:t xml:space="preserve">se analizarán en conjunto, en la medida en que se relacionan </w:t>
      </w:r>
      <w:r w:rsidR="00FF09AB" w:rsidRPr="0078289D">
        <w:rPr>
          <w:sz w:val="28"/>
          <w:szCs w:val="28"/>
          <w:u w:color="000000"/>
          <w:lang w:val="es-MX" w:eastAsia="es-ES"/>
        </w:rPr>
        <w:t xml:space="preserve">estrechamente </w:t>
      </w:r>
      <w:r w:rsidRPr="0078289D">
        <w:rPr>
          <w:sz w:val="28"/>
          <w:szCs w:val="28"/>
          <w:u w:color="000000"/>
          <w:lang w:val="es-MX" w:eastAsia="es-ES"/>
        </w:rPr>
        <w:t xml:space="preserve">entre sí. </w:t>
      </w:r>
      <w:r w:rsidR="00FF09AB" w:rsidRPr="0078289D">
        <w:rPr>
          <w:sz w:val="28"/>
          <w:szCs w:val="28"/>
          <w:u w:color="000000"/>
          <w:lang w:val="es-MX" w:eastAsia="es-ES"/>
        </w:rPr>
        <w:t xml:space="preserve">iii) </w:t>
      </w:r>
      <w:r w:rsidR="004A73A4" w:rsidRPr="0078289D">
        <w:rPr>
          <w:sz w:val="28"/>
          <w:szCs w:val="28"/>
          <w:u w:color="000000"/>
          <w:lang w:val="es-MX" w:eastAsia="es-ES"/>
        </w:rPr>
        <w:t>Finalmente,</w:t>
      </w:r>
      <w:r w:rsidR="00FF09AB" w:rsidRPr="0078289D">
        <w:rPr>
          <w:sz w:val="28"/>
          <w:szCs w:val="28"/>
          <w:u w:color="000000"/>
          <w:lang w:val="es-MX" w:eastAsia="es-ES"/>
        </w:rPr>
        <w:t xml:space="preserve"> la Corte abordará </w:t>
      </w:r>
      <w:r w:rsidRPr="0078289D">
        <w:rPr>
          <w:sz w:val="28"/>
          <w:szCs w:val="28"/>
          <w:u w:color="000000"/>
          <w:lang w:val="es-MX" w:eastAsia="es-ES"/>
        </w:rPr>
        <w:t>el cuarto cargo</w:t>
      </w:r>
      <w:r w:rsidR="00FF09AB" w:rsidRPr="0078289D">
        <w:rPr>
          <w:sz w:val="28"/>
          <w:szCs w:val="28"/>
          <w:u w:color="000000"/>
          <w:lang w:val="es-MX" w:eastAsia="es-ES"/>
        </w:rPr>
        <w:t>, que</w:t>
      </w:r>
      <w:r w:rsidRPr="0078289D">
        <w:rPr>
          <w:sz w:val="28"/>
          <w:szCs w:val="28"/>
          <w:u w:color="000000"/>
          <w:lang w:val="es-MX" w:eastAsia="es-ES"/>
        </w:rPr>
        <w:t xml:space="preserve"> se relaciona con la presunta vulneración d</w:t>
      </w:r>
      <w:r w:rsidRPr="0078289D">
        <w:rPr>
          <w:rFonts w:eastAsia="Times New Roman"/>
          <w:bCs/>
          <w:sz w:val="28"/>
          <w:szCs w:val="28"/>
          <w:lang w:val="es-ES" w:eastAsia="es-ES"/>
        </w:rPr>
        <w:t xml:space="preserve">el derecho al medio ambiente </w:t>
      </w:r>
      <w:r w:rsidR="00400CAE" w:rsidRPr="0078289D">
        <w:rPr>
          <w:rFonts w:eastAsia="Times New Roman"/>
          <w:bCs/>
          <w:sz w:val="28"/>
          <w:szCs w:val="28"/>
          <w:lang w:val="es-ES" w:eastAsia="es-ES"/>
        </w:rPr>
        <w:t>sano, y con la protección de la riqueza natural</w:t>
      </w:r>
      <w:r w:rsidRPr="0078289D">
        <w:rPr>
          <w:rFonts w:eastAsia="Times New Roman"/>
          <w:bCs/>
          <w:sz w:val="28"/>
          <w:szCs w:val="28"/>
          <w:lang w:val="es-ES" w:eastAsia="es-ES"/>
        </w:rPr>
        <w:t xml:space="preserve"> a cargo del Estado.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 xml:space="preserve">3. </w:t>
      </w:r>
      <w:r w:rsidRPr="0078289D">
        <w:rPr>
          <w:rFonts w:eastAsia="Times New Roman"/>
          <w:bCs/>
          <w:sz w:val="28"/>
          <w:szCs w:val="28"/>
          <w:lang w:val="es-ES" w:eastAsia="es-ES"/>
        </w:rPr>
        <w:t xml:space="preserve">En el primer cargo, los demandantes </w:t>
      </w:r>
      <w:r w:rsidR="00705DA5" w:rsidRPr="0078289D">
        <w:rPr>
          <w:rFonts w:eastAsia="Times New Roman"/>
          <w:bCs/>
          <w:sz w:val="28"/>
          <w:szCs w:val="28"/>
          <w:lang w:val="es-ES" w:eastAsia="es-ES"/>
        </w:rPr>
        <w:t>parten del supuesto según el cual</w:t>
      </w:r>
      <w:r w:rsidRPr="0078289D">
        <w:rPr>
          <w:rFonts w:eastAsia="Times New Roman"/>
          <w:bCs/>
          <w:sz w:val="28"/>
          <w:szCs w:val="28"/>
          <w:lang w:val="es-ES" w:eastAsia="es-ES"/>
        </w:rPr>
        <w:t xml:space="preserve"> la delimitación y reserva de las AEM </w:t>
      </w:r>
      <w:r w:rsidR="00705DA5" w:rsidRPr="0078289D">
        <w:rPr>
          <w:rFonts w:eastAsia="Times New Roman"/>
          <w:bCs/>
          <w:sz w:val="28"/>
          <w:szCs w:val="28"/>
          <w:lang w:val="es-ES" w:eastAsia="es-ES"/>
        </w:rPr>
        <w:t>conllevan una</w:t>
      </w:r>
      <w:r w:rsidRPr="0078289D">
        <w:rPr>
          <w:rFonts w:eastAsia="Times New Roman"/>
          <w:bCs/>
          <w:sz w:val="28"/>
          <w:szCs w:val="28"/>
          <w:lang w:val="es-ES" w:eastAsia="es-ES"/>
        </w:rPr>
        <w:t xml:space="preserve"> segregación de á</w:t>
      </w:r>
      <w:r w:rsidR="00395569" w:rsidRPr="0078289D">
        <w:rPr>
          <w:rFonts w:eastAsia="Times New Roman"/>
          <w:bCs/>
          <w:sz w:val="28"/>
          <w:szCs w:val="28"/>
          <w:lang w:val="es-ES" w:eastAsia="es-ES"/>
        </w:rPr>
        <w:t>reas exclusivas para la minería.</w:t>
      </w:r>
      <w:r w:rsidRPr="0078289D">
        <w:rPr>
          <w:rFonts w:eastAsia="Times New Roman"/>
          <w:bCs/>
          <w:sz w:val="28"/>
          <w:szCs w:val="28"/>
          <w:lang w:val="es-ES" w:eastAsia="es-ES"/>
        </w:rPr>
        <w:t xml:space="preserve"> </w:t>
      </w:r>
      <w:r w:rsidR="00395569" w:rsidRPr="0078289D">
        <w:rPr>
          <w:rFonts w:eastAsia="Times New Roman"/>
          <w:bCs/>
          <w:sz w:val="28"/>
          <w:szCs w:val="28"/>
          <w:lang w:val="es-ES" w:eastAsia="es-ES"/>
        </w:rPr>
        <w:t>C</w:t>
      </w:r>
      <w:r w:rsidRPr="0078289D">
        <w:rPr>
          <w:rFonts w:eastAsia="Times New Roman"/>
          <w:bCs/>
          <w:sz w:val="28"/>
          <w:szCs w:val="28"/>
          <w:lang w:val="es-ES" w:eastAsia="es-ES"/>
        </w:rPr>
        <w:t xml:space="preserve">on ello se le </w:t>
      </w:r>
      <w:r w:rsidR="00400CAE" w:rsidRPr="0078289D">
        <w:rPr>
          <w:rFonts w:eastAsia="Times New Roman"/>
          <w:bCs/>
          <w:sz w:val="28"/>
          <w:szCs w:val="28"/>
          <w:lang w:val="es-ES" w:eastAsia="es-ES"/>
        </w:rPr>
        <w:t xml:space="preserve">da </w:t>
      </w:r>
      <w:r w:rsidRPr="0078289D">
        <w:rPr>
          <w:rFonts w:eastAsia="Times New Roman"/>
          <w:bCs/>
          <w:sz w:val="28"/>
          <w:szCs w:val="28"/>
          <w:lang w:val="es-ES" w:eastAsia="es-ES"/>
        </w:rPr>
        <w:t>una prioridad absoluta a esta actividad, por encima de otro tipo de actividades rurales, especialmente las agrícolas.</w:t>
      </w:r>
      <w:r w:rsidR="00395569" w:rsidRPr="0078289D">
        <w:rPr>
          <w:sz w:val="28"/>
          <w:szCs w:val="28"/>
          <w:u w:color="000000"/>
          <w:lang w:val="es-MX" w:eastAsia="es-ES"/>
        </w:rPr>
        <w:t xml:space="preserve"> </w:t>
      </w:r>
      <w:r w:rsidRPr="0078289D">
        <w:rPr>
          <w:sz w:val="28"/>
          <w:szCs w:val="28"/>
          <w:u w:color="000000"/>
          <w:lang w:val="es-MX" w:eastAsia="es-ES"/>
        </w:rPr>
        <w:t xml:space="preserve">A juicio de los demandantes, las normas acusadas impactan </w:t>
      </w:r>
      <w:r w:rsidRPr="0078289D">
        <w:rPr>
          <w:sz w:val="28"/>
          <w:szCs w:val="28"/>
          <w:u w:color="000000"/>
          <w:lang w:val="es-MX" w:eastAsia="es-ES"/>
        </w:rPr>
        <w:lastRenderedPageBreak/>
        <w:t xml:space="preserve">negativamente la situación de los pobladores rurales y la producción de alimentos.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En segundo lugar, explican que las normas acusadas vulneran el deber de promover el acceso progresivo a la tierra, porque permiten</w:t>
      </w:r>
      <w:r w:rsidR="009304F2" w:rsidRPr="0078289D">
        <w:rPr>
          <w:sz w:val="28"/>
          <w:szCs w:val="28"/>
          <w:u w:color="000000"/>
          <w:lang w:val="es-MX" w:eastAsia="es-ES"/>
        </w:rPr>
        <w:t xml:space="preserve"> </w:t>
      </w:r>
      <w:r w:rsidRPr="0078289D">
        <w:rPr>
          <w:sz w:val="28"/>
          <w:szCs w:val="28"/>
          <w:u w:color="000000"/>
          <w:lang w:val="es-MX" w:eastAsia="es-ES"/>
        </w:rPr>
        <w:t>la expropiación de bienes adjudicados a campesinos</w:t>
      </w:r>
      <w:r w:rsidR="004B097B" w:rsidRPr="0078289D">
        <w:rPr>
          <w:sz w:val="28"/>
          <w:szCs w:val="28"/>
          <w:u w:color="000000"/>
          <w:lang w:val="es-MX" w:eastAsia="es-ES"/>
        </w:rPr>
        <w:t>,</w:t>
      </w:r>
      <w:r w:rsidRPr="0078289D">
        <w:rPr>
          <w:sz w:val="28"/>
          <w:szCs w:val="28"/>
          <w:u w:color="000000"/>
          <w:lang w:val="es-MX" w:eastAsia="es-ES"/>
        </w:rPr>
        <w:t xml:space="preserve"> e impiden que el Estado </w:t>
      </w:r>
      <w:r w:rsidR="009304F2" w:rsidRPr="0078289D">
        <w:rPr>
          <w:sz w:val="28"/>
          <w:szCs w:val="28"/>
          <w:u w:color="000000"/>
          <w:lang w:val="es-MX" w:eastAsia="es-ES"/>
        </w:rPr>
        <w:t xml:space="preserve">les </w:t>
      </w:r>
      <w:r w:rsidRPr="0078289D">
        <w:rPr>
          <w:sz w:val="28"/>
          <w:szCs w:val="28"/>
          <w:u w:color="000000"/>
          <w:lang w:val="es-MX" w:eastAsia="es-ES"/>
        </w:rPr>
        <w:t xml:space="preserve">adjudique tierras.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Finalmente, vulneran los derechos a la alimentación, seguridad y soberanía alimentarias</w:t>
      </w:r>
      <w:r w:rsidR="008C55EE" w:rsidRPr="0078289D">
        <w:rPr>
          <w:sz w:val="28"/>
          <w:szCs w:val="28"/>
          <w:u w:color="000000"/>
          <w:lang w:val="es-MX" w:eastAsia="es-ES"/>
        </w:rPr>
        <w:t>, pues impiden el acceso a la alimentación</w:t>
      </w:r>
      <w:r w:rsidRPr="0078289D">
        <w:rPr>
          <w:sz w:val="28"/>
          <w:szCs w:val="28"/>
          <w:u w:color="000000"/>
          <w:lang w:val="es-MX" w:eastAsia="es-ES"/>
        </w:rPr>
        <w:t xml:space="preserve"> con el cambio de vocación de la tier</w:t>
      </w:r>
      <w:r w:rsidR="008C55EE" w:rsidRPr="0078289D">
        <w:rPr>
          <w:sz w:val="28"/>
          <w:szCs w:val="28"/>
          <w:u w:color="000000"/>
          <w:lang w:val="es-MX" w:eastAsia="es-ES"/>
        </w:rPr>
        <w:t xml:space="preserve">ra para dedicarlo a la minería, especialmente </w:t>
      </w:r>
      <w:r w:rsidRPr="0078289D">
        <w:rPr>
          <w:sz w:val="28"/>
          <w:szCs w:val="28"/>
          <w:u w:color="000000"/>
          <w:lang w:val="es-MX" w:eastAsia="es-ES"/>
        </w:rPr>
        <w:t xml:space="preserve">de las comunidades cuyo único medio de sustento es la agricultura.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b/>
          <w:sz w:val="28"/>
          <w:szCs w:val="28"/>
          <w:u w:color="000000"/>
          <w:lang w:val="es-ES_tradnl" w:eastAsia="es-ES"/>
        </w:rPr>
      </w:pPr>
      <w:r w:rsidRPr="0078289D">
        <w:rPr>
          <w:sz w:val="28"/>
          <w:szCs w:val="28"/>
          <w:u w:color="000000"/>
          <w:lang w:val="es-MX" w:eastAsia="es-ES"/>
        </w:rPr>
        <w:t xml:space="preserve">4. En el segundo y tercer cargo los actores afirman que </w:t>
      </w:r>
      <w:r w:rsidRPr="0078289D">
        <w:rPr>
          <w:sz w:val="28"/>
          <w:szCs w:val="28"/>
          <w:u w:color="000000"/>
          <w:lang w:val="es-ES_tradnl" w:eastAsia="es-ES"/>
        </w:rPr>
        <w:t xml:space="preserve">la creación y ampliación de las áreas de reserva minera desconocen los principios de autonomía territorial, coordinación, concurrencia y subsidiariedad, e impiden a los municipios regular los usos del suelo y ordenar el territorio, por cuanto las normas facultan únicamente a entidades del orden nacional, a realizar la delimitación de estas áreas. </w:t>
      </w:r>
    </w:p>
    <w:p w:rsidR="00654D29" w:rsidRPr="0078289D" w:rsidRDefault="00654D29" w:rsidP="0078289D">
      <w:pPr>
        <w:pBdr>
          <w:top w:val="none" w:sz="0" w:space="0" w:color="auto"/>
          <w:left w:val="none" w:sz="0" w:space="0" w:color="auto"/>
          <w:bottom w:val="none" w:sz="0" w:space="0" w:color="auto"/>
          <w:right w:val="none" w:sz="0" w:space="0" w:color="auto"/>
        </w:pBdr>
        <w:jc w:val="both"/>
        <w:rPr>
          <w:sz w:val="28"/>
          <w:szCs w:val="28"/>
          <w:u w:color="000000"/>
          <w:lang w:val="es-ES_tradnl" w:eastAsia="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sz w:val="28"/>
          <w:szCs w:val="28"/>
          <w:u w:color="000000"/>
          <w:lang w:val="es-ES_tradnl" w:eastAsia="es-ES"/>
        </w:rPr>
      </w:pPr>
      <w:r w:rsidRPr="0078289D">
        <w:rPr>
          <w:sz w:val="28"/>
          <w:szCs w:val="28"/>
          <w:u w:color="000000"/>
          <w:lang w:val="es-ES_tradnl" w:eastAsia="es-ES"/>
        </w:rPr>
        <w:t>Además, indican que la creación y ampliación de las áreas de reserva minera viola</w:t>
      </w:r>
      <w:r w:rsidR="00D5684A" w:rsidRPr="0078289D">
        <w:rPr>
          <w:sz w:val="28"/>
          <w:szCs w:val="28"/>
          <w:u w:color="000000"/>
          <w:lang w:val="es-ES_tradnl" w:eastAsia="es-ES"/>
        </w:rPr>
        <w:t>n</w:t>
      </w:r>
      <w:r w:rsidRPr="0078289D">
        <w:rPr>
          <w:sz w:val="28"/>
          <w:szCs w:val="28"/>
          <w:u w:color="000000"/>
          <w:lang w:val="es-ES_tradnl" w:eastAsia="es-ES"/>
        </w:rPr>
        <w:t xml:space="preserve"> los principios de democracia representativa y participativa y el derecho a una representación política efectiva</w:t>
      </w:r>
      <w:r w:rsidR="00D5684A" w:rsidRPr="0078289D">
        <w:rPr>
          <w:sz w:val="28"/>
          <w:szCs w:val="28"/>
          <w:u w:color="000000"/>
          <w:lang w:val="es-ES_tradnl" w:eastAsia="es-ES"/>
        </w:rPr>
        <w:t>, pues</w:t>
      </w:r>
      <w:r w:rsidRPr="0078289D">
        <w:rPr>
          <w:sz w:val="28"/>
          <w:szCs w:val="28"/>
          <w:u w:color="000000"/>
          <w:lang w:val="es-ES_tradnl" w:eastAsia="es-ES"/>
        </w:rPr>
        <w:t xml:space="preserve"> impiden a los ciudadanos participar en las decisiones en sus territorios.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Cs/>
          <w:sz w:val="28"/>
          <w:szCs w:val="28"/>
          <w:lang w:val="es-ES" w:eastAsia="es-ES"/>
        </w:rPr>
      </w:pPr>
      <w:r w:rsidRPr="0078289D">
        <w:rPr>
          <w:rFonts w:eastAsia="Times New Roman"/>
          <w:bCs/>
          <w:sz w:val="28"/>
          <w:szCs w:val="28"/>
          <w:lang w:val="es-ES" w:eastAsia="es-ES"/>
        </w:rPr>
        <w:t>5. Finalmente, en el cuarto cargo, advierten que la creación y ampliación de las AEM vulnera</w:t>
      </w:r>
      <w:r w:rsidR="00BF44CD" w:rsidRPr="0078289D">
        <w:rPr>
          <w:rFonts w:eastAsia="Times New Roman"/>
          <w:bCs/>
          <w:sz w:val="28"/>
          <w:szCs w:val="28"/>
          <w:lang w:val="es-ES" w:eastAsia="es-ES"/>
        </w:rPr>
        <w:t>n</w:t>
      </w:r>
      <w:r w:rsidRPr="0078289D">
        <w:rPr>
          <w:rFonts w:eastAsia="Times New Roman"/>
          <w:bCs/>
          <w:sz w:val="28"/>
          <w:szCs w:val="28"/>
          <w:lang w:val="es-ES" w:eastAsia="es-ES"/>
        </w:rPr>
        <w:t xml:space="preserve"> el derecho al medio ambiente sano al destinar áreas para la minería, únicamente con base en estudios geológico</w:t>
      </w:r>
      <w:r w:rsidR="00BF44CD" w:rsidRPr="0078289D">
        <w:rPr>
          <w:rFonts w:eastAsia="Times New Roman"/>
          <w:bCs/>
          <w:sz w:val="28"/>
          <w:szCs w:val="28"/>
          <w:lang w:val="es-ES" w:eastAsia="es-ES"/>
        </w:rPr>
        <w:t>s, sin ninguna</w:t>
      </w:r>
      <w:r w:rsidRPr="0078289D">
        <w:rPr>
          <w:rFonts w:eastAsia="Times New Roman"/>
          <w:bCs/>
          <w:sz w:val="28"/>
          <w:szCs w:val="28"/>
          <w:lang w:val="es-ES" w:eastAsia="es-ES"/>
        </w:rPr>
        <w:t xml:space="preserve"> ponderación frente a otros bienes jurídicos protegidos constitucionalmente.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Cs/>
          <w:sz w:val="28"/>
          <w:szCs w:val="28"/>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r w:rsidRPr="0078289D">
        <w:rPr>
          <w:rFonts w:eastAsia="Times New Roman"/>
          <w:bCs/>
          <w:sz w:val="28"/>
          <w:szCs w:val="28"/>
          <w:lang w:val="es-ES" w:eastAsia="es-ES"/>
        </w:rPr>
        <w:t xml:space="preserve">6. La Agencia Nacional Minera y el Departamento Nacional de Planeación solicitaron a la Corte que se declare inhibida por ineptitud sustancial de la demanda, puesto que los cargos presentados por los accionantes carecen de los requisitos de certeza, especificidad y pertinencia. </w:t>
      </w: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p>
    <w:p w:rsidR="00654D29" w:rsidRPr="0078289D" w:rsidRDefault="00EA3AB7"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r w:rsidRPr="0078289D">
        <w:rPr>
          <w:rFonts w:eastAsia="Times New Roman"/>
          <w:bCs/>
          <w:sz w:val="28"/>
          <w:szCs w:val="28"/>
          <w:lang w:val="es-ES" w:eastAsia="es-ES"/>
        </w:rPr>
        <w:t>E</w:t>
      </w:r>
      <w:r w:rsidR="00654D29" w:rsidRPr="0078289D">
        <w:rPr>
          <w:rFonts w:eastAsia="Times New Roman"/>
          <w:bCs/>
          <w:sz w:val="28"/>
          <w:szCs w:val="28"/>
          <w:lang w:val="es-ES" w:eastAsia="es-ES"/>
        </w:rPr>
        <w:t>l Procurador General solicitó que el texto acusado sea declarado exequible</w:t>
      </w:r>
      <w:r w:rsidRPr="0078289D">
        <w:rPr>
          <w:rFonts w:eastAsia="Times New Roman"/>
          <w:bCs/>
          <w:sz w:val="28"/>
          <w:szCs w:val="28"/>
          <w:lang w:val="es-ES" w:eastAsia="es-ES"/>
        </w:rPr>
        <w:t>, pues</w:t>
      </w:r>
      <w:r w:rsidR="00654D29" w:rsidRPr="0078289D">
        <w:rPr>
          <w:rFonts w:eastAsia="Times New Roman"/>
          <w:bCs/>
          <w:sz w:val="28"/>
          <w:szCs w:val="28"/>
          <w:lang w:val="es-ES" w:eastAsia="es-ES"/>
        </w:rPr>
        <w:t xml:space="preserve"> no vulnera los derechos fund</w:t>
      </w:r>
      <w:r w:rsidRPr="0078289D">
        <w:rPr>
          <w:rFonts w:eastAsia="Times New Roman"/>
          <w:bCs/>
          <w:sz w:val="28"/>
          <w:szCs w:val="28"/>
          <w:lang w:val="es-ES" w:eastAsia="es-ES"/>
        </w:rPr>
        <w:t>amentales de acceso a la tierra</w:t>
      </w:r>
      <w:r w:rsidR="00654D29" w:rsidRPr="0078289D">
        <w:rPr>
          <w:rFonts w:eastAsia="Times New Roman"/>
          <w:bCs/>
          <w:sz w:val="28"/>
          <w:szCs w:val="28"/>
          <w:lang w:val="es-ES" w:eastAsia="es-ES"/>
        </w:rPr>
        <w:t xml:space="preserve"> ni a la seguridad y soberanía alimentaria, siempre y cuando se establezcan medidas de protección  a la población campesina que pueda verse afectada.</w:t>
      </w: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
          <w:bCs/>
          <w:i/>
          <w:sz w:val="28"/>
          <w:szCs w:val="28"/>
          <w:lang w:val="es-ES" w:eastAsia="es-ES"/>
        </w:rPr>
      </w:pPr>
      <w:r w:rsidRPr="0078289D">
        <w:rPr>
          <w:rFonts w:eastAsia="Times New Roman"/>
          <w:b/>
          <w:bCs/>
          <w:i/>
          <w:sz w:val="28"/>
          <w:szCs w:val="28"/>
          <w:lang w:val="es-ES" w:eastAsia="es-ES"/>
        </w:rPr>
        <w:t>Vigencia de la norma demandada- artículo 108 de la Ley 1450 de 2011</w:t>
      </w: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
          <w:bCs/>
          <w:sz w:val="28"/>
          <w:szCs w:val="28"/>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r w:rsidRPr="0078289D">
        <w:rPr>
          <w:rFonts w:eastAsia="Times New Roman"/>
          <w:bCs/>
          <w:sz w:val="28"/>
          <w:szCs w:val="28"/>
          <w:lang w:val="es-ES" w:eastAsia="es-ES"/>
        </w:rPr>
        <w:t xml:space="preserve">7. La Sala debe determinar si esta norma se encuentra vigente, pues se trata de una disposición que hace parte del Plan Nacional de Desarrollo correspondiente al gobierno anterior. En caso de hallarse derogada o haber sido declarada inconstitucional previamente, en principio, ello derivaría a la carencia actual de objeto sobre el cual pronunciarse, salvo en caso de demostrarse que aún podría hallarse produciendo efectos jurídicos. </w:t>
      </w: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r w:rsidRPr="0078289D">
        <w:rPr>
          <w:rFonts w:eastAsia="Times New Roman"/>
          <w:bCs/>
          <w:sz w:val="28"/>
          <w:szCs w:val="28"/>
          <w:lang w:val="es-ES" w:eastAsia="es-ES"/>
        </w:rPr>
        <w:t>8. Según lo establece el parágrafo 1º del artículo 20 de la Ley 1753 de 2015</w:t>
      </w:r>
      <w:r w:rsidRPr="0078289D">
        <w:rPr>
          <w:rFonts w:eastAsia="Times New Roman"/>
          <w:bCs/>
          <w:sz w:val="28"/>
          <w:szCs w:val="28"/>
          <w:vertAlign w:val="superscript"/>
          <w:lang w:val="es-ES" w:eastAsia="es-ES"/>
        </w:rPr>
        <w:footnoteReference w:id="19"/>
      </w:r>
      <w:r w:rsidRPr="0078289D">
        <w:rPr>
          <w:rFonts w:eastAsia="Times New Roman"/>
          <w:bCs/>
          <w:sz w:val="28"/>
          <w:szCs w:val="28"/>
          <w:lang w:val="es-ES" w:eastAsia="es-ES"/>
        </w:rPr>
        <w:t xml:space="preserve"> por medio de la cual se expide el actual Plan </w:t>
      </w:r>
      <w:r w:rsidR="00A65FA8" w:rsidRPr="0078289D">
        <w:rPr>
          <w:rFonts w:eastAsia="Times New Roman"/>
          <w:bCs/>
          <w:sz w:val="28"/>
          <w:szCs w:val="28"/>
          <w:lang w:val="es-ES" w:eastAsia="es-ES"/>
        </w:rPr>
        <w:t>N</w:t>
      </w:r>
      <w:r w:rsidRPr="0078289D">
        <w:rPr>
          <w:rFonts w:eastAsia="Times New Roman"/>
          <w:bCs/>
          <w:sz w:val="28"/>
          <w:szCs w:val="28"/>
          <w:lang w:val="es-ES" w:eastAsia="es-ES"/>
        </w:rPr>
        <w:t xml:space="preserve">acional de Desarrollo, el artículo 108 de la Ley 1450 de 2011 no está derogado. Específicamente, el referido parágrafo indica que las áreas estratégicas mineras que hayan sido creadas con base en el artículo 108 de la Ley 1450 de 2011 se mantendrán, pero agrega que se sujetarán al régimen previsto en </w:t>
      </w:r>
      <w:r w:rsidR="002B79D8" w:rsidRPr="0078289D">
        <w:rPr>
          <w:rFonts w:eastAsia="Times New Roman"/>
          <w:bCs/>
          <w:sz w:val="28"/>
          <w:szCs w:val="28"/>
          <w:lang w:val="es-ES" w:eastAsia="es-ES"/>
        </w:rPr>
        <w:t xml:space="preserve">el nuevo </w:t>
      </w:r>
      <w:r w:rsidRPr="0078289D">
        <w:rPr>
          <w:rFonts w:eastAsia="Times New Roman"/>
          <w:bCs/>
          <w:sz w:val="28"/>
          <w:szCs w:val="28"/>
          <w:lang w:val="es-ES" w:eastAsia="es-ES"/>
        </w:rPr>
        <w:t xml:space="preserve">artículo. En ese sentido, </w:t>
      </w:r>
      <w:r w:rsidR="00E50925" w:rsidRPr="0078289D">
        <w:rPr>
          <w:rFonts w:eastAsia="Times New Roman"/>
          <w:bCs/>
          <w:sz w:val="28"/>
          <w:szCs w:val="28"/>
          <w:lang w:val="es-ES" w:eastAsia="es-ES"/>
        </w:rPr>
        <w:t xml:space="preserve">en virtud del parágrafo 1º del artículo 20 de la Ley 1753 de 2015 </w:t>
      </w:r>
      <w:r w:rsidRPr="0078289D">
        <w:rPr>
          <w:rFonts w:eastAsia="Times New Roman"/>
          <w:bCs/>
          <w:sz w:val="28"/>
          <w:szCs w:val="28"/>
          <w:lang w:val="es-ES" w:eastAsia="es-ES"/>
        </w:rPr>
        <w:t xml:space="preserve">el artículo 108 se encuentra vigente, en </w:t>
      </w:r>
      <w:r w:rsidR="00BF135A" w:rsidRPr="0078289D">
        <w:rPr>
          <w:rFonts w:eastAsia="Times New Roman"/>
          <w:bCs/>
          <w:sz w:val="28"/>
          <w:szCs w:val="28"/>
          <w:lang w:val="es-ES" w:eastAsia="es-ES"/>
        </w:rPr>
        <w:t xml:space="preserve">cuanto </w:t>
      </w:r>
      <w:r w:rsidR="00E50925" w:rsidRPr="0078289D">
        <w:rPr>
          <w:rFonts w:eastAsia="Times New Roman"/>
          <w:bCs/>
          <w:sz w:val="28"/>
          <w:szCs w:val="28"/>
          <w:lang w:val="es-ES" w:eastAsia="es-ES"/>
        </w:rPr>
        <w:t xml:space="preserve">aquel parágrafo </w:t>
      </w:r>
      <w:r w:rsidR="00160D2B" w:rsidRPr="0078289D">
        <w:rPr>
          <w:rFonts w:eastAsia="Times New Roman"/>
          <w:bCs/>
          <w:sz w:val="28"/>
          <w:szCs w:val="28"/>
          <w:lang w:val="es-ES" w:eastAsia="es-ES"/>
        </w:rPr>
        <w:t>mantiene las Áreas de Reserva Estratégica creadas bajo</w:t>
      </w:r>
      <w:r w:rsidRPr="0078289D">
        <w:rPr>
          <w:rFonts w:eastAsia="Times New Roman"/>
          <w:bCs/>
          <w:sz w:val="28"/>
          <w:szCs w:val="28"/>
          <w:lang w:val="es-ES" w:eastAsia="es-ES"/>
        </w:rPr>
        <w:t xml:space="preserve"> </w:t>
      </w:r>
      <w:r w:rsidR="00BF135A" w:rsidRPr="0078289D">
        <w:rPr>
          <w:rFonts w:eastAsia="Times New Roman"/>
          <w:bCs/>
          <w:sz w:val="28"/>
          <w:szCs w:val="28"/>
          <w:lang w:val="es-ES" w:eastAsia="es-ES"/>
        </w:rPr>
        <w:t>el</w:t>
      </w:r>
      <w:r w:rsidR="00AC4AD1" w:rsidRPr="0078289D">
        <w:rPr>
          <w:rFonts w:eastAsia="Times New Roman"/>
          <w:bCs/>
          <w:sz w:val="28"/>
          <w:szCs w:val="28"/>
          <w:lang w:val="es-ES" w:eastAsia="es-ES"/>
        </w:rPr>
        <w:t xml:space="preserve"> artículo 108 del Plan anterior.</w:t>
      </w:r>
      <w:r w:rsidR="00BF135A" w:rsidRPr="0078289D">
        <w:rPr>
          <w:rFonts w:eastAsia="Times New Roman"/>
          <w:bCs/>
          <w:sz w:val="28"/>
          <w:szCs w:val="28"/>
          <w:lang w:val="es-ES" w:eastAsia="es-ES"/>
        </w:rPr>
        <w:t xml:space="preserve"> </w:t>
      </w:r>
      <w:r w:rsidR="00AC4AD1" w:rsidRPr="0078289D">
        <w:rPr>
          <w:rFonts w:eastAsia="Times New Roman"/>
          <w:bCs/>
          <w:sz w:val="28"/>
          <w:szCs w:val="28"/>
          <w:lang w:val="es-ES" w:eastAsia="es-ES"/>
        </w:rPr>
        <w:t>Sin embargo,</w:t>
      </w:r>
      <w:r w:rsidRPr="0078289D">
        <w:rPr>
          <w:rFonts w:eastAsia="Times New Roman"/>
          <w:bCs/>
          <w:sz w:val="28"/>
          <w:szCs w:val="28"/>
          <w:lang w:val="es-ES" w:eastAsia="es-ES"/>
        </w:rPr>
        <w:t xml:space="preserve"> </w:t>
      </w:r>
      <w:r w:rsidR="002A11B5" w:rsidRPr="0078289D">
        <w:rPr>
          <w:rFonts w:eastAsia="Times New Roman"/>
          <w:bCs/>
          <w:sz w:val="28"/>
          <w:szCs w:val="28"/>
          <w:lang w:val="es-ES" w:eastAsia="es-ES"/>
        </w:rPr>
        <w:t xml:space="preserve">aparte de ello </w:t>
      </w:r>
      <w:r w:rsidR="00AC4AD1" w:rsidRPr="0078289D">
        <w:rPr>
          <w:rFonts w:eastAsia="Times New Roman"/>
          <w:bCs/>
          <w:sz w:val="28"/>
          <w:szCs w:val="28"/>
          <w:lang w:val="es-ES" w:eastAsia="es-ES"/>
        </w:rPr>
        <w:t xml:space="preserve">es claro que el mencionado artículo 108 </w:t>
      </w:r>
      <w:r w:rsidR="002A11B5" w:rsidRPr="0078289D">
        <w:rPr>
          <w:rFonts w:eastAsia="Times New Roman"/>
          <w:bCs/>
          <w:sz w:val="28"/>
          <w:szCs w:val="28"/>
          <w:lang w:val="es-ES" w:eastAsia="es-ES"/>
        </w:rPr>
        <w:t xml:space="preserve">no está </w:t>
      </w:r>
      <w:r w:rsidRPr="0078289D">
        <w:rPr>
          <w:rFonts w:eastAsia="Times New Roman"/>
          <w:bCs/>
          <w:sz w:val="28"/>
          <w:szCs w:val="28"/>
          <w:lang w:val="es-ES" w:eastAsia="es-ES"/>
        </w:rPr>
        <w:t xml:space="preserve">produciendo </w:t>
      </w:r>
      <w:r w:rsidR="002A11B5" w:rsidRPr="0078289D">
        <w:rPr>
          <w:rFonts w:eastAsia="Times New Roman"/>
          <w:bCs/>
          <w:sz w:val="28"/>
          <w:szCs w:val="28"/>
          <w:lang w:val="es-ES" w:eastAsia="es-ES"/>
        </w:rPr>
        <w:t xml:space="preserve">más </w:t>
      </w:r>
      <w:r w:rsidRPr="0078289D">
        <w:rPr>
          <w:rFonts w:eastAsia="Times New Roman"/>
          <w:bCs/>
          <w:sz w:val="28"/>
          <w:szCs w:val="28"/>
          <w:lang w:val="es-ES" w:eastAsia="es-ES"/>
        </w:rPr>
        <w:t xml:space="preserve">efectos, ya que </w:t>
      </w:r>
      <w:r w:rsidR="00AC4AD1" w:rsidRPr="0078289D">
        <w:rPr>
          <w:rFonts w:eastAsia="Times New Roman"/>
          <w:bCs/>
          <w:sz w:val="28"/>
          <w:szCs w:val="28"/>
          <w:lang w:val="es-ES" w:eastAsia="es-ES"/>
        </w:rPr>
        <w:t xml:space="preserve">conforme al parágrafo del artículo 20 de la Ley 1753 de 2015 </w:t>
      </w:r>
      <w:r w:rsidRPr="0078289D">
        <w:rPr>
          <w:rFonts w:eastAsia="Times New Roman"/>
          <w:bCs/>
          <w:sz w:val="28"/>
          <w:szCs w:val="28"/>
          <w:lang w:val="es-ES" w:eastAsia="es-ES"/>
        </w:rPr>
        <w:t xml:space="preserve">dichas áreas deberán sujetarse al régimen previsto en el artículo 20 de la Ley 1753 de 2015. </w:t>
      </w:r>
      <w:r w:rsidR="00BA145A" w:rsidRPr="0078289D">
        <w:rPr>
          <w:rFonts w:eastAsia="Times New Roman"/>
          <w:bCs/>
          <w:sz w:val="28"/>
          <w:szCs w:val="28"/>
          <w:lang w:val="es-ES" w:eastAsia="es-ES"/>
        </w:rPr>
        <w:t xml:space="preserve">En otras palabras, </w:t>
      </w:r>
      <w:r w:rsidR="00A42C06" w:rsidRPr="0078289D">
        <w:rPr>
          <w:rFonts w:eastAsia="Times New Roman"/>
          <w:bCs/>
          <w:sz w:val="28"/>
          <w:szCs w:val="28"/>
          <w:lang w:val="es-ES" w:eastAsia="es-ES"/>
        </w:rPr>
        <w:t xml:space="preserve">el efecto que sigue produciendo el artículo 108 es que </w:t>
      </w:r>
      <w:r w:rsidR="00BA145A" w:rsidRPr="0078289D">
        <w:rPr>
          <w:rFonts w:eastAsia="Times New Roman"/>
          <w:bCs/>
          <w:sz w:val="28"/>
          <w:szCs w:val="28"/>
          <w:lang w:val="es-ES" w:eastAsia="es-ES"/>
        </w:rPr>
        <w:t xml:space="preserve">las áreas de reserva estratégica minera creadas bajo </w:t>
      </w:r>
      <w:r w:rsidR="003F7CD2" w:rsidRPr="0078289D">
        <w:rPr>
          <w:rFonts w:eastAsia="Times New Roman"/>
          <w:bCs/>
          <w:sz w:val="28"/>
          <w:szCs w:val="28"/>
          <w:lang w:val="es-ES" w:eastAsia="es-ES"/>
        </w:rPr>
        <w:t xml:space="preserve">el Plan Nacional de Desarrollo anterior se mantienen vigentes </w:t>
      </w:r>
      <w:r w:rsidR="00A42C06" w:rsidRPr="0078289D">
        <w:rPr>
          <w:rFonts w:eastAsia="Times New Roman"/>
          <w:bCs/>
          <w:sz w:val="28"/>
          <w:szCs w:val="28"/>
          <w:lang w:val="es-ES" w:eastAsia="es-ES"/>
        </w:rPr>
        <w:t xml:space="preserve">bajo el nuevo Plan. </w:t>
      </w:r>
    </w:p>
    <w:p w:rsidR="00654D29" w:rsidRPr="0078289D" w:rsidRDefault="00654D29"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p>
    <w:p w:rsidR="00654D29" w:rsidRPr="0078289D" w:rsidRDefault="004C3AA5"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r w:rsidRPr="0078289D">
        <w:rPr>
          <w:rFonts w:eastAsia="Times New Roman"/>
          <w:bCs/>
          <w:sz w:val="28"/>
          <w:szCs w:val="28"/>
          <w:lang w:val="es-ES" w:eastAsia="es-ES"/>
        </w:rPr>
        <w:t>Al mantenerse algunos de los efectos normativos</w:t>
      </w:r>
      <w:r w:rsidR="00654D29" w:rsidRPr="0078289D">
        <w:rPr>
          <w:rFonts w:eastAsia="Times New Roman"/>
          <w:bCs/>
          <w:sz w:val="28"/>
          <w:szCs w:val="28"/>
          <w:lang w:val="es-ES" w:eastAsia="es-ES"/>
        </w:rPr>
        <w:t xml:space="preserve"> del artículo 108 de la Ley 1450 de 2011</w:t>
      </w:r>
      <w:r w:rsidRPr="0078289D">
        <w:rPr>
          <w:rFonts w:eastAsia="Times New Roman"/>
          <w:bCs/>
          <w:sz w:val="28"/>
          <w:szCs w:val="28"/>
          <w:lang w:val="es-ES" w:eastAsia="es-ES"/>
        </w:rPr>
        <w:t xml:space="preserve"> resulta</w:t>
      </w:r>
      <w:r w:rsidR="00654D29" w:rsidRPr="0078289D">
        <w:rPr>
          <w:rFonts w:eastAsia="Times New Roman"/>
          <w:bCs/>
          <w:sz w:val="28"/>
          <w:szCs w:val="28"/>
          <w:lang w:val="es-ES" w:eastAsia="es-ES"/>
        </w:rPr>
        <w:t xml:space="preserve"> imprescindible que los cargos de inconstitucionalidad presentados por los demandantes también se analicen respecto del artículo 108, en cuanto </w:t>
      </w:r>
      <w:r w:rsidR="001C347F" w:rsidRPr="0078289D">
        <w:rPr>
          <w:rFonts w:eastAsia="Times New Roman"/>
          <w:bCs/>
          <w:sz w:val="28"/>
          <w:szCs w:val="28"/>
          <w:lang w:val="es-ES" w:eastAsia="es-ES"/>
        </w:rPr>
        <w:t xml:space="preserve">fue </w:t>
      </w:r>
      <w:r w:rsidR="00676B4D" w:rsidRPr="0078289D">
        <w:rPr>
          <w:rFonts w:eastAsia="Times New Roman"/>
          <w:bCs/>
          <w:sz w:val="28"/>
          <w:szCs w:val="28"/>
          <w:lang w:val="es-ES" w:eastAsia="es-ES"/>
        </w:rPr>
        <w:t xml:space="preserve">dicha </w:t>
      </w:r>
      <w:r w:rsidR="001C347F" w:rsidRPr="0078289D">
        <w:rPr>
          <w:rFonts w:eastAsia="Times New Roman"/>
          <w:bCs/>
          <w:sz w:val="28"/>
          <w:szCs w:val="28"/>
          <w:lang w:val="es-ES" w:eastAsia="es-ES"/>
        </w:rPr>
        <w:t xml:space="preserve">norma </w:t>
      </w:r>
      <w:r w:rsidR="00AD0C01" w:rsidRPr="0078289D">
        <w:rPr>
          <w:rFonts w:eastAsia="Times New Roman"/>
          <w:bCs/>
          <w:sz w:val="28"/>
          <w:szCs w:val="28"/>
          <w:lang w:val="es-ES" w:eastAsia="es-ES"/>
        </w:rPr>
        <w:t xml:space="preserve">la que </w:t>
      </w:r>
      <w:r w:rsidR="001C347F" w:rsidRPr="0078289D">
        <w:rPr>
          <w:rFonts w:eastAsia="Times New Roman"/>
          <w:bCs/>
          <w:sz w:val="28"/>
          <w:szCs w:val="28"/>
          <w:lang w:val="es-ES" w:eastAsia="es-ES"/>
        </w:rPr>
        <w:t xml:space="preserve">creó </w:t>
      </w:r>
      <w:r w:rsidR="00654D29" w:rsidRPr="0078289D">
        <w:rPr>
          <w:rFonts w:eastAsia="Times New Roman"/>
          <w:bCs/>
          <w:sz w:val="28"/>
          <w:szCs w:val="28"/>
          <w:lang w:val="es-ES" w:eastAsia="es-ES"/>
        </w:rPr>
        <w:t xml:space="preserve">las AEM. </w:t>
      </w:r>
    </w:p>
    <w:p w:rsidR="00CE3144" w:rsidRPr="0078289D" w:rsidRDefault="00CE3144" w:rsidP="0078289D">
      <w:pPr>
        <w:pBdr>
          <w:top w:val="none" w:sz="0" w:space="0" w:color="auto"/>
          <w:left w:val="none" w:sz="0" w:space="0" w:color="auto"/>
          <w:bottom w:val="none" w:sz="0" w:space="0" w:color="auto"/>
          <w:right w:val="none" w:sz="0" w:space="0" w:color="auto"/>
        </w:pBdr>
        <w:tabs>
          <w:tab w:val="left" w:pos="567"/>
        </w:tabs>
        <w:jc w:val="both"/>
        <w:rPr>
          <w:rFonts w:eastAsia="Times New Roman"/>
          <w:bCs/>
          <w:sz w:val="28"/>
          <w:szCs w:val="28"/>
          <w:lang w:val="es-ES" w:eastAsia="es-ES"/>
        </w:rPr>
      </w:pPr>
    </w:p>
    <w:p w:rsidR="00CE3144"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b/>
          <w:i/>
          <w:sz w:val="28"/>
          <w:szCs w:val="28"/>
          <w:u w:color="000000"/>
          <w:lang w:val="uz-Cyrl-UZ" w:eastAsia="es-ES"/>
        </w:rPr>
      </w:pPr>
      <w:r w:rsidRPr="0078289D">
        <w:rPr>
          <w:rFonts w:eastAsia="Times New Roman"/>
          <w:b/>
          <w:i/>
          <w:sz w:val="28"/>
          <w:szCs w:val="28"/>
          <w:u w:color="000000"/>
          <w:lang w:val="es-MX"/>
        </w:rPr>
        <w:t>Análisis de los requisitos de aptitud de la demanda</w:t>
      </w:r>
      <w:r w:rsidR="00CE3144" w:rsidRPr="0078289D">
        <w:rPr>
          <w:b/>
          <w:i/>
          <w:sz w:val="28"/>
          <w:szCs w:val="28"/>
          <w:u w:color="000000"/>
          <w:lang w:val="uz-Cyrl-UZ" w:eastAsia="es-ES"/>
        </w:rPr>
        <w:t>: los requisitos del artículo 2º del decreto 2067 de 1991</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MX"/>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rFonts w:eastAsia="Times New Roman"/>
          <w:sz w:val="28"/>
          <w:szCs w:val="28"/>
          <w:u w:color="000000"/>
          <w:lang w:val="es-MX"/>
        </w:rPr>
        <w:t xml:space="preserve">9. </w:t>
      </w:r>
      <w:r w:rsidRPr="0078289D">
        <w:rPr>
          <w:sz w:val="28"/>
          <w:szCs w:val="28"/>
          <w:u w:color="000000"/>
          <w:lang w:val="es-MX" w:eastAsia="es-ES"/>
        </w:rPr>
        <w:t xml:space="preserve">Antes de abordar los problemas jurídicos de fondo correspondientes a la primera sección de la demanda, la Sala aludirá brevemente a los requisitos que establece el Decreto 2067 de 1991 para que procedan las demandas de inconstitucionalidad.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 xml:space="preserve">El artículo 2º del Decreto 2067 de 1991 establece que toda demanda de inconstitucionalidad deberá contener: i) el señalamiento de las normas acusadas como inconstitucionales, ii) una referencia a las normas constitucionales presuntamente vulneradas, iii) las razones por las cuales el accionante considera que las disposiciones acusadas vulneran normas superiores,  iv) el señalamiento del trámite impuesto por la Constitución para la expedición de la norma demandada, cuando ello sea pertinente, y finalmente,  v) las razones por las cuales la Corte es competente para decidir sobre la constitucionalidad de la norma demandada. </w:t>
      </w:r>
      <w:r w:rsidRPr="0078289D">
        <w:rPr>
          <w:sz w:val="28"/>
          <w:szCs w:val="28"/>
          <w:u w:color="000000"/>
          <w:lang w:val="uz-Cyrl-UZ" w:eastAsia="es-ES"/>
        </w:rPr>
        <w:t>S</w:t>
      </w:r>
      <w:r w:rsidRPr="0078289D">
        <w:rPr>
          <w:sz w:val="28"/>
          <w:szCs w:val="28"/>
          <w:u w:color="000000"/>
          <w:lang w:val="es-MX" w:eastAsia="es-ES"/>
        </w:rPr>
        <w:t xml:space="preserve">eñala el referido artículo: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ind w:left="708"/>
        <w:jc w:val="both"/>
        <w:textAlignment w:val="baseline"/>
        <w:rPr>
          <w:rFonts w:eastAsia="Times New Roman"/>
          <w:i/>
          <w:sz w:val="28"/>
          <w:szCs w:val="28"/>
          <w:bdr w:val="none" w:sz="0" w:space="0" w:color="auto" w:frame="1"/>
          <w:lang w:val="es-ES" w:eastAsia="es-ES"/>
        </w:rPr>
      </w:pPr>
      <w:r w:rsidRPr="0078289D">
        <w:rPr>
          <w:rFonts w:eastAsia="Times New Roman"/>
          <w:i/>
          <w:sz w:val="28"/>
          <w:szCs w:val="28"/>
          <w:bdr w:val="none" w:sz="0" w:space="0" w:color="auto" w:frame="1"/>
          <w:lang w:val="es-ES" w:eastAsia="es-ES"/>
        </w:rPr>
        <w:t>“Artículo 2o. Las demandas en las acciones públicas de inconstitucionalidad se presentarán por escrito, en duplicado, y contendrán:</w:t>
      </w:r>
    </w:p>
    <w:p w:rsidR="00654D29" w:rsidRPr="0078289D" w:rsidRDefault="001050FD" w:rsidP="0078289D">
      <w:pPr>
        <w:pBdr>
          <w:top w:val="none" w:sz="0" w:space="0" w:color="auto"/>
          <w:left w:val="none" w:sz="0" w:space="0" w:color="auto"/>
          <w:bottom w:val="none" w:sz="0" w:space="0" w:color="auto"/>
          <w:right w:val="none" w:sz="0" w:space="0" w:color="auto"/>
        </w:pBdr>
        <w:ind w:left="708"/>
        <w:jc w:val="both"/>
        <w:textAlignment w:val="baseline"/>
        <w:rPr>
          <w:rFonts w:eastAsia="Times New Roman"/>
          <w:i/>
          <w:sz w:val="28"/>
          <w:szCs w:val="28"/>
          <w:bdr w:val="none" w:sz="0" w:space="0" w:color="auto" w:frame="1"/>
          <w:lang w:val="es-ES" w:eastAsia="es-ES"/>
        </w:rPr>
      </w:pPr>
      <w:r w:rsidRPr="0078289D">
        <w:rPr>
          <w:rFonts w:eastAsia="Times New Roman"/>
          <w:i/>
          <w:sz w:val="28"/>
          <w:szCs w:val="28"/>
          <w:bdr w:val="none" w:sz="0" w:space="0" w:color="auto" w:frame="1"/>
          <w:lang w:val="es-ES" w:eastAsia="es-ES"/>
        </w:rPr>
        <w:t>…</w:t>
      </w:r>
    </w:p>
    <w:p w:rsidR="00654D29" w:rsidRPr="0078289D" w:rsidRDefault="00654D29" w:rsidP="0078289D">
      <w:pPr>
        <w:pBdr>
          <w:top w:val="none" w:sz="0" w:space="0" w:color="auto"/>
          <w:left w:val="none" w:sz="0" w:space="0" w:color="auto"/>
          <w:bottom w:val="none" w:sz="0" w:space="0" w:color="auto"/>
          <w:right w:val="none" w:sz="0" w:space="0" w:color="auto"/>
        </w:pBdr>
        <w:ind w:left="708"/>
        <w:jc w:val="both"/>
        <w:textAlignment w:val="baseline"/>
        <w:rPr>
          <w:rFonts w:eastAsia="Times New Roman"/>
          <w:b/>
          <w:i/>
          <w:sz w:val="28"/>
          <w:szCs w:val="28"/>
          <w:bdr w:val="none" w:sz="0" w:space="0" w:color="auto" w:frame="1"/>
          <w:lang w:val="es-ES" w:eastAsia="es-ES"/>
        </w:rPr>
      </w:pPr>
      <w:r w:rsidRPr="0078289D">
        <w:rPr>
          <w:rFonts w:eastAsia="Times New Roman"/>
          <w:b/>
          <w:i/>
          <w:sz w:val="28"/>
          <w:szCs w:val="28"/>
          <w:bdr w:val="none" w:sz="0" w:space="0" w:color="auto" w:frame="1"/>
          <w:lang w:val="es-ES" w:eastAsia="es-ES"/>
        </w:rPr>
        <w:lastRenderedPageBreak/>
        <w:t>3. Las razones por las cuales dichos textos se estiman violados;</w:t>
      </w:r>
      <w:r w:rsidRPr="0078289D">
        <w:rPr>
          <w:rFonts w:eastAsia="Times New Roman"/>
          <w:b/>
          <w:i/>
          <w:sz w:val="28"/>
          <w:szCs w:val="28"/>
          <w:bdr w:val="none" w:sz="0" w:space="0" w:color="auto" w:frame="1"/>
          <w:lang w:val="es-ES" w:eastAsia="es-ES"/>
        </w:rPr>
        <w:br/>
        <w:t>Sentencia C-131 de 1993.</w:t>
      </w:r>
    </w:p>
    <w:p w:rsidR="00484C0A" w:rsidRPr="0078289D" w:rsidRDefault="00484C0A" w:rsidP="0078289D">
      <w:pPr>
        <w:pBdr>
          <w:top w:val="none" w:sz="0" w:space="0" w:color="auto"/>
          <w:left w:val="none" w:sz="0" w:space="0" w:color="auto"/>
          <w:bottom w:val="none" w:sz="0" w:space="0" w:color="auto"/>
          <w:right w:val="none" w:sz="0" w:space="0" w:color="auto"/>
        </w:pBdr>
        <w:ind w:left="708"/>
        <w:jc w:val="both"/>
        <w:textAlignment w:val="baseline"/>
        <w:rPr>
          <w:rFonts w:eastAsia="Times New Roman"/>
          <w:b/>
          <w:i/>
          <w:sz w:val="28"/>
          <w:szCs w:val="28"/>
          <w:u w:val="single"/>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10. Ahora bien, la Corte Constitucional se ha referido a la importancia de que los requisitos de la demanda se cumplan</w:t>
      </w:r>
      <w:r w:rsidRPr="0078289D">
        <w:rPr>
          <w:rFonts w:eastAsia="Times New Roman"/>
          <w:sz w:val="28"/>
          <w:szCs w:val="28"/>
          <w:u w:color="000000"/>
          <w:lang w:val="uz-Cyrl-UZ" w:eastAsia="es-ES"/>
        </w:rPr>
        <w:t>,</w:t>
      </w:r>
      <w:r w:rsidRPr="0078289D">
        <w:rPr>
          <w:rFonts w:eastAsia="Times New Roman"/>
          <w:sz w:val="28"/>
          <w:szCs w:val="28"/>
          <w:u w:color="000000"/>
          <w:lang w:val="es-ES" w:eastAsia="es-ES"/>
        </w:rPr>
        <w:t xml:space="preserve"> no sólo formalmente, sino materialmente, con el fin de garantizar un verdadero control del poder público</w:t>
      </w:r>
      <w:r w:rsidRPr="0078289D">
        <w:rPr>
          <w:rFonts w:eastAsia="Times New Roman"/>
          <w:sz w:val="28"/>
          <w:szCs w:val="28"/>
          <w:u w:color="000000"/>
          <w:vertAlign w:val="superscript"/>
          <w:lang w:val="es-ES" w:eastAsia="es-ES"/>
        </w:rPr>
        <w:footnoteReference w:id="20"/>
      </w:r>
      <w:r w:rsidRPr="0078289D">
        <w:rPr>
          <w:rFonts w:eastAsia="Times New Roman"/>
          <w:sz w:val="28"/>
          <w:szCs w:val="28"/>
          <w:u w:color="000000"/>
          <w:lang w:val="es-ES" w:eastAsia="es-ES"/>
        </w:rPr>
        <w:t>. Para ello, ha explicado que las razones esgrimidas para desestimar la constitucionalidad de una norma jurídica deben ser claras, ciertas, específicas, pertinentes y suficientes. En este sentido, el análisis de la Corte Constitucional estará dirigido a identificar la concreción de un cargo de constitucionalidad real y no simplemente aparente</w:t>
      </w:r>
      <w:r w:rsidRPr="0078289D">
        <w:rPr>
          <w:rFonts w:eastAsia="Times New Roman"/>
          <w:sz w:val="28"/>
          <w:szCs w:val="28"/>
          <w:u w:color="000000"/>
          <w:vertAlign w:val="superscript"/>
          <w:lang w:val="es-ES" w:eastAsia="es-ES"/>
        </w:rPr>
        <w:footnoteReference w:id="21"/>
      </w:r>
      <w:r w:rsidRPr="0078289D">
        <w:rPr>
          <w:rFonts w:eastAsia="Times New Roman"/>
          <w:sz w:val="28"/>
          <w:szCs w:val="28"/>
          <w:u w:color="000000"/>
          <w:lang w:val="es-ES" w:eastAsia="es-ES"/>
        </w:rPr>
        <w:t>. Al respecto ha manifestado: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567"/>
        <w:jc w:val="both"/>
        <w:textAlignment w:val="baseline"/>
        <w:rPr>
          <w:rFonts w:eastAsia="Times New Roman"/>
          <w:sz w:val="28"/>
          <w:szCs w:val="28"/>
          <w:lang w:val="es-ES" w:eastAsia="es-ES"/>
        </w:rPr>
      </w:pPr>
      <w:r w:rsidRPr="0078289D">
        <w:rPr>
          <w:rFonts w:eastAsia="Times New Roman"/>
          <w:i/>
          <w:sz w:val="28"/>
          <w:szCs w:val="28"/>
          <w:bdr w:val="none" w:sz="0" w:space="0" w:color="auto" w:frame="1"/>
          <w:lang w:val="es-CO" w:eastAsia="es-ES"/>
        </w:rPr>
        <w:t>“Finalmente, (</w:t>
      </w:r>
      <w:r w:rsidRPr="0078289D">
        <w:rPr>
          <w:rFonts w:eastAsia="Times New Roman"/>
          <w:i/>
          <w:iCs/>
          <w:sz w:val="28"/>
          <w:szCs w:val="28"/>
          <w:bdr w:val="none" w:sz="0" w:space="0" w:color="auto" w:frame="1"/>
          <w:lang w:val="es-CO" w:eastAsia="es-ES"/>
        </w:rPr>
        <w:t>iii.</w:t>
      </w:r>
      <w:r w:rsidRPr="0078289D">
        <w:rPr>
          <w:rFonts w:eastAsia="Times New Roman"/>
          <w:i/>
          <w:sz w:val="28"/>
          <w:szCs w:val="28"/>
          <w:bdr w:val="none" w:sz="0" w:space="0" w:color="auto" w:frame="1"/>
          <w:lang w:val="es-CO" w:eastAsia="es-ES"/>
        </w:rPr>
        <w:t xml:space="preserve">) tendrán que presentarse las razones por las cuales los textos normativos demandados violan la Constitución (artículo 2 numeral 3 del Decreto 2067 de 2000).  Esta es una materia que ya ha sido objeto de análisis por parte de la Corte Constitucional y en la que se revela buena parte de la efectividad de la acción pública de inconstitucionalidad como forma de control del poder público.  </w:t>
      </w:r>
      <w:r w:rsidRPr="0078289D">
        <w:rPr>
          <w:rFonts w:eastAsia="Times New Roman"/>
          <w:b/>
          <w:i/>
          <w:sz w:val="28"/>
          <w:szCs w:val="28"/>
          <w:u w:val="single"/>
          <w:bdr w:val="none" w:sz="0" w:space="0" w:color="auto" w:frame="1"/>
          <w:lang w:val="es-CO" w:eastAsia="es-ES"/>
        </w:rPr>
        <w:t>La efectividad del derecho político depende, como lo ha dicho esta Corporación, de que las razones presentadas por el actor sean </w:t>
      </w:r>
      <w:r w:rsidRPr="0078289D">
        <w:rPr>
          <w:rFonts w:eastAsia="Times New Roman"/>
          <w:b/>
          <w:i/>
          <w:iCs/>
          <w:sz w:val="28"/>
          <w:szCs w:val="28"/>
          <w:u w:val="single"/>
          <w:bdr w:val="none" w:sz="0" w:space="0" w:color="auto" w:frame="1"/>
          <w:lang w:val="es-CO" w:eastAsia="es-ES"/>
        </w:rPr>
        <w:t>claras, ciertas</w:t>
      </w:r>
      <w:r w:rsidRPr="0078289D">
        <w:rPr>
          <w:rFonts w:eastAsia="Times New Roman"/>
          <w:b/>
          <w:i/>
          <w:sz w:val="28"/>
          <w:szCs w:val="28"/>
          <w:u w:val="single"/>
          <w:bdr w:val="none" w:sz="0" w:space="0" w:color="auto" w:frame="1"/>
          <w:lang w:val="es-CO" w:eastAsia="es-ES"/>
        </w:rPr>
        <w:t>, </w:t>
      </w:r>
      <w:r w:rsidRPr="0078289D">
        <w:rPr>
          <w:rFonts w:eastAsia="Times New Roman"/>
          <w:b/>
          <w:i/>
          <w:iCs/>
          <w:sz w:val="28"/>
          <w:szCs w:val="28"/>
          <w:u w:val="single"/>
          <w:bdr w:val="none" w:sz="0" w:space="0" w:color="auto" w:frame="1"/>
          <w:lang w:val="es-CO" w:eastAsia="es-ES"/>
        </w:rPr>
        <w:t>específicas</w:t>
      </w:r>
      <w:r w:rsidRPr="0078289D">
        <w:rPr>
          <w:rFonts w:eastAsia="Times New Roman"/>
          <w:b/>
          <w:i/>
          <w:sz w:val="28"/>
          <w:szCs w:val="28"/>
          <w:u w:val="single"/>
          <w:bdr w:val="none" w:sz="0" w:space="0" w:color="auto" w:frame="1"/>
          <w:lang w:val="es-CO" w:eastAsia="es-ES"/>
        </w:rPr>
        <w:t xml:space="preserve">, </w:t>
      </w:r>
      <w:r w:rsidRPr="0078289D">
        <w:rPr>
          <w:rFonts w:eastAsia="Times New Roman"/>
          <w:b/>
          <w:i/>
          <w:iCs/>
          <w:sz w:val="28"/>
          <w:szCs w:val="28"/>
          <w:u w:val="single"/>
          <w:bdr w:val="none" w:sz="0" w:space="0" w:color="auto" w:frame="1"/>
          <w:lang w:val="es-CO" w:eastAsia="es-ES"/>
        </w:rPr>
        <w:t>pertinentes</w:t>
      </w:r>
      <w:r w:rsidRPr="0078289D">
        <w:rPr>
          <w:rFonts w:eastAsia="Times New Roman"/>
          <w:b/>
          <w:i/>
          <w:sz w:val="28"/>
          <w:szCs w:val="28"/>
          <w:u w:val="single"/>
          <w:bdr w:val="none" w:sz="0" w:space="0" w:color="auto" w:frame="1"/>
          <w:lang w:val="es-CO" w:eastAsia="es-ES"/>
        </w:rPr>
        <w:t> y </w:t>
      </w:r>
      <w:r w:rsidRPr="0078289D">
        <w:rPr>
          <w:rFonts w:eastAsia="Times New Roman"/>
          <w:b/>
          <w:i/>
          <w:iCs/>
          <w:sz w:val="28"/>
          <w:szCs w:val="28"/>
          <w:u w:val="single"/>
          <w:bdr w:val="none" w:sz="0" w:space="0" w:color="auto" w:frame="1"/>
          <w:lang w:val="es-CO" w:eastAsia="es-ES"/>
        </w:rPr>
        <w:t>suficiente.</w:t>
      </w:r>
      <w:r w:rsidRPr="0078289D">
        <w:rPr>
          <w:rFonts w:eastAsia="Times New Roman"/>
          <w:b/>
          <w:i/>
          <w:sz w:val="28"/>
          <w:szCs w:val="28"/>
          <w:u w:val="single"/>
          <w:bdr w:val="none" w:sz="0" w:space="0" w:color="auto" w:frame="1"/>
          <w:lang w:val="es-CO" w:eastAsia="es-ES"/>
        </w:rPr>
        <w:t>  De lo contrario, la Corte terminará inhibiéndose, circunstancia que frustra “la expectativa legítima de los demandantes de recibir un pronunciamiento de fondo por p</w:t>
      </w:r>
      <w:bookmarkStart w:id="4" w:name="_ftnref23"/>
      <w:r w:rsidRPr="0078289D">
        <w:rPr>
          <w:rFonts w:eastAsia="Times New Roman"/>
          <w:b/>
          <w:i/>
          <w:sz w:val="28"/>
          <w:szCs w:val="28"/>
          <w:u w:val="single"/>
          <w:bdr w:val="none" w:sz="0" w:space="0" w:color="auto" w:frame="1"/>
          <w:lang w:val="es-CO" w:eastAsia="es-ES"/>
        </w:rPr>
        <w:t>arte de la Corte Constituciona</w:t>
      </w:r>
      <w:bookmarkEnd w:id="4"/>
      <w:r w:rsidRPr="0078289D">
        <w:rPr>
          <w:rFonts w:eastAsia="Times New Roman"/>
          <w:b/>
          <w:i/>
          <w:sz w:val="28"/>
          <w:szCs w:val="28"/>
          <w:u w:val="single"/>
          <w:bdr w:val="none" w:sz="0" w:space="0" w:color="auto" w:frame="1"/>
          <w:lang w:val="es-CO" w:eastAsia="es-ES"/>
        </w:rPr>
        <w:t>l</w:t>
      </w:r>
      <w:r w:rsidRPr="0078289D">
        <w:rPr>
          <w:rFonts w:eastAsia="Times New Roman"/>
          <w:i/>
          <w:sz w:val="28"/>
          <w:szCs w:val="28"/>
          <w:bdr w:val="none" w:sz="0" w:space="0" w:color="auto" w:frame="1"/>
          <w:lang w:val="es-CO" w:eastAsia="es-ES"/>
        </w:rPr>
        <w:t xml:space="preserve">”. </w:t>
      </w:r>
      <w:r w:rsidRPr="0078289D">
        <w:rPr>
          <w:rFonts w:eastAsia="Times New Roman"/>
          <w:sz w:val="28"/>
          <w:szCs w:val="28"/>
          <w:vertAlign w:val="superscript"/>
          <w:lang w:val="es-ES" w:eastAsia="es-ES"/>
        </w:rPr>
        <w:footnoteReference w:id="22"/>
      </w:r>
      <w:r w:rsidRPr="0078289D">
        <w:rPr>
          <w:rFonts w:eastAsia="Times New Roman"/>
          <w:sz w:val="28"/>
          <w:szCs w:val="28"/>
          <w:bdr w:val="none" w:sz="0" w:space="0" w:color="auto" w:frame="1"/>
          <w:lang w:val="es-CO" w:eastAsia="es-ES"/>
        </w:rPr>
        <w:t>(Subraya y negrilla fuera del texto)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Así mismo, la jurisprudencia de la Corte Constitucional ha definido en qué consisten los requisitos de claridad, certeza, especificidad, pertinencia y suficiencia de los cargos de inconstitucionalidad. En este sentido, ha indicado que los cargos deben ser</w:t>
      </w:r>
      <w:r w:rsidRPr="0078289D">
        <w:rPr>
          <w:rFonts w:eastAsia="Times New Roman"/>
          <w:sz w:val="28"/>
          <w:szCs w:val="28"/>
          <w:u w:color="000000"/>
          <w:lang w:val="uz-Cyrl-UZ" w:eastAsia="es-ES"/>
        </w:rPr>
        <w:t>:</w:t>
      </w:r>
      <w:r w:rsidRPr="0078289D">
        <w:rPr>
          <w:rFonts w:eastAsia="Times New Roman"/>
          <w:sz w:val="28"/>
          <w:szCs w:val="28"/>
          <w:u w:color="000000"/>
          <w:lang w:val="es-ES" w:eastAsia="es-ES"/>
        </w:rPr>
        <w:t xml:space="preserve"> i) </w:t>
      </w:r>
      <w:r w:rsidRPr="0078289D">
        <w:rPr>
          <w:rFonts w:eastAsia="Times New Roman"/>
          <w:b/>
          <w:sz w:val="28"/>
          <w:szCs w:val="28"/>
          <w:u w:color="000000"/>
          <w:lang w:val="es-ES" w:eastAsia="es-ES"/>
        </w:rPr>
        <w:t>claros</w:t>
      </w:r>
      <w:r w:rsidRPr="0078289D">
        <w:rPr>
          <w:rFonts w:eastAsia="Times New Roman"/>
          <w:sz w:val="28"/>
          <w:szCs w:val="28"/>
          <w:u w:color="000000"/>
          <w:lang w:val="es-ES" w:eastAsia="es-ES"/>
        </w:rPr>
        <w:t xml:space="preserve">, ii) </w:t>
      </w:r>
      <w:r w:rsidRPr="0078289D">
        <w:rPr>
          <w:rFonts w:eastAsia="Times New Roman"/>
          <w:b/>
          <w:sz w:val="28"/>
          <w:szCs w:val="28"/>
          <w:u w:color="000000"/>
          <w:lang w:val="es-ES" w:eastAsia="es-ES"/>
        </w:rPr>
        <w:t>ciertos</w:t>
      </w:r>
      <w:r w:rsidRPr="0078289D">
        <w:rPr>
          <w:rFonts w:eastAsia="Times New Roman"/>
          <w:sz w:val="28"/>
          <w:szCs w:val="28"/>
          <w:u w:color="000000"/>
          <w:lang w:val="es-ES" w:eastAsia="es-ES"/>
        </w:rPr>
        <w:t xml:space="preserve">, lo cual supone que deben recaer sobre el contenido de la disposición acusada, iii) </w:t>
      </w:r>
      <w:r w:rsidRPr="0078289D">
        <w:rPr>
          <w:rFonts w:eastAsia="Times New Roman"/>
          <w:b/>
          <w:sz w:val="28"/>
          <w:szCs w:val="28"/>
          <w:u w:color="000000"/>
          <w:lang w:val="es-ES" w:eastAsia="es-ES"/>
        </w:rPr>
        <w:t>específicos</w:t>
      </w:r>
      <w:r w:rsidRPr="0078289D">
        <w:rPr>
          <w:rFonts w:eastAsia="Times New Roman"/>
          <w:sz w:val="28"/>
          <w:szCs w:val="28"/>
          <w:u w:color="000000"/>
          <w:lang w:val="es-ES" w:eastAsia="es-ES"/>
        </w:rPr>
        <w:t xml:space="preserve">, que significa que deben plantear una contradicción entre normas demandadas, y, iv) </w:t>
      </w:r>
      <w:r w:rsidRPr="0078289D">
        <w:rPr>
          <w:rFonts w:eastAsia="Times New Roman"/>
          <w:b/>
          <w:sz w:val="28"/>
          <w:szCs w:val="28"/>
          <w:u w:color="000000"/>
          <w:lang w:val="es-ES" w:eastAsia="es-ES"/>
        </w:rPr>
        <w:t>pertinentes</w:t>
      </w:r>
      <w:r w:rsidRPr="0078289D">
        <w:rPr>
          <w:rFonts w:eastAsia="Times New Roman"/>
          <w:sz w:val="28"/>
          <w:szCs w:val="28"/>
          <w:u w:color="000000"/>
          <w:lang w:val="es-ES" w:eastAsia="es-ES"/>
        </w:rPr>
        <w:t xml:space="preserve">, en la medida en que los cargos deben tener carácter constitucional, y no exclusivamente legal o doctrinal, o de conveniencia, y, finalmente, v) deben ser </w:t>
      </w:r>
      <w:r w:rsidRPr="0078289D">
        <w:rPr>
          <w:rFonts w:eastAsia="Times New Roman"/>
          <w:b/>
          <w:sz w:val="28"/>
          <w:szCs w:val="28"/>
          <w:u w:color="000000"/>
          <w:lang w:val="es-ES" w:eastAsia="es-ES"/>
        </w:rPr>
        <w:t>suficientes</w:t>
      </w:r>
      <w:r w:rsidRPr="0078289D">
        <w:rPr>
          <w:rFonts w:eastAsia="Times New Roman"/>
          <w:sz w:val="28"/>
          <w:szCs w:val="28"/>
          <w:u w:color="000000"/>
          <w:lang w:val="es-ES" w:eastAsia="es-ES"/>
        </w:rPr>
        <w:t xml:space="preserve">, para suscitar una mínima duda sobre la constitucionalidad de la disposición demandada. </w:t>
      </w:r>
      <w:r w:rsidRPr="0078289D">
        <w:rPr>
          <w:rFonts w:eastAsia="Times New Roman"/>
          <w:sz w:val="28"/>
          <w:szCs w:val="28"/>
          <w:u w:color="000000"/>
          <w:lang w:val="uz-Cyrl-UZ" w:eastAsia="es-ES"/>
        </w:rPr>
        <w:t>S</w:t>
      </w:r>
      <w:r w:rsidRPr="0078289D">
        <w:rPr>
          <w:rFonts w:eastAsia="Times New Roman"/>
          <w:sz w:val="28"/>
          <w:szCs w:val="28"/>
          <w:u w:color="000000"/>
          <w:lang w:val="es-ES" w:eastAsia="es-ES"/>
        </w:rPr>
        <w:t>eñaló la Corte:</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ind w:left="708"/>
        <w:jc w:val="both"/>
        <w:textAlignment w:val="baseline"/>
        <w:rPr>
          <w:rFonts w:eastAsia="Times New Roman"/>
          <w:sz w:val="28"/>
          <w:szCs w:val="28"/>
          <w:u w:color="000000"/>
          <w:lang w:val="es-ES" w:eastAsia="es-ES"/>
        </w:rPr>
      </w:pPr>
      <w:r w:rsidRPr="0078289D">
        <w:rPr>
          <w:rFonts w:eastAsia="Times New Roman"/>
          <w:i/>
          <w:sz w:val="28"/>
          <w:szCs w:val="28"/>
          <w:u w:color="000000"/>
          <w:lang w:val="es-ES" w:eastAsia="es-ES"/>
        </w:rPr>
        <w:t>“</w:t>
      </w:r>
      <w:r w:rsidRPr="0078289D">
        <w:rPr>
          <w:i/>
          <w:sz w:val="28"/>
          <w:szCs w:val="28"/>
          <w:u w:color="000000"/>
          <w:shd w:val="clear" w:color="auto" w:fill="FFFFFF"/>
          <w:lang w:val="es-ES"/>
        </w:rPr>
        <w:t>En reciente oportunidad, esta Corte señaló que sin caer en formalismos técnicos, incompatibles con la naturaleza popular y ciudadana de la acción de inconstitucionalidad, los cargos formulados por el demandante deben ser claros, ciertos, especí</w:t>
      </w:r>
      <w:bookmarkStart w:id="5" w:name="_ftnref2"/>
      <w:r w:rsidRPr="0078289D">
        <w:rPr>
          <w:i/>
          <w:sz w:val="28"/>
          <w:szCs w:val="28"/>
          <w:u w:color="000000"/>
          <w:shd w:val="clear" w:color="auto" w:fill="FFFFFF"/>
          <w:lang w:val="es-ES"/>
        </w:rPr>
        <w:t>ficos, pertinentes y suficiente</w:t>
      </w:r>
      <w:bookmarkEnd w:id="5"/>
      <w:r w:rsidRPr="0078289D">
        <w:rPr>
          <w:i/>
          <w:sz w:val="28"/>
          <w:szCs w:val="28"/>
          <w:u w:color="000000"/>
          <w:shd w:val="clear" w:color="auto" w:fill="FFFFFF"/>
          <w:lang w:val="es-ES"/>
        </w:rPr>
        <w:t xml:space="preserve">. </w:t>
      </w:r>
      <w:r w:rsidRPr="0078289D">
        <w:rPr>
          <w:b/>
          <w:i/>
          <w:sz w:val="28"/>
          <w:szCs w:val="28"/>
          <w:u w:val="single" w:color="000000"/>
          <w:shd w:val="clear" w:color="auto" w:fill="FFFFFF"/>
          <w:lang w:val="es-ES"/>
        </w:rPr>
        <w:t xml:space="preserve">Esto significa que la acusación debe ser suficientemente </w:t>
      </w:r>
      <w:r w:rsidRPr="0078289D">
        <w:rPr>
          <w:b/>
          <w:i/>
          <w:sz w:val="28"/>
          <w:szCs w:val="28"/>
          <w:u w:val="single" w:color="000000"/>
          <w:shd w:val="clear" w:color="auto" w:fill="FFFFFF"/>
          <w:lang w:val="es-ES"/>
        </w:rPr>
        <w:lastRenderedPageBreak/>
        <w:t xml:space="preserve">comprensible (clara) y recaer verdaderamente sobre el contenido de la disposición acusada (cierta). Además el actor debe mostrar cómo la disposición vulnera la Carta (especificidad), con argumentos que sean de naturaleza constitucional, y no legales ni puramente doctrinarios (pertinencia). Finalmente, la acusación debe no sólo estar formulada en forma completa sino que debe ser capaz de suscitar una mínima duda </w:t>
      </w:r>
      <w:r w:rsidRPr="0078289D">
        <w:rPr>
          <w:b/>
          <w:i/>
          <w:iCs/>
          <w:sz w:val="28"/>
          <w:szCs w:val="28"/>
          <w:u w:val="single" w:color="000000"/>
          <w:bdr w:val="none" w:sz="0" w:space="0" w:color="auto" w:frame="1"/>
          <w:shd w:val="clear" w:color="auto" w:fill="FFFFFF"/>
          <w:lang w:val="es-ES"/>
        </w:rPr>
        <w:t>sobre la constitucionalidad de la norma impugnada</w:t>
      </w:r>
      <w:r w:rsidRPr="0078289D">
        <w:rPr>
          <w:i/>
          <w:iCs/>
          <w:sz w:val="28"/>
          <w:szCs w:val="28"/>
          <w:u w:color="000000"/>
          <w:bdr w:val="none" w:sz="0" w:space="0" w:color="auto" w:frame="1"/>
          <w:shd w:val="clear" w:color="auto" w:fill="FFFFFF"/>
          <w:lang w:val="es-ES"/>
        </w:rPr>
        <w:t>, de tal manera que inicia realmente un proceso dirigido a desvirtuar la presunción de constitucionalidad que ampara a toda norma legal y hace necesario un pronunciamiento por parte de la Corte”.</w:t>
      </w:r>
      <w:r w:rsidRPr="0078289D">
        <w:rPr>
          <w:i/>
          <w:iCs/>
          <w:sz w:val="28"/>
          <w:szCs w:val="28"/>
          <w:u w:color="000000"/>
          <w:bdr w:val="none" w:sz="0" w:space="0" w:color="auto" w:frame="1"/>
          <w:shd w:val="clear" w:color="auto" w:fill="FFFFFF"/>
          <w:vertAlign w:val="superscript"/>
          <w:lang w:val="es-ES"/>
        </w:rPr>
        <w:footnoteReference w:id="23"/>
      </w:r>
      <w:r w:rsidRPr="0078289D">
        <w:rPr>
          <w:i/>
          <w:iCs/>
          <w:sz w:val="28"/>
          <w:szCs w:val="28"/>
          <w:u w:color="000000"/>
          <w:bdr w:val="none" w:sz="0" w:space="0" w:color="auto" w:frame="1"/>
          <w:shd w:val="clear" w:color="auto" w:fill="FFFFFF"/>
          <w:lang w:val="es-ES"/>
        </w:rPr>
        <w:t xml:space="preserve"> </w:t>
      </w:r>
      <w:r w:rsidRPr="0078289D">
        <w:rPr>
          <w:iCs/>
          <w:sz w:val="28"/>
          <w:szCs w:val="28"/>
          <w:u w:color="000000"/>
          <w:bdr w:val="none" w:sz="0" w:space="0" w:color="auto" w:frame="1"/>
          <w:shd w:val="clear" w:color="auto" w:fill="FFFFFF"/>
          <w:lang w:val="es-ES"/>
        </w:rPr>
        <w:t>(Subraya y negrilla fuera del texto)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84749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11. Por lo tanto, en el caso analizado la Sala deberá, en primer lugar: i) identificar el objeto y alcance de las normas demandadas, para posteriormente,</w:t>
      </w:r>
      <w:r w:rsidRPr="0078289D">
        <w:rPr>
          <w:rFonts w:eastAsia="Times New Roman"/>
          <w:sz w:val="28"/>
          <w:szCs w:val="28"/>
          <w:u w:color="000000"/>
          <w:lang w:val="uz-Cyrl-UZ" w:eastAsia="es-ES"/>
        </w:rPr>
        <w:t xml:space="preserve"> </w:t>
      </w:r>
      <w:r w:rsidRPr="0078289D">
        <w:rPr>
          <w:rFonts w:eastAsia="Times New Roman"/>
          <w:sz w:val="28"/>
          <w:szCs w:val="28"/>
          <w:u w:color="000000"/>
          <w:lang w:val="es-ES" w:eastAsia="es-ES"/>
        </w:rPr>
        <w:t xml:space="preserve">ii) establecer si los cargos formulados por los demandantes cuentan con las exigencias de claridad, certeza, especificidad, pertinencia y suficiencia que requieren las demandas de inconstitucionalidad. Ello se realizará a continuación. </w:t>
      </w:r>
    </w:p>
    <w:p w:rsidR="00847499" w:rsidRPr="0078289D" w:rsidRDefault="0084749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483FA7"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b/>
          <w:i/>
          <w:sz w:val="28"/>
          <w:szCs w:val="28"/>
          <w:u w:color="000000"/>
          <w:lang w:val="es-ES" w:eastAsia="es-ES"/>
        </w:rPr>
      </w:pPr>
      <w:r w:rsidRPr="0078289D">
        <w:rPr>
          <w:rFonts w:eastAsia="Times New Roman"/>
          <w:b/>
          <w:i/>
          <w:sz w:val="28"/>
          <w:szCs w:val="28"/>
          <w:u w:color="000000"/>
          <w:lang w:val="es-ES" w:eastAsia="es-ES"/>
        </w:rPr>
        <w:t>O</w:t>
      </w:r>
      <w:r w:rsidR="00654D29" w:rsidRPr="0078289D">
        <w:rPr>
          <w:rFonts w:eastAsia="Times New Roman"/>
          <w:b/>
          <w:i/>
          <w:sz w:val="28"/>
          <w:szCs w:val="28"/>
          <w:u w:color="000000"/>
          <w:lang w:val="es-ES" w:eastAsia="es-ES"/>
        </w:rPr>
        <w:t xml:space="preserve">bjeto y alcance de la norma demandada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EA2471"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12. </w:t>
      </w:r>
      <w:r w:rsidR="00961C67" w:rsidRPr="0078289D">
        <w:rPr>
          <w:rFonts w:eastAsia="Times New Roman"/>
          <w:sz w:val="28"/>
          <w:szCs w:val="28"/>
          <w:u w:color="000000"/>
          <w:lang w:val="es-ES" w:eastAsia="es-ES"/>
        </w:rPr>
        <w:t>En la medida en que para algunos de los intervinientes lo</w:t>
      </w:r>
      <w:r w:rsidR="0070099C" w:rsidRPr="0078289D">
        <w:rPr>
          <w:rFonts w:eastAsia="Times New Roman"/>
          <w:sz w:val="28"/>
          <w:szCs w:val="28"/>
          <w:u w:color="000000"/>
          <w:lang w:val="es-ES" w:eastAsia="es-ES"/>
        </w:rPr>
        <w:t>s</w:t>
      </w:r>
      <w:r w:rsidR="00961C67" w:rsidRPr="0078289D">
        <w:rPr>
          <w:rFonts w:eastAsia="Times New Roman"/>
          <w:sz w:val="28"/>
          <w:szCs w:val="28"/>
          <w:u w:color="000000"/>
          <w:lang w:val="es-ES" w:eastAsia="es-ES"/>
        </w:rPr>
        <w:t xml:space="preserve"> efectos atribuidos por los demandantes a las disposiciones </w:t>
      </w:r>
      <w:r w:rsidR="00FD06B1" w:rsidRPr="0078289D">
        <w:rPr>
          <w:rFonts w:eastAsia="Times New Roman"/>
          <w:sz w:val="28"/>
          <w:szCs w:val="28"/>
          <w:u w:color="000000"/>
          <w:lang w:val="es-ES" w:eastAsia="es-ES"/>
        </w:rPr>
        <w:t>acusadas</w:t>
      </w:r>
      <w:r w:rsidR="00961C67" w:rsidRPr="0078289D">
        <w:rPr>
          <w:rFonts w:eastAsia="Times New Roman"/>
          <w:sz w:val="28"/>
          <w:szCs w:val="28"/>
          <w:u w:color="000000"/>
          <w:lang w:val="es-ES" w:eastAsia="es-ES"/>
        </w:rPr>
        <w:t xml:space="preserve"> no se desprenden de su texto, a esta Corporación </w:t>
      </w:r>
      <w:r w:rsidR="005C7A9D" w:rsidRPr="0078289D">
        <w:rPr>
          <w:rFonts w:eastAsia="Times New Roman"/>
          <w:sz w:val="28"/>
          <w:szCs w:val="28"/>
          <w:u w:color="000000"/>
          <w:lang w:val="es-ES" w:eastAsia="es-ES"/>
        </w:rPr>
        <w:t xml:space="preserve">le corresponde </w:t>
      </w:r>
      <w:r w:rsidR="00313880" w:rsidRPr="0078289D">
        <w:rPr>
          <w:rFonts w:eastAsia="Times New Roman"/>
          <w:sz w:val="28"/>
          <w:szCs w:val="28"/>
          <w:u w:color="000000"/>
          <w:lang w:val="es-ES" w:eastAsia="es-ES"/>
        </w:rPr>
        <w:t>establecer</w:t>
      </w:r>
      <w:r w:rsidR="00961C67" w:rsidRPr="0078289D">
        <w:rPr>
          <w:rFonts w:eastAsia="Times New Roman"/>
          <w:sz w:val="28"/>
          <w:szCs w:val="28"/>
          <w:u w:color="000000"/>
          <w:lang w:val="es-ES" w:eastAsia="es-ES"/>
        </w:rPr>
        <w:t xml:space="preserve"> cuál</w:t>
      </w:r>
      <w:r w:rsidR="00313880" w:rsidRPr="0078289D">
        <w:rPr>
          <w:rFonts w:eastAsia="Times New Roman"/>
          <w:sz w:val="28"/>
          <w:szCs w:val="28"/>
          <w:u w:color="000000"/>
          <w:lang w:val="es-ES" w:eastAsia="es-ES"/>
        </w:rPr>
        <w:t>es</w:t>
      </w:r>
      <w:r w:rsidR="00961C67" w:rsidRPr="0078289D">
        <w:rPr>
          <w:rFonts w:eastAsia="Times New Roman"/>
          <w:sz w:val="28"/>
          <w:szCs w:val="28"/>
          <w:u w:color="000000"/>
          <w:lang w:val="es-ES" w:eastAsia="es-ES"/>
        </w:rPr>
        <w:t xml:space="preserve"> </w:t>
      </w:r>
      <w:r w:rsidR="00313880" w:rsidRPr="0078289D">
        <w:rPr>
          <w:rFonts w:eastAsia="Times New Roman"/>
          <w:sz w:val="28"/>
          <w:szCs w:val="28"/>
          <w:u w:color="000000"/>
          <w:lang w:val="es-ES" w:eastAsia="es-ES"/>
        </w:rPr>
        <w:t>son</w:t>
      </w:r>
      <w:r w:rsidR="00961C67" w:rsidRPr="0078289D">
        <w:rPr>
          <w:rFonts w:eastAsia="Times New Roman"/>
          <w:sz w:val="28"/>
          <w:szCs w:val="28"/>
          <w:u w:color="000000"/>
          <w:lang w:val="es-ES" w:eastAsia="es-ES"/>
        </w:rPr>
        <w:t xml:space="preserve"> el</w:t>
      </w:r>
      <w:r w:rsidR="00313880" w:rsidRPr="0078289D">
        <w:rPr>
          <w:rFonts w:eastAsia="Times New Roman"/>
          <w:sz w:val="28"/>
          <w:szCs w:val="28"/>
          <w:u w:color="000000"/>
          <w:lang w:val="es-ES" w:eastAsia="es-ES"/>
        </w:rPr>
        <w:t xml:space="preserve"> objeto y</w:t>
      </w:r>
      <w:r w:rsidR="00961C67" w:rsidRPr="0078289D">
        <w:rPr>
          <w:rFonts w:eastAsia="Times New Roman"/>
          <w:sz w:val="28"/>
          <w:szCs w:val="28"/>
          <w:u w:color="000000"/>
          <w:lang w:val="es-ES" w:eastAsia="es-ES"/>
        </w:rPr>
        <w:t xml:space="preserve"> alcance de </w:t>
      </w:r>
      <w:r w:rsidR="00EA2471" w:rsidRPr="0078289D">
        <w:rPr>
          <w:rFonts w:eastAsia="Times New Roman"/>
          <w:sz w:val="28"/>
          <w:szCs w:val="28"/>
          <w:u w:color="000000"/>
          <w:lang w:val="es-ES" w:eastAsia="es-ES"/>
        </w:rPr>
        <w:t>tales</w:t>
      </w:r>
      <w:r w:rsidR="00C07B1E" w:rsidRPr="0078289D">
        <w:rPr>
          <w:rFonts w:eastAsia="Times New Roman"/>
          <w:sz w:val="28"/>
          <w:szCs w:val="28"/>
          <w:u w:color="000000"/>
          <w:lang w:val="es-ES" w:eastAsia="es-ES"/>
        </w:rPr>
        <w:t xml:space="preserve"> </w:t>
      </w:r>
      <w:r w:rsidR="00313880" w:rsidRPr="0078289D">
        <w:rPr>
          <w:rFonts w:eastAsia="Times New Roman"/>
          <w:sz w:val="28"/>
          <w:szCs w:val="28"/>
          <w:u w:color="000000"/>
          <w:lang w:val="es-ES" w:eastAsia="es-ES"/>
        </w:rPr>
        <w:t>normas</w:t>
      </w:r>
      <w:r w:rsidR="00C07B1E" w:rsidRPr="0078289D">
        <w:rPr>
          <w:rFonts w:eastAsia="Times New Roman"/>
          <w:sz w:val="28"/>
          <w:szCs w:val="28"/>
          <w:u w:color="000000"/>
          <w:lang w:val="es-ES" w:eastAsia="es-ES"/>
        </w:rPr>
        <w:t>.</w:t>
      </w:r>
      <w:r w:rsidR="00961C67" w:rsidRPr="0078289D">
        <w:rPr>
          <w:rFonts w:eastAsia="Times New Roman"/>
          <w:sz w:val="28"/>
          <w:szCs w:val="28"/>
          <w:u w:color="000000"/>
          <w:lang w:val="es-ES" w:eastAsia="es-ES"/>
        </w:rPr>
        <w:t xml:space="preserve"> </w:t>
      </w:r>
    </w:p>
    <w:p w:rsidR="00EA2471" w:rsidRPr="0078289D" w:rsidRDefault="00EA2471"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347F72"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El artículo 20 de la Ley 1753 de 2015 tiene como finalidades básicas </w:t>
      </w:r>
      <w:r w:rsidR="00EA2471" w:rsidRPr="0078289D">
        <w:rPr>
          <w:rFonts w:eastAsia="Times New Roman"/>
          <w:sz w:val="28"/>
          <w:szCs w:val="28"/>
          <w:u w:color="000000"/>
          <w:lang w:val="es-ES" w:eastAsia="es-ES"/>
        </w:rPr>
        <w:t>calificar</w:t>
      </w:r>
      <w:r w:rsidRPr="0078289D">
        <w:rPr>
          <w:rFonts w:eastAsia="Times New Roman"/>
          <w:sz w:val="28"/>
          <w:szCs w:val="28"/>
          <w:u w:color="000000"/>
          <w:lang w:val="es-ES" w:eastAsia="es-ES"/>
        </w:rPr>
        <w:t xml:space="preserve"> </w:t>
      </w:r>
      <w:r w:rsidR="00620EEE" w:rsidRPr="0078289D">
        <w:rPr>
          <w:rFonts w:eastAsia="Times New Roman"/>
          <w:sz w:val="28"/>
          <w:szCs w:val="28"/>
          <w:u w:color="000000"/>
          <w:lang w:val="es-ES" w:eastAsia="es-ES"/>
        </w:rPr>
        <w:t xml:space="preserve">ciertas </w:t>
      </w:r>
      <w:r w:rsidRPr="0078289D">
        <w:rPr>
          <w:rFonts w:eastAsia="Times New Roman"/>
          <w:sz w:val="28"/>
          <w:szCs w:val="28"/>
          <w:u w:color="000000"/>
          <w:lang w:val="es-ES" w:eastAsia="es-ES"/>
        </w:rPr>
        <w:t>áreas de</w:t>
      </w:r>
      <w:r w:rsidR="00620EEE" w:rsidRPr="0078289D">
        <w:rPr>
          <w:rFonts w:eastAsia="Times New Roman"/>
          <w:sz w:val="28"/>
          <w:szCs w:val="28"/>
          <w:u w:color="000000"/>
          <w:lang w:val="es-ES" w:eastAsia="es-ES"/>
        </w:rPr>
        <w:t>l territorio nacional como áreas de reserva estratégica minera</w:t>
      </w:r>
      <w:r w:rsidR="00490B94" w:rsidRPr="0078289D">
        <w:rPr>
          <w:rFonts w:eastAsia="Times New Roman"/>
          <w:sz w:val="28"/>
          <w:szCs w:val="28"/>
          <w:u w:color="000000"/>
          <w:lang w:val="es-ES" w:eastAsia="es-ES"/>
        </w:rPr>
        <w:t xml:space="preserve"> para</w:t>
      </w:r>
      <w:r w:rsidR="00960EC0" w:rsidRPr="0078289D">
        <w:rPr>
          <w:rFonts w:eastAsia="Times New Roman"/>
          <w:sz w:val="28"/>
          <w:szCs w:val="28"/>
          <w:u w:color="000000"/>
          <w:lang w:val="es-ES" w:eastAsia="es-ES"/>
        </w:rPr>
        <w:t xml:space="preserve"> </w:t>
      </w:r>
      <w:r w:rsidR="00490B94" w:rsidRPr="0078289D">
        <w:rPr>
          <w:rFonts w:eastAsia="Times New Roman"/>
          <w:sz w:val="28"/>
          <w:szCs w:val="28"/>
          <w:u w:color="000000"/>
          <w:lang w:val="es-ES" w:eastAsia="es-ES"/>
        </w:rPr>
        <w:t>definir</w:t>
      </w:r>
      <w:r w:rsidRPr="0078289D">
        <w:rPr>
          <w:rFonts w:eastAsia="Times New Roman"/>
          <w:sz w:val="28"/>
          <w:szCs w:val="28"/>
          <w:u w:color="000000"/>
          <w:lang w:val="es-ES" w:eastAsia="es-ES"/>
        </w:rPr>
        <w:t xml:space="preserve"> </w:t>
      </w:r>
      <w:r w:rsidR="003C6645" w:rsidRPr="0078289D">
        <w:rPr>
          <w:rFonts w:eastAsia="Times New Roman"/>
          <w:sz w:val="28"/>
          <w:szCs w:val="28"/>
          <w:u w:color="000000"/>
          <w:lang w:val="es-ES" w:eastAsia="es-ES"/>
        </w:rPr>
        <w:t>en ellas un tipo especial de</w:t>
      </w:r>
      <w:r w:rsidRPr="0078289D">
        <w:rPr>
          <w:rFonts w:eastAsia="Times New Roman"/>
          <w:sz w:val="28"/>
          <w:szCs w:val="28"/>
          <w:u w:color="000000"/>
          <w:lang w:val="es-ES" w:eastAsia="es-ES"/>
        </w:rPr>
        <w:t xml:space="preserve"> </w:t>
      </w:r>
      <w:r w:rsidR="00C60203" w:rsidRPr="0078289D">
        <w:rPr>
          <w:rFonts w:eastAsia="Times New Roman"/>
          <w:sz w:val="28"/>
          <w:szCs w:val="28"/>
          <w:u w:color="000000"/>
          <w:lang w:val="es-ES" w:eastAsia="es-ES"/>
        </w:rPr>
        <w:t>ordenamiento</w:t>
      </w:r>
      <w:r w:rsidR="00032582" w:rsidRPr="0078289D">
        <w:rPr>
          <w:rFonts w:eastAsia="Times New Roman"/>
          <w:sz w:val="28"/>
          <w:szCs w:val="28"/>
          <w:u w:color="000000"/>
          <w:lang w:val="es-ES" w:eastAsia="es-ES"/>
        </w:rPr>
        <w:t>,</w:t>
      </w:r>
      <w:r w:rsidR="00C60203" w:rsidRPr="0078289D">
        <w:rPr>
          <w:rFonts w:eastAsia="Times New Roman"/>
          <w:sz w:val="28"/>
          <w:szCs w:val="28"/>
          <w:u w:color="000000"/>
          <w:lang w:val="es-ES" w:eastAsia="es-ES"/>
        </w:rPr>
        <w:t xml:space="preserve"> </w:t>
      </w:r>
      <w:r w:rsidR="008D536D" w:rsidRPr="0078289D">
        <w:rPr>
          <w:rFonts w:eastAsia="Times New Roman"/>
          <w:sz w:val="28"/>
          <w:szCs w:val="28"/>
          <w:u w:color="000000"/>
          <w:lang w:val="es-ES" w:eastAsia="es-ES"/>
        </w:rPr>
        <w:t>así como un</w:t>
      </w:r>
      <w:r w:rsidR="003C6645" w:rsidRPr="0078289D">
        <w:rPr>
          <w:rFonts w:eastAsia="Times New Roman"/>
          <w:sz w:val="28"/>
          <w:szCs w:val="28"/>
          <w:u w:color="000000"/>
          <w:lang w:val="es-ES" w:eastAsia="es-ES"/>
        </w:rPr>
        <w:t xml:space="preserve"> régimen legal y contractual</w:t>
      </w:r>
      <w:r w:rsidR="008D536D" w:rsidRPr="0078289D">
        <w:rPr>
          <w:rFonts w:eastAsia="Times New Roman"/>
          <w:sz w:val="28"/>
          <w:szCs w:val="28"/>
          <w:u w:color="000000"/>
          <w:lang w:val="es-ES" w:eastAsia="es-ES"/>
        </w:rPr>
        <w:t xml:space="preserve"> </w:t>
      </w:r>
      <w:r w:rsidR="009B180D" w:rsidRPr="0078289D">
        <w:rPr>
          <w:rFonts w:eastAsia="Times New Roman"/>
          <w:sz w:val="28"/>
          <w:szCs w:val="28"/>
          <w:u w:color="000000"/>
          <w:lang w:val="es-ES" w:eastAsia="es-ES"/>
        </w:rPr>
        <w:t>específicos</w:t>
      </w:r>
      <w:r w:rsidRPr="0078289D">
        <w:rPr>
          <w:rFonts w:eastAsia="Times New Roman"/>
          <w:sz w:val="28"/>
          <w:szCs w:val="28"/>
          <w:u w:color="000000"/>
          <w:lang w:val="es-ES" w:eastAsia="es-ES"/>
        </w:rPr>
        <w:t xml:space="preserve">. </w:t>
      </w:r>
      <w:r w:rsidR="00071D91" w:rsidRPr="0078289D">
        <w:rPr>
          <w:rFonts w:eastAsia="Times New Roman"/>
          <w:sz w:val="28"/>
          <w:szCs w:val="28"/>
          <w:u w:color="000000"/>
          <w:lang w:val="es-ES" w:eastAsia="es-ES"/>
        </w:rPr>
        <w:t xml:space="preserve">En particular, la disposición demandada </w:t>
      </w:r>
      <w:r w:rsidR="0057336C" w:rsidRPr="0078289D">
        <w:rPr>
          <w:rFonts w:eastAsia="Times New Roman"/>
          <w:sz w:val="28"/>
          <w:szCs w:val="28"/>
          <w:u w:color="000000"/>
          <w:lang w:val="es-ES" w:eastAsia="es-ES"/>
        </w:rPr>
        <w:t xml:space="preserve">tiene como finalidad </w:t>
      </w:r>
      <w:r w:rsidR="00071D91" w:rsidRPr="0078289D">
        <w:rPr>
          <w:rFonts w:eastAsia="Times New Roman"/>
          <w:sz w:val="28"/>
          <w:szCs w:val="28"/>
          <w:u w:color="000000"/>
          <w:lang w:val="es-ES" w:eastAsia="es-ES"/>
        </w:rPr>
        <w:t xml:space="preserve">excluir </w:t>
      </w:r>
      <w:r w:rsidR="00B2134E" w:rsidRPr="0078289D">
        <w:rPr>
          <w:rFonts w:eastAsia="Times New Roman"/>
          <w:sz w:val="28"/>
          <w:szCs w:val="28"/>
          <w:u w:color="000000"/>
          <w:lang w:val="es-ES" w:eastAsia="es-ES"/>
        </w:rPr>
        <w:t xml:space="preserve">las áreas de reserva especial minera </w:t>
      </w:r>
      <w:r w:rsidR="00071D91" w:rsidRPr="0078289D">
        <w:rPr>
          <w:rFonts w:eastAsia="Times New Roman"/>
          <w:sz w:val="28"/>
          <w:szCs w:val="28"/>
          <w:u w:color="000000"/>
          <w:lang w:val="es-ES" w:eastAsia="es-ES"/>
        </w:rPr>
        <w:t xml:space="preserve">del régimen ordinario </w:t>
      </w:r>
      <w:r w:rsidR="00B2134E" w:rsidRPr="0078289D">
        <w:rPr>
          <w:rFonts w:eastAsia="Times New Roman"/>
          <w:sz w:val="28"/>
          <w:szCs w:val="28"/>
          <w:u w:color="000000"/>
          <w:lang w:val="es-ES" w:eastAsia="es-ES"/>
        </w:rPr>
        <w:t>de la minería</w:t>
      </w:r>
      <w:r w:rsidR="00BC62D5" w:rsidRPr="0078289D">
        <w:rPr>
          <w:rFonts w:eastAsia="Times New Roman"/>
          <w:sz w:val="28"/>
          <w:szCs w:val="28"/>
          <w:u w:color="000000"/>
          <w:lang w:val="es-ES" w:eastAsia="es-ES"/>
        </w:rPr>
        <w:t xml:space="preserve"> regulado por el Código de Minas</w:t>
      </w:r>
      <w:r w:rsidR="0057336C" w:rsidRPr="0078289D">
        <w:rPr>
          <w:rFonts w:eastAsia="Times New Roman"/>
          <w:sz w:val="28"/>
          <w:szCs w:val="28"/>
          <w:u w:color="000000"/>
          <w:lang w:val="es-ES" w:eastAsia="es-ES"/>
        </w:rPr>
        <w:t>.</w:t>
      </w:r>
      <w:r w:rsidR="00B2134E" w:rsidRPr="0078289D">
        <w:rPr>
          <w:rFonts w:eastAsia="Times New Roman"/>
          <w:sz w:val="28"/>
          <w:szCs w:val="28"/>
          <w:u w:color="000000"/>
          <w:lang w:val="es-ES" w:eastAsia="es-ES"/>
        </w:rPr>
        <w:t xml:space="preserve"> </w:t>
      </w:r>
      <w:r w:rsidR="0057336C" w:rsidRPr="0078289D">
        <w:rPr>
          <w:rFonts w:eastAsia="Times New Roman"/>
          <w:sz w:val="28"/>
          <w:szCs w:val="28"/>
          <w:u w:color="000000"/>
          <w:lang w:val="es-ES" w:eastAsia="es-ES"/>
        </w:rPr>
        <w:t xml:space="preserve">Con ello busca </w:t>
      </w:r>
      <w:r w:rsidR="009D7954" w:rsidRPr="0078289D">
        <w:rPr>
          <w:rFonts w:eastAsia="Times New Roman"/>
          <w:sz w:val="28"/>
          <w:szCs w:val="28"/>
          <w:u w:color="000000"/>
          <w:lang w:val="es-ES" w:eastAsia="es-ES"/>
        </w:rPr>
        <w:t xml:space="preserve">focalizar la labor de obtención de información geológica, </w:t>
      </w:r>
      <w:r w:rsidR="00361F6D" w:rsidRPr="0078289D">
        <w:rPr>
          <w:rFonts w:eastAsia="Times New Roman"/>
          <w:sz w:val="28"/>
          <w:szCs w:val="28"/>
          <w:u w:color="000000"/>
          <w:lang w:val="es-ES" w:eastAsia="es-ES"/>
        </w:rPr>
        <w:t xml:space="preserve">para </w:t>
      </w:r>
      <w:r w:rsidR="00E6411E" w:rsidRPr="0078289D">
        <w:rPr>
          <w:rFonts w:eastAsia="Times New Roman"/>
          <w:sz w:val="28"/>
          <w:szCs w:val="28"/>
          <w:u w:color="000000"/>
          <w:lang w:val="es-ES" w:eastAsia="es-ES"/>
        </w:rPr>
        <w:t xml:space="preserve">impedir </w:t>
      </w:r>
      <w:r w:rsidR="00365B85" w:rsidRPr="0078289D">
        <w:rPr>
          <w:rFonts w:eastAsia="Times New Roman"/>
          <w:sz w:val="28"/>
          <w:szCs w:val="28"/>
          <w:u w:color="000000"/>
          <w:lang w:val="es-ES" w:eastAsia="es-ES"/>
        </w:rPr>
        <w:t xml:space="preserve">la proliferación </w:t>
      </w:r>
      <w:r w:rsidR="009B180D" w:rsidRPr="0078289D">
        <w:rPr>
          <w:rFonts w:eastAsia="Times New Roman"/>
          <w:sz w:val="28"/>
          <w:szCs w:val="28"/>
          <w:u w:color="000000"/>
          <w:lang w:val="es-ES" w:eastAsia="es-ES"/>
        </w:rPr>
        <w:t xml:space="preserve">desordenada </w:t>
      </w:r>
      <w:r w:rsidR="00365B85" w:rsidRPr="0078289D">
        <w:rPr>
          <w:rFonts w:eastAsia="Times New Roman"/>
          <w:sz w:val="28"/>
          <w:szCs w:val="28"/>
          <w:u w:color="000000"/>
          <w:lang w:val="es-ES" w:eastAsia="es-ES"/>
        </w:rPr>
        <w:t xml:space="preserve">de títulos mineros </w:t>
      </w:r>
      <w:r w:rsidR="000C7578" w:rsidRPr="0078289D">
        <w:rPr>
          <w:rFonts w:eastAsia="Times New Roman"/>
          <w:sz w:val="28"/>
          <w:szCs w:val="28"/>
          <w:u w:color="000000"/>
          <w:lang w:val="es-ES" w:eastAsia="es-ES"/>
        </w:rPr>
        <w:t xml:space="preserve">en determinadas áreas </w:t>
      </w:r>
      <w:r w:rsidR="009B180D" w:rsidRPr="0078289D">
        <w:rPr>
          <w:rFonts w:eastAsia="Times New Roman"/>
          <w:sz w:val="28"/>
          <w:szCs w:val="28"/>
          <w:u w:color="000000"/>
          <w:lang w:val="es-ES" w:eastAsia="es-ES"/>
        </w:rPr>
        <w:t>del territorio nacional,</w:t>
      </w:r>
      <w:r w:rsidR="009D7954" w:rsidRPr="0078289D">
        <w:rPr>
          <w:rFonts w:eastAsia="Times New Roman"/>
          <w:sz w:val="28"/>
          <w:szCs w:val="28"/>
          <w:u w:color="000000"/>
          <w:lang w:val="es-ES" w:eastAsia="es-ES"/>
        </w:rPr>
        <w:t xml:space="preserve"> </w:t>
      </w:r>
      <w:r w:rsidR="00361F6D" w:rsidRPr="0078289D">
        <w:rPr>
          <w:rFonts w:eastAsia="Times New Roman"/>
          <w:sz w:val="28"/>
          <w:szCs w:val="28"/>
          <w:u w:color="000000"/>
          <w:lang w:val="es-ES" w:eastAsia="es-ES"/>
        </w:rPr>
        <w:t>garantizando así</w:t>
      </w:r>
      <w:r w:rsidR="00934B82" w:rsidRPr="0078289D">
        <w:rPr>
          <w:rFonts w:eastAsia="Times New Roman"/>
          <w:sz w:val="28"/>
          <w:szCs w:val="28"/>
          <w:u w:color="000000"/>
          <w:lang w:val="es-ES" w:eastAsia="es-ES"/>
        </w:rPr>
        <w:t xml:space="preserve"> una mayor </w:t>
      </w:r>
      <w:r w:rsidR="009839FB" w:rsidRPr="0078289D">
        <w:rPr>
          <w:rFonts w:eastAsia="Times New Roman"/>
          <w:sz w:val="28"/>
          <w:szCs w:val="28"/>
          <w:u w:color="000000"/>
          <w:lang w:val="es-ES" w:eastAsia="es-ES"/>
        </w:rPr>
        <w:t>eficiencia en la extra</w:t>
      </w:r>
      <w:r w:rsidR="00361F6D" w:rsidRPr="0078289D">
        <w:rPr>
          <w:rFonts w:eastAsia="Times New Roman"/>
          <w:sz w:val="28"/>
          <w:szCs w:val="28"/>
          <w:u w:color="000000"/>
          <w:lang w:val="es-ES" w:eastAsia="es-ES"/>
        </w:rPr>
        <w:t>cción de recursos, e incrementando</w:t>
      </w:r>
      <w:r w:rsidR="009839FB" w:rsidRPr="0078289D">
        <w:rPr>
          <w:rFonts w:eastAsia="Times New Roman"/>
          <w:sz w:val="28"/>
          <w:szCs w:val="28"/>
          <w:u w:color="000000"/>
          <w:lang w:val="es-ES" w:eastAsia="es-ES"/>
        </w:rPr>
        <w:t xml:space="preserve"> la </w:t>
      </w:r>
      <w:r w:rsidR="00934B82" w:rsidRPr="0078289D">
        <w:rPr>
          <w:rFonts w:eastAsia="Times New Roman"/>
          <w:sz w:val="28"/>
          <w:szCs w:val="28"/>
          <w:u w:color="000000"/>
          <w:lang w:val="es-ES" w:eastAsia="es-ES"/>
        </w:rPr>
        <w:t xml:space="preserve">participación estatal </w:t>
      </w:r>
      <w:r w:rsidR="00347F72" w:rsidRPr="0078289D">
        <w:rPr>
          <w:rFonts w:eastAsia="Times New Roman"/>
          <w:sz w:val="28"/>
          <w:szCs w:val="28"/>
          <w:u w:color="000000"/>
          <w:lang w:val="es-ES" w:eastAsia="es-ES"/>
        </w:rPr>
        <w:t>de</w:t>
      </w:r>
      <w:r w:rsidR="008D5832" w:rsidRPr="0078289D">
        <w:rPr>
          <w:rFonts w:eastAsia="Times New Roman"/>
          <w:sz w:val="28"/>
          <w:szCs w:val="28"/>
          <w:u w:color="000000"/>
          <w:lang w:val="es-ES" w:eastAsia="es-ES"/>
        </w:rPr>
        <w:t xml:space="preserve"> los beneficios provenientes de</w:t>
      </w:r>
      <w:r w:rsidR="00347F72" w:rsidRPr="0078289D">
        <w:rPr>
          <w:rFonts w:eastAsia="Times New Roman"/>
          <w:sz w:val="28"/>
          <w:szCs w:val="28"/>
          <w:u w:color="000000"/>
          <w:lang w:val="es-ES" w:eastAsia="es-ES"/>
        </w:rPr>
        <w:t xml:space="preserve"> la ejecución de esta actividad</w:t>
      </w:r>
      <w:r w:rsidR="00361F6D" w:rsidRPr="0078289D">
        <w:rPr>
          <w:rFonts w:eastAsia="Times New Roman"/>
          <w:sz w:val="28"/>
          <w:szCs w:val="28"/>
          <w:u w:color="000000"/>
          <w:lang w:val="es-ES" w:eastAsia="es-ES"/>
        </w:rPr>
        <w:t xml:space="preserve"> en dichas áreas</w:t>
      </w:r>
      <w:r w:rsidR="00347F72" w:rsidRPr="0078289D">
        <w:rPr>
          <w:rFonts w:eastAsia="Times New Roman"/>
          <w:sz w:val="28"/>
          <w:szCs w:val="28"/>
          <w:u w:color="000000"/>
          <w:lang w:val="es-ES" w:eastAsia="es-ES"/>
        </w:rPr>
        <w:t>.</w:t>
      </w:r>
      <w:r w:rsidR="00E6411E" w:rsidRPr="0078289D">
        <w:rPr>
          <w:rFonts w:eastAsia="Times New Roman"/>
          <w:sz w:val="28"/>
          <w:szCs w:val="28"/>
          <w:u w:color="000000"/>
          <w:lang w:val="es-ES" w:eastAsia="es-ES"/>
        </w:rPr>
        <w:t xml:space="preserve"> </w:t>
      </w:r>
    </w:p>
    <w:p w:rsidR="00347F72" w:rsidRPr="0078289D" w:rsidRDefault="00347F72"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322F50" w:rsidRPr="0078289D" w:rsidRDefault="00322F50"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De hecho, las bases del Plan Nacional de Desarrollo expedido mediante la Ley 1753 de 2015 </w:t>
      </w:r>
      <w:r w:rsidR="00314AA3" w:rsidRPr="0078289D">
        <w:rPr>
          <w:rFonts w:eastAsia="Times New Roman"/>
          <w:sz w:val="28"/>
          <w:szCs w:val="28"/>
          <w:u w:color="000000"/>
          <w:lang w:val="es-ES" w:eastAsia="es-ES"/>
        </w:rPr>
        <w:t xml:space="preserve">se refieren </w:t>
      </w:r>
      <w:r w:rsidR="005960BF" w:rsidRPr="0078289D">
        <w:rPr>
          <w:rFonts w:eastAsia="Times New Roman"/>
          <w:sz w:val="28"/>
          <w:szCs w:val="28"/>
          <w:u w:color="000000"/>
          <w:lang w:val="es-ES" w:eastAsia="es-ES"/>
        </w:rPr>
        <w:t xml:space="preserve">explícitamente </w:t>
      </w:r>
      <w:r w:rsidR="00314AA3" w:rsidRPr="0078289D">
        <w:rPr>
          <w:rFonts w:eastAsia="Times New Roman"/>
          <w:sz w:val="28"/>
          <w:szCs w:val="28"/>
          <w:u w:color="000000"/>
          <w:lang w:val="es-ES" w:eastAsia="es-ES"/>
        </w:rPr>
        <w:t>al propósito de las áreas de reserva especial minera. En relación con la región de la Orinoquía, dice este documento:</w:t>
      </w:r>
    </w:p>
    <w:p w:rsidR="00314AA3" w:rsidRPr="0078289D" w:rsidRDefault="00314AA3"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314AA3" w:rsidRPr="0078289D" w:rsidRDefault="009F49B3" w:rsidP="0078289D">
      <w:pPr>
        <w:pBdr>
          <w:top w:val="none" w:sz="0" w:space="0" w:color="auto"/>
          <w:left w:val="none" w:sz="0" w:space="0" w:color="auto"/>
          <w:bottom w:val="none" w:sz="0" w:space="0" w:color="auto"/>
          <w:right w:val="none" w:sz="0" w:space="0" w:color="auto"/>
        </w:pBdr>
        <w:shd w:val="clear" w:color="auto" w:fill="FFFFFF"/>
        <w:suppressAutoHyphens/>
        <w:ind w:left="567"/>
        <w:jc w:val="both"/>
        <w:textAlignment w:val="baseline"/>
        <w:rPr>
          <w:rFonts w:eastAsia="Times New Roman"/>
          <w:b/>
          <w:sz w:val="28"/>
          <w:szCs w:val="28"/>
          <w:u w:color="000000"/>
          <w:lang w:val="es-ES" w:eastAsia="es-ES"/>
        </w:rPr>
      </w:pPr>
      <w:r w:rsidRPr="0078289D">
        <w:rPr>
          <w:rFonts w:eastAsia="Times New Roman"/>
          <w:sz w:val="28"/>
          <w:szCs w:val="28"/>
          <w:u w:color="000000"/>
          <w:lang w:val="es-ES" w:eastAsia="es-ES"/>
        </w:rPr>
        <w:t>“</w:t>
      </w:r>
      <w:r w:rsidR="00314AA3" w:rsidRPr="0078289D">
        <w:rPr>
          <w:rFonts w:eastAsia="Times New Roman"/>
          <w:i/>
          <w:sz w:val="28"/>
          <w:szCs w:val="28"/>
          <w:u w:color="000000"/>
          <w:lang w:val="es-ES" w:eastAsia="es-ES"/>
        </w:rPr>
        <w:t xml:space="preserve">Para lograr este objetivo y generar bienestar a las distintas comunidades y formas de vida en las zonas geográficas que componen los Llanos, la Nación, en diálogo con el territorio propone: (…) 3) </w:t>
      </w:r>
      <w:r w:rsidR="00314AA3" w:rsidRPr="0078289D">
        <w:rPr>
          <w:rFonts w:eastAsia="Times New Roman"/>
          <w:i/>
          <w:sz w:val="28"/>
          <w:szCs w:val="28"/>
          <w:u w:color="000000"/>
          <w:lang w:val="es-ES" w:eastAsia="es-ES"/>
        </w:rPr>
        <w:lastRenderedPageBreak/>
        <w:t>promover el desarrollo de una minería responsable para minerales estratégicos en las zonas geográficas de la altillanura de conservación, la zona de transición Orinoquía-Amazonía.</w:t>
      </w:r>
      <w:r w:rsidR="00314AA3" w:rsidRPr="0078289D">
        <w:rPr>
          <w:rFonts w:eastAsia="Times New Roman"/>
          <w:sz w:val="28"/>
          <w:szCs w:val="28"/>
          <w:u w:color="000000"/>
          <w:lang w:val="es-ES" w:eastAsia="es-ES"/>
        </w:rPr>
        <w:t>”</w:t>
      </w:r>
    </w:p>
    <w:p w:rsidR="00314AA3" w:rsidRPr="0078289D" w:rsidRDefault="00314AA3" w:rsidP="0078289D">
      <w:pPr>
        <w:pBdr>
          <w:top w:val="none" w:sz="0" w:space="0" w:color="auto"/>
          <w:left w:val="none" w:sz="0" w:space="0" w:color="auto"/>
          <w:bottom w:val="none" w:sz="0" w:space="0" w:color="auto"/>
          <w:right w:val="none" w:sz="0" w:space="0" w:color="auto"/>
        </w:pBdr>
        <w:shd w:val="clear" w:color="auto" w:fill="FFFFFF"/>
        <w:suppressAutoHyphens/>
        <w:ind w:left="567"/>
        <w:jc w:val="both"/>
        <w:textAlignment w:val="baseline"/>
        <w:rPr>
          <w:rFonts w:eastAsia="Times New Roman"/>
          <w:b/>
          <w:sz w:val="28"/>
          <w:szCs w:val="28"/>
          <w:u w:color="000000"/>
          <w:lang w:val="es-ES" w:eastAsia="es-ES"/>
        </w:rPr>
      </w:pPr>
    </w:p>
    <w:p w:rsidR="00314AA3" w:rsidRPr="0078289D" w:rsidRDefault="00314AA3" w:rsidP="0078289D">
      <w:pPr>
        <w:pBdr>
          <w:top w:val="none" w:sz="0" w:space="0" w:color="auto"/>
          <w:left w:val="none" w:sz="0" w:space="0" w:color="auto"/>
          <w:bottom w:val="none" w:sz="0" w:space="0" w:color="auto"/>
          <w:right w:val="none" w:sz="0" w:space="0" w:color="auto"/>
        </w:pBdr>
        <w:shd w:val="clear" w:color="auto" w:fill="FFFFFF"/>
        <w:suppressAutoHyphens/>
        <w:ind w:left="567"/>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w:t>
      </w:r>
      <w:r w:rsidRPr="0078289D">
        <w:rPr>
          <w:rFonts w:eastAsia="Times New Roman"/>
          <w:b/>
          <w:i/>
          <w:sz w:val="28"/>
          <w:szCs w:val="28"/>
          <w:u w:color="000000"/>
          <w:lang w:val="es-ES" w:eastAsia="es-ES"/>
        </w:rPr>
        <w:t>Las Áreas Estratégicas Mineras</w:t>
      </w:r>
      <w:r w:rsidRPr="0078289D">
        <w:rPr>
          <w:rFonts w:eastAsia="Times New Roman"/>
          <w:i/>
          <w:sz w:val="28"/>
          <w:szCs w:val="28"/>
          <w:u w:color="000000"/>
          <w:lang w:val="es-ES" w:eastAsia="es-ES"/>
        </w:rPr>
        <w:t xml:space="preserve">, particularmente las ubicadas en los departamentos de Vaupés, Guainía y Vichada, </w:t>
      </w:r>
      <w:r w:rsidRPr="0078289D">
        <w:rPr>
          <w:rFonts w:eastAsia="Times New Roman"/>
          <w:b/>
          <w:i/>
          <w:sz w:val="28"/>
          <w:szCs w:val="28"/>
          <w:u w:color="000000"/>
          <w:lang w:val="es-ES" w:eastAsia="es-ES"/>
        </w:rPr>
        <w:t>corresponden a zonas con potencial de explotación de minerales estratégicos</w:t>
      </w:r>
      <w:r w:rsidRPr="0078289D">
        <w:rPr>
          <w:rFonts w:eastAsia="Times New Roman"/>
          <w:i/>
          <w:sz w:val="28"/>
          <w:szCs w:val="28"/>
          <w:u w:color="000000"/>
          <w:lang w:val="es-ES" w:eastAsia="es-ES"/>
        </w:rPr>
        <w:t xml:space="preserve">, como el Niobio, Tantalio y arenas negras. </w:t>
      </w:r>
      <w:r w:rsidRPr="0078289D">
        <w:rPr>
          <w:rFonts w:eastAsia="Times New Roman"/>
          <w:b/>
          <w:i/>
          <w:sz w:val="28"/>
          <w:szCs w:val="28"/>
          <w:u w:color="000000"/>
          <w:lang w:val="es-ES" w:eastAsia="es-ES"/>
        </w:rPr>
        <w:t>Sobre estas áreas se priorizará la realización de procesos de selección objetiva</w:t>
      </w:r>
      <w:r w:rsidRPr="0078289D">
        <w:rPr>
          <w:rFonts w:eastAsia="Times New Roman"/>
          <w:i/>
          <w:sz w:val="28"/>
          <w:szCs w:val="28"/>
          <w:u w:color="000000"/>
          <w:lang w:val="es-ES" w:eastAsia="es-ES"/>
        </w:rPr>
        <w:t xml:space="preserve">. </w:t>
      </w:r>
      <w:r w:rsidR="006A0B38" w:rsidRPr="0078289D">
        <w:rPr>
          <w:rFonts w:eastAsia="Times New Roman"/>
          <w:i/>
          <w:sz w:val="28"/>
          <w:szCs w:val="28"/>
          <w:u w:color="000000"/>
          <w:lang w:val="es-ES" w:eastAsia="es-ES"/>
        </w:rPr>
        <w:t>…</w:t>
      </w:r>
      <w:r w:rsidRPr="0078289D">
        <w:rPr>
          <w:rFonts w:eastAsia="Times New Roman"/>
          <w:sz w:val="28"/>
          <w:szCs w:val="28"/>
          <w:u w:color="000000"/>
          <w:lang w:val="es-ES" w:eastAsia="es-ES"/>
        </w:rPr>
        <w:t>”</w:t>
      </w:r>
    </w:p>
    <w:p w:rsidR="00322F50" w:rsidRPr="0078289D" w:rsidRDefault="00322F50"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8E3AE6" w:rsidRPr="0078289D" w:rsidRDefault="0096234C"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A continuación, </w:t>
      </w:r>
      <w:r w:rsidR="00FF1BA5" w:rsidRPr="0078289D">
        <w:rPr>
          <w:rFonts w:eastAsia="Times New Roman"/>
          <w:sz w:val="28"/>
          <w:szCs w:val="28"/>
          <w:u w:color="000000"/>
          <w:lang w:val="es-ES" w:eastAsia="es-ES"/>
        </w:rPr>
        <w:t>el gobierno</w:t>
      </w:r>
      <w:r w:rsidRPr="0078289D">
        <w:rPr>
          <w:rFonts w:eastAsia="Times New Roman"/>
          <w:sz w:val="28"/>
          <w:szCs w:val="28"/>
          <w:u w:color="000000"/>
          <w:lang w:val="es-ES" w:eastAsia="es-ES"/>
        </w:rPr>
        <w:t xml:space="preserve"> resalta </w:t>
      </w:r>
      <w:r w:rsidR="00946069" w:rsidRPr="0078289D">
        <w:rPr>
          <w:rFonts w:eastAsia="Times New Roman"/>
          <w:sz w:val="28"/>
          <w:szCs w:val="28"/>
          <w:u w:color="000000"/>
          <w:lang w:val="es-ES" w:eastAsia="es-ES"/>
        </w:rPr>
        <w:t xml:space="preserve">en dicho documento </w:t>
      </w:r>
      <w:r w:rsidRPr="0078289D">
        <w:rPr>
          <w:rFonts w:eastAsia="Times New Roman"/>
          <w:sz w:val="28"/>
          <w:szCs w:val="28"/>
          <w:u w:color="000000"/>
          <w:lang w:val="es-ES" w:eastAsia="es-ES"/>
        </w:rPr>
        <w:t xml:space="preserve">la importancia que tiene la focalización para el levantamiento de información </w:t>
      </w:r>
      <w:r w:rsidR="00946069" w:rsidRPr="0078289D">
        <w:rPr>
          <w:rFonts w:eastAsia="Times New Roman"/>
          <w:sz w:val="28"/>
          <w:szCs w:val="28"/>
          <w:u w:color="000000"/>
          <w:lang w:val="es-ES" w:eastAsia="es-ES"/>
        </w:rPr>
        <w:t xml:space="preserve">geológica, </w:t>
      </w:r>
      <w:r w:rsidR="00FF1BA5" w:rsidRPr="0078289D">
        <w:rPr>
          <w:rFonts w:eastAsia="Times New Roman"/>
          <w:sz w:val="28"/>
          <w:szCs w:val="28"/>
          <w:u w:color="000000"/>
          <w:lang w:val="es-ES" w:eastAsia="es-ES"/>
        </w:rPr>
        <w:t>como parte</w:t>
      </w:r>
      <w:r w:rsidRPr="0078289D">
        <w:rPr>
          <w:rFonts w:eastAsia="Times New Roman"/>
          <w:sz w:val="28"/>
          <w:szCs w:val="28"/>
          <w:u w:color="000000"/>
          <w:lang w:val="es-ES" w:eastAsia="es-ES"/>
        </w:rPr>
        <w:t xml:space="preserve"> del modelo de</w:t>
      </w:r>
      <w:r w:rsidR="008F7CAE" w:rsidRPr="0078289D">
        <w:rPr>
          <w:rFonts w:eastAsia="Times New Roman"/>
          <w:sz w:val="28"/>
          <w:szCs w:val="28"/>
          <w:u w:color="000000"/>
          <w:lang w:val="es-ES" w:eastAsia="es-ES"/>
        </w:rPr>
        <w:t xml:space="preserve"> definición de</w:t>
      </w:r>
      <w:r w:rsidRPr="0078289D">
        <w:rPr>
          <w:rFonts w:eastAsia="Times New Roman"/>
          <w:sz w:val="28"/>
          <w:szCs w:val="28"/>
          <w:u w:color="000000"/>
          <w:lang w:val="es-ES" w:eastAsia="es-ES"/>
        </w:rPr>
        <w:t xml:space="preserve"> áreas de reserva </w:t>
      </w:r>
      <w:r w:rsidR="00FF1BA5" w:rsidRPr="0078289D">
        <w:rPr>
          <w:rFonts w:eastAsia="Times New Roman"/>
          <w:sz w:val="28"/>
          <w:szCs w:val="28"/>
          <w:u w:color="000000"/>
          <w:lang w:val="es-ES" w:eastAsia="es-ES"/>
        </w:rPr>
        <w:t xml:space="preserve">estratégica </w:t>
      </w:r>
      <w:r w:rsidRPr="0078289D">
        <w:rPr>
          <w:rFonts w:eastAsia="Times New Roman"/>
          <w:sz w:val="28"/>
          <w:szCs w:val="28"/>
          <w:u w:color="000000"/>
          <w:lang w:val="es-ES" w:eastAsia="es-ES"/>
        </w:rPr>
        <w:t>minera</w:t>
      </w:r>
      <w:r w:rsidR="002C19A2" w:rsidRPr="0078289D">
        <w:rPr>
          <w:rFonts w:eastAsia="Times New Roman"/>
          <w:sz w:val="28"/>
          <w:szCs w:val="28"/>
          <w:u w:color="000000"/>
          <w:lang w:val="es-ES" w:eastAsia="es-ES"/>
        </w:rPr>
        <w:t>, y la necesidad de revisar el esquema de regalías en cada caso</w:t>
      </w:r>
      <w:r w:rsidRPr="0078289D">
        <w:rPr>
          <w:rFonts w:eastAsia="Times New Roman"/>
          <w:sz w:val="28"/>
          <w:szCs w:val="28"/>
          <w:u w:color="000000"/>
          <w:lang w:val="es-ES" w:eastAsia="es-ES"/>
        </w:rPr>
        <w:t xml:space="preserve">. </w:t>
      </w:r>
      <w:r w:rsidR="002C19A2" w:rsidRPr="0078289D">
        <w:rPr>
          <w:rFonts w:eastAsia="Times New Roman"/>
          <w:sz w:val="28"/>
          <w:szCs w:val="28"/>
          <w:u w:color="000000"/>
          <w:lang w:val="es-ES" w:eastAsia="es-ES"/>
        </w:rPr>
        <w:t>Al respecto dice:</w:t>
      </w:r>
    </w:p>
    <w:p w:rsidR="0096234C" w:rsidRPr="0078289D" w:rsidRDefault="0096234C"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96234C" w:rsidRPr="0078289D" w:rsidRDefault="0096234C" w:rsidP="0078289D">
      <w:pPr>
        <w:pBdr>
          <w:top w:val="none" w:sz="0" w:space="0" w:color="auto"/>
          <w:left w:val="none" w:sz="0" w:space="0" w:color="auto"/>
          <w:bottom w:val="none" w:sz="0" w:space="0" w:color="auto"/>
          <w:right w:val="none" w:sz="0" w:space="0" w:color="auto"/>
        </w:pBdr>
        <w:shd w:val="clear" w:color="auto" w:fill="FFFFFF"/>
        <w:suppressAutoHyphens/>
        <w:ind w:left="567"/>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w:t>
      </w:r>
      <w:r w:rsidRPr="0078289D">
        <w:rPr>
          <w:rFonts w:eastAsia="Times New Roman"/>
          <w:i/>
          <w:sz w:val="28"/>
          <w:szCs w:val="28"/>
          <w:u w:color="000000"/>
          <w:lang w:val="es-ES" w:eastAsia="es-ES"/>
        </w:rPr>
        <w:t>El Servicio Geológico Colombiano (SGC) priorizará el programa de exploración para estas áreas, adelantando el levantamiento geofísico adecuado y la exploración geológica y geoquímica a escala de mayor detalle. Con base en la información suministrada por el SGC y a la realidad de la demanda e importancia de los minerales estratégicos, Tantalio, Niobio y arenas negras a nivel mundial, la Autoridad Minera procederá a la revisión del esquema de regalías y contraprestaciones mínimas.</w:t>
      </w:r>
      <w:r w:rsidRPr="0078289D">
        <w:rPr>
          <w:rFonts w:eastAsia="Times New Roman"/>
          <w:sz w:val="28"/>
          <w:szCs w:val="28"/>
          <w:u w:color="000000"/>
          <w:lang w:val="es-ES" w:eastAsia="es-ES"/>
        </w:rPr>
        <w:t>”</w:t>
      </w:r>
    </w:p>
    <w:p w:rsidR="008E3AE6" w:rsidRPr="0078289D" w:rsidRDefault="008E3AE6"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No obstante, los demandantes</w:t>
      </w:r>
      <w:r w:rsidR="008754E7" w:rsidRPr="0078289D">
        <w:rPr>
          <w:rFonts w:eastAsia="Times New Roman"/>
          <w:sz w:val="28"/>
          <w:szCs w:val="28"/>
          <w:u w:color="000000"/>
          <w:lang w:val="es-ES" w:eastAsia="es-ES"/>
        </w:rPr>
        <w:t xml:space="preserve"> le atribuye</w:t>
      </w:r>
      <w:r w:rsidR="006C79C7" w:rsidRPr="0078289D">
        <w:rPr>
          <w:rFonts w:eastAsia="Times New Roman"/>
          <w:sz w:val="28"/>
          <w:szCs w:val="28"/>
          <w:u w:color="000000"/>
          <w:lang w:val="es-ES" w:eastAsia="es-ES"/>
        </w:rPr>
        <w:t>n</w:t>
      </w:r>
      <w:r w:rsidRPr="0078289D">
        <w:rPr>
          <w:rFonts w:eastAsia="Times New Roman"/>
          <w:sz w:val="28"/>
          <w:szCs w:val="28"/>
          <w:u w:color="000000"/>
          <w:lang w:val="es-ES" w:eastAsia="es-ES"/>
        </w:rPr>
        <w:t xml:space="preserve"> una serie de consecuencias </w:t>
      </w:r>
      <w:r w:rsidR="00C711C8" w:rsidRPr="0078289D">
        <w:rPr>
          <w:rFonts w:eastAsia="Times New Roman"/>
          <w:sz w:val="28"/>
          <w:szCs w:val="28"/>
          <w:u w:color="000000"/>
          <w:lang w:val="es-ES" w:eastAsia="es-ES"/>
        </w:rPr>
        <w:t>normativas</w:t>
      </w:r>
      <w:r w:rsidR="00F77F3C" w:rsidRPr="0078289D">
        <w:rPr>
          <w:rFonts w:eastAsia="Times New Roman"/>
          <w:sz w:val="28"/>
          <w:szCs w:val="28"/>
          <w:u w:color="000000"/>
          <w:lang w:val="es-ES" w:eastAsia="es-ES"/>
        </w:rPr>
        <w:t xml:space="preserve"> </w:t>
      </w:r>
      <w:r w:rsidR="006C79C7" w:rsidRPr="0078289D">
        <w:rPr>
          <w:rFonts w:eastAsia="Times New Roman"/>
          <w:sz w:val="28"/>
          <w:szCs w:val="28"/>
          <w:u w:color="000000"/>
          <w:lang w:val="es-ES" w:eastAsia="es-ES"/>
        </w:rPr>
        <w:t xml:space="preserve">al texto demandado, </w:t>
      </w:r>
      <w:r w:rsidR="000F4D69" w:rsidRPr="0078289D">
        <w:rPr>
          <w:rFonts w:eastAsia="Times New Roman"/>
          <w:sz w:val="28"/>
          <w:szCs w:val="28"/>
          <w:u w:color="000000"/>
          <w:lang w:val="es-ES" w:eastAsia="es-ES"/>
        </w:rPr>
        <w:t>según la</w:t>
      </w:r>
      <w:r w:rsidR="008754E7" w:rsidRPr="0078289D">
        <w:rPr>
          <w:rFonts w:eastAsia="Times New Roman"/>
          <w:sz w:val="28"/>
          <w:szCs w:val="28"/>
          <w:u w:color="000000"/>
          <w:lang w:val="es-ES" w:eastAsia="es-ES"/>
        </w:rPr>
        <w:t>s</w:t>
      </w:r>
      <w:r w:rsidR="000F4D69" w:rsidRPr="0078289D">
        <w:rPr>
          <w:rFonts w:eastAsia="Times New Roman"/>
          <w:sz w:val="28"/>
          <w:szCs w:val="28"/>
          <w:u w:color="000000"/>
          <w:lang w:val="es-ES" w:eastAsia="es-ES"/>
        </w:rPr>
        <w:t xml:space="preserve"> cual</w:t>
      </w:r>
      <w:r w:rsidR="008754E7" w:rsidRPr="0078289D">
        <w:rPr>
          <w:rFonts w:eastAsia="Times New Roman"/>
          <w:sz w:val="28"/>
          <w:szCs w:val="28"/>
          <w:u w:color="000000"/>
          <w:lang w:val="es-ES" w:eastAsia="es-ES"/>
        </w:rPr>
        <w:t>es</w:t>
      </w:r>
      <w:r w:rsidR="000F4D69" w:rsidRPr="0078289D">
        <w:rPr>
          <w:rFonts w:eastAsia="Times New Roman"/>
          <w:sz w:val="28"/>
          <w:szCs w:val="28"/>
          <w:u w:color="000000"/>
          <w:lang w:val="es-ES" w:eastAsia="es-ES"/>
        </w:rPr>
        <w:t xml:space="preserve"> </w:t>
      </w:r>
      <w:r w:rsidR="00F55039" w:rsidRPr="0078289D">
        <w:rPr>
          <w:rFonts w:eastAsia="Times New Roman"/>
          <w:sz w:val="28"/>
          <w:szCs w:val="28"/>
          <w:u w:color="000000"/>
          <w:lang w:val="es-ES" w:eastAsia="es-ES"/>
        </w:rPr>
        <w:t xml:space="preserve">al interior de estas áreas </w:t>
      </w:r>
      <w:r w:rsidR="000F4D69" w:rsidRPr="0078289D">
        <w:rPr>
          <w:rFonts w:eastAsia="Times New Roman"/>
          <w:sz w:val="28"/>
          <w:szCs w:val="28"/>
          <w:u w:color="000000"/>
          <w:lang w:val="es-ES" w:eastAsia="es-ES"/>
        </w:rPr>
        <w:t xml:space="preserve">estarían prohibidas las </w:t>
      </w:r>
      <w:r w:rsidR="00F77F3C" w:rsidRPr="0078289D">
        <w:rPr>
          <w:rFonts w:eastAsia="Times New Roman"/>
          <w:sz w:val="28"/>
          <w:szCs w:val="28"/>
          <w:u w:color="000000"/>
          <w:lang w:val="es-ES" w:eastAsia="es-ES"/>
        </w:rPr>
        <w:t>actividades agrícolas</w:t>
      </w:r>
      <w:r w:rsidR="007537E4" w:rsidRPr="0078289D">
        <w:rPr>
          <w:rFonts w:eastAsia="Times New Roman"/>
          <w:sz w:val="28"/>
          <w:szCs w:val="28"/>
          <w:u w:color="000000"/>
          <w:lang w:val="es-ES" w:eastAsia="es-ES"/>
        </w:rPr>
        <w:t>.</w:t>
      </w:r>
      <w:r w:rsidR="000F4D69" w:rsidRPr="0078289D">
        <w:rPr>
          <w:rFonts w:eastAsia="Times New Roman"/>
          <w:sz w:val="28"/>
          <w:szCs w:val="28"/>
          <w:u w:color="000000"/>
          <w:lang w:val="es-ES" w:eastAsia="es-ES"/>
        </w:rPr>
        <w:t xml:space="preserve"> </w:t>
      </w:r>
      <w:r w:rsidR="000563E2" w:rsidRPr="0078289D">
        <w:rPr>
          <w:rFonts w:eastAsia="Times New Roman"/>
          <w:sz w:val="28"/>
          <w:szCs w:val="28"/>
          <w:u w:color="000000"/>
          <w:lang w:val="es-ES" w:eastAsia="es-ES"/>
        </w:rPr>
        <w:t xml:space="preserve">Así mismo, según </w:t>
      </w:r>
      <w:r w:rsidR="006C79C7" w:rsidRPr="0078289D">
        <w:rPr>
          <w:rFonts w:eastAsia="Times New Roman"/>
          <w:sz w:val="28"/>
          <w:szCs w:val="28"/>
          <w:u w:color="000000"/>
          <w:lang w:val="es-ES" w:eastAsia="es-ES"/>
        </w:rPr>
        <w:t>su</w:t>
      </w:r>
      <w:r w:rsidR="000563E2" w:rsidRPr="0078289D">
        <w:rPr>
          <w:rFonts w:eastAsia="Times New Roman"/>
          <w:sz w:val="28"/>
          <w:szCs w:val="28"/>
          <w:u w:color="000000"/>
          <w:lang w:val="es-ES" w:eastAsia="es-ES"/>
        </w:rPr>
        <w:t xml:space="preserve"> interpretación</w:t>
      </w:r>
      <w:r w:rsidR="005C700B" w:rsidRPr="0078289D">
        <w:rPr>
          <w:rFonts w:eastAsia="Times New Roman"/>
          <w:sz w:val="28"/>
          <w:szCs w:val="28"/>
          <w:u w:color="000000"/>
          <w:lang w:val="es-ES" w:eastAsia="es-ES"/>
        </w:rPr>
        <w:t>,</w:t>
      </w:r>
      <w:r w:rsidR="00664D0D" w:rsidRPr="0078289D">
        <w:rPr>
          <w:rFonts w:eastAsia="Times New Roman"/>
          <w:sz w:val="28"/>
          <w:szCs w:val="28"/>
          <w:u w:color="000000"/>
          <w:lang w:val="es-ES" w:eastAsia="es-ES"/>
        </w:rPr>
        <w:t xml:space="preserve"> la </w:t>
      </w:r>
      <w:r w:rsidR="005C700B" w:rsidRPr="0078289D">
        <w:rPr>
          <w:rFonts w:eastAsia="Times New Roman"/>
          <w:sz w:val="28"/>
          <w:szCs w:val="28"/>
          <w:u w:color="000000"/>
          <w:lang w:val="es-ES" w:eastAsia="es-ES"/>
        </w:rPr>
        <w:t>creación de</w:t>
      </w:r>
      <w:r w:rsidR="00664D0D" w:rsidRPr="0078289D">
        <w:rPr>
          <w:rFonts w:eastAsia="Times New Roman"/>
          <w:sz w:val="28"/>
          <w:szCs w:val="28"/>
          <w:u w:color="000000"/>
          <w:lang w:val="es-ES" w:eastAsia="es-ES"/>
        </w:rPr>
        <w:t xml:space="preserve"> áreas</w:t>
      </w:r>
      <w:r w:rsidR="005C700B" w:rsidRPr="0078289D">
        <w:rPr>
          <w:rFonts w:eastAsia="Times New Roman"/>
          <w:sz w:val="28"/>
          <w:szCs w:val="28"/>
          <w:u w:color="000000"/>
          <w:lang w:val="es-ES" w:eastAsia="es-ES"/>
        </w:rPr>
        <w:t xml:space="preserve"> de reserva estratégica minera necesariamente</w:t>
      </w:r>
      <w:r w:rsidR="001934D9" w:rsidRPr="0078289D">
        <w:rPr>
          <w:rFonts w:eastAsia="Times New Roman"/>
          <w:sz w:val="28"/>
          <w:szCs w:val="28"/>
          <w:u w:color="000000"/>
          <w:lang w:val="es-ES" w:eastAsia="es-ES"/>
        </w:rPr>
        <w:t xml:space="preserve"> implicaría</w:t>
      </w:r>
      <w:r w:rsidR="000544C3" w:rsidRPr="0078289D">
        <w:rPr>
          <w:rFonts w:eastAsia="Times New Roman"/>
          <w:sz w:val="28"/>
          <w:szCs w:val="28"/>
          <w:u w:color="000000"/>
          <w:lang w:val="es-ES" w:eastAsia="es-ES"/>
        </w:rPr>
        <w:t xml:space="preserve"> </w:t>
      </w:r>
      <w:r w:rsidR="001934D9" w:rsidRPr="0078289D">
        <w:rPr>
          <w:rFonts w:eastAsia="Times New Roman"/>
          <w:sz w:val="28"/>
          <w:szCs w:val="28"/>
          <w:u w:color="000000"/>
          <w:lang w:val="es-ES" w:eastAsia="es-ES"/>
        </w:rPr>
        <w:t>una afectación del medio ambiente.</w:t>
      </w:r>
      <w:r w:rsidR="000563E2" w:rsidRPr="0078289D">
        <w:rPr>
          <w:rFonts w:eastAsia="Times New Roman"/>
          <w:sz w:val="28"/>
          <w:szCs w:val="28"/>
          <w:u w:color="000000"/>
          <w:lang w:val="es-ES" w:eastAsia="es-ES"/>
        </w:rPr>
        <w:t xml:space="preserve"> </w:t>
      </w:r>
      <w:r w:rsidR="00386DCB" w:rsidRPr="0078289D">
        <w:rPr>
          <w:rFonts w:eastAsia="Times New Roman"/>
          <w:sz w:val="28"/>
          <w:szCs w:val="28"/>
          <w:u w:color="000000"/>
          <w:lang w:val="es-ES" w:eastAsia="es-ES"/>
        </w:rPr>
        <w:t>A partir de la atribución de</w:t>
      </w:r>
      <w:r w:rsidRPr="0078289D">
        <w:rPr>
          <w:rFonts w:eastAsia="Times New Roman"/>
          <w:sz w:val="28"/>
          <w:szCs w:val="28"/>
          <w:u w:color="000000"/>
          <w:lang w:val="es-ES" w:eastAsia="es-ES"/>
        </w:rPr>
        <w:t xml:space="preserve"> estas consecuencias</w:t>
      </w:r>
      <w:r w:rsidR="008F7CAE" w:rsidRPr="0078289D">
        <w:rPr>
          <w:rFonts w:eastAsia="Times New Roman"/>
          <w:sz w:val="28"/>
          <w:szCs w:val="28"/>
          <w:u w:color="000000"/>
          <w:lang w:val="es-ES" w:eastAsia="es-ES"/>
        </w:rPr>
        <w:t>,</w:t>
      </w:r>
      <w:r w:rsidRPr="0078289D">
        <w:rPr>
          <w:rFonts w:eastAsia="Times New Roman"/>
          <w:sz w:val="28"/>
          <w:szCs w:val="28"/>
          <w:u w:color="000000"/>
          <w:lang w:val="es-ES" w:eastAsia="es-ES"/>
        </w:rPr>
        <w:t xml:space="preserve"> </w:t>
      </w:r>
      <w:r w:rsidR="00386DCB" w:rsidRPr="0078289D">
        <w:rPr>
          <w:rFonts w:eastAsia="Times New Roman"/>
          <w:sz w:val="28"/>
          <w:szCs w:val="28"/>
          <w:u w:color="000000"/>
          <w:lang w:val="es-ES" w:eastAsia="es-ES"/>
        </w:rPr>
        <w:t>los demandantes</w:t>
      </w:r>
      <w:r w:rsidRPr="0078289D">
        <w:rPr>
          <w:rFonts w:eastAsia="Times New Roman"/>
          <w:sz w:val="28"/>
          <w:szCs w:val="28"/>
          <w:u w:color="000000"/>
          <w:lang w:val="es-ES" w:eastAsia="es-ES"/>
        </w:rPr>
        <w:t xml:space="preserve"> </w:t>
      </w:r>
      <w:r w:rsidR="008F7CAE" w:rsidRPr="0078289D">
        <w:rPr>
          <w:rFonts w:eastAsia="Times New Roman"/>
          <w:sz w:val="28"/>
          <w:szCs w:val="28"/>
          <w:u w:color="000000"/>
          <w:lang w:val="es-ES" w:eastAsia="es-ES"/>
        </w:rPr>
        <w:t>sustentan</w:t>
      </w:r>
      <w:r w:rsidR="00022F3D" w:rsidRPr="0078289D">
        <w:rPr>
          <w:rFonts w:eastAsia="Times New Roman"/>
          <w:sz w:val="28"/>
          <w:szCs w:val="28"/>
          <w:u w:color="000000"/>
          <w:lang w:val="es-ES" w:eastAsia="es-ES"/>
        </w:rPr>
        <w:t xml:space="preserve"> </w:t>
      </w:r>
      <w:r w:rsidR="00FB25DA" w:rsidRPr="0078289D">
        <w:rPr>
          <w:rFonts w:eastAsia="Times New Roman"/>
          <w:sz w:val="28"/>
          <w:szCs w:val="28"/>
          <w:u w:color="000000"/>
          <w:lang w:val="es-ES" w:eastAsia="es-ES"/>
        </w:rPr>
        <w:t xml:space="preserve">los cargos por violación de los derechos de los trabajadores rurales, </w:t>
      </w:r>
      <w:r w:rsidR="002C59D2" w:rsidRPr="0078289D">
        <w:rPr>
          <w:rFonts w:eastAsia="Times New Roman"/>
          <w:sz w:val="28"/>
          <w:szCs w:val="28"/>
          <w:u w:color="000000"/>
          <w:lang w:val="es-ES" w:eastAsia="es-ES"/>
        </w:rPr>
        <w:t>de la soberaní</w:t>
      </w:r>
      <w:r w:rsidR="00FB25DA" w:rsidRPr="0078289D">
        <w:rPr>
          <w:rFonts w:eastAsia="Times New Roman"/>
          <w:sz w:val="28"/>
          <w:szCs w:val="28"/>
          <w:u w:color="000000"/>
          <w:lang w:val="es-ES" w:eastAsia="es-ES"/>
        </w:rPr>
        <w:t>a alimentaria,</w:t>
      </w:r>
      <w:r w:rsidR="000544C3" w:rsidRPr="0078289D">
        <w:rPr>
          <w:rFonts w:eastAsia="Times New Roman"/>
          <w:sz w:val="28"/>
          <w:szCs w:val="28"/>
          <w:u w:color="000000"/>
          <w:lang w:val="es-ES" w:eastAsia="es-ES"/>
        </w:rPr>
        <w:t xml:space="preserve"> de la prelación constitucional de la producción de alimentos</w:t>
      </w:r>
      <w:r w:rsidR="00FB25DA" w:rsidRPr="0078289D">
        <w:rPr>
          <w:rFonts w:eastAsia="Times New Roman"/>
          <w:sz w:val="28"/>
          <w:szCs w:val="28"/>
          <w:u w:color="000000"/>
          <w:lang w:val="es-ES" w:eastAsia="es-ES"/>
        </w:rPr>
        <w:t xml:space="preserve"> </w:t>
      </w:r>
      <w:r w:rsidR="002C59D2" w:rsidRPr="0078289D">
        <w:rPr>
          <w:rFonts w:eastAsia="Times New Roman"/>
          <w:sz w:val="28"/>
          <w:szCs w:val="28"/>
          <w:u w:color="000000"/>
          <w:lang w:val="es-ES" w:eastAsia="es-ES"/>
        </w:rPr>
        <w:t>y la protección del medio ambiente</w:t>
      </w:r>
      <w:r w:rsidRPr="0078289D">
        <w:rPr>
          <w:rFonts w:eastAsia="Times New Roman"/>
          <w:sz w:val="28"/>
          <w:szCs w:val="28"/>
          <w:u w:color="000000"/>
          <w:lang w:val="es-ES" w:eastAsia="es-ES"/>
        </w:rPr>
        <w:t>. Por lo tanto,</w:t>
      </w:r>
      <w:r w:rsidR="008F7CAE" w:rsidRPr="0078289D">
        <w:rPr>
          <w:rFonts w:eastAsia="Times New Roman"/>
          <w:sz w:val="28"/>
          <w:szCs w:val="28"/>
          <w:u w:color="000000"/>
          <w:lang w:val="es-ES" w:eastAsia="es-ES"/>
        </w:rPr>
        <w:t xml:space="preserve"> para evaluar la aptitud de los cargos,</w:t>
      </w:r>
      <w:r w:rsidRPr="0078289D">
        <w:rPr>
          <w:rFonts w:eastAsia="Times New Roman"/>
          <w:sz w:val="28"/>
          <w:szCs w:val="28"/>
          <w:u w:color="000000"/>
          <w:lang w:val="es-ES" w:eastAsia="es-ES"/>
        </w:rPr>
        <w:t xml:space="preserve"> le corresponde a la Corte establecer si tales consecuencias se desprenden de la disposición demandada</w:t>
      </w:r>
      <w:r w:rsidR="006560AE" w:rsidRPr="0078289D">
        <w:rPr>
          <w:rFonts w:eastAsia="Times New Roman"/>
          <w:sz w:val="28"/>
          <w:szCs w:val="28"/>
          <w:u w:color="000000"/>
          <w:lang w:val="es-ES" w:eastAsia="es-ES"/>
        </w:rPr>
        <w:t>, a partir de un análisis del objeto y a</w:t>
      </w:r>
      <w:r w:rsidR="00600F60" w:rsidRPr="0078289D">
        <w:rPr>
          <w:rFonts w:eastAsia="Times New Roman"/>
          <w:sz w:val="28"/>
          <w:szCs w:val="28"/>
          <w:u w:color="000000"/>
          <w:lang w:val="es-ES" w:eastAsia="es-ES"/>
        </w:rPr>
        <w:t>lcance de dicha disposición</w:t>
      </w:r>
      <w:r w:rsidRPr="0078289D">
        <w:rPr>
          <w:rFonts w:eastAsia="Times New Roman"/>
          <w:sz w:val="28"/>
          <w:szCs w:val="28"/>
          <w:u w:color="000000"/>
          <w:lang w:val="es-ES" w:eastAsia="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A166DE"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13. En </w:t>
      </w:r>
      <w:r w:rsidR="008F7CAE" w:rsidRPr="0078289D">
        <w:rPr>
          <w:rFonts w:eastAsia="Times New Roman"/>
          <w:sz w:val="28"/>
          <w:szCs w:val="28"/>
          <w:u w:color="000000"/>
          <w:lang w:val="es-ES" w:eastAsia="es-ES"/>
        </w:rPr>
        <w:t>los primeros cinco incisos del</w:t>
      </w:r>
      <w:r w:rsidR="00A37F2A" w:rsidRPr="0078289D">
        <w:rPr>
          <w:rFonts w:eastAsia="Times New Roman"/>
          <w:sz w:val="28"/>
          <w:szCs w:val="28"/>
          <w:u w:color="000000"/>
          <w:lang w:val="es-ES" w:eastAsia="es-ES"/>
        </w:rPr>
        <w:t xml:space="preserve"> artículo</w:t>
      </w:r>
      <w:r w:rsidR="008F7CAE" w:rsidRPr="0078289D">
        <w:rPr>
          <w:rFonts w:eastAsia="Times New Roman"/>
          <w:sz w:val="28"/>
          <w:szCs w:val="28"/>
          <w:u w:color="000000"/>
          <w:lang w:val="es-ES" w:eastAsia="es-ES"/>
        </w:rPr>
        <w:t xml:space="preserve"> 20 de la Ley del Plan de Desarrollo</w:t>
      </w:r>
      <w:r w:rsidR="00A37F2A" w:rsidRPr="0078289D">
        <w:rPr>
          <w:rFonts w:eastAsia="Times New Roman"/>
          <w:sz w:val="28"/>
          <w:szCs w:val="28"/>
          <w:u w:color="000000"/>
          <w:lang w:val="es-ES" w:eastAsia="es-ES"/>
        </w:rPr>
        <w:t xml:space="preserve"> </w:t>
      </w:r>
      <w:r w:rsidR="00CB5C18" w:rsidRPr="0078289D">
        <w:rPr>
          <w:rFonts w:eastAsia="Times New Roman"/>
          <w:sz w:val="28"/>
          <w:szCs w:val="28"/>
          <w:u w:color="000000"/>
          <w:lang w:val="es-ES" w:eastAsia="es-ES"/>
        </w:rPr>
        <w:t xml:space="preserve">se </w:t>
      </w:r>
      <w:r w:rsidR="00A166DE" w:rsidRPr="0078289D">
        <w:rPr>
          <w:rFonts w:eastAsia="Times New Roman"/>
          <w:sz w:val="28"/>
          <w:szCs w:val="28"/>
          <w:u w:color="000000"/>
          <w:lang w:val="es-ES" w:eastAsia="es-ES"/>
        </w:rPr>
        <w:t>regula</w:t>
      </w:r>
      <w:r w:rsidR="006E3C54" w:rsidRPr="0078289D">
        <w:rPr>
          <w:rFonts w:eastAsia="Times New Roman"/>
          <w:sz w:val="28"/>
          <w:szCs w:val="28"/>
          <w:u w:color="000000"/>
          <w:lang w:val="es-ES" w:eastAsia="es-ES"/>
        </w:rPr>
        <w:t>n</w:t>
      </w:r>
      <w:r w:rsidR="00A166DE" w:rsidRPr="0078289D">
        <w:rPr>
          <w:rFonts w:eastAsia="Times New Roman"/>
          <w:sz w:val="28"/>
          <w:szCs w:val="28"/>
          <w:u w:color="000000"/>
          <w:lang w:val="es-ES" w:eastAsia="es-ES"/>
        </w:rPr>
        <w:t xml:space="preserve"> las Áreas de Reserva Estrat</w:t>
      </w:r>
      <w:r w:rsidR="006E3C54" w:rsidRPr="0078289D">
        <w:rPr>
          <w:rFonts w:eastAsia="Times New Roman"/>
          <w:sz w:val="28"/>
          <w:szCs w:val="28"/>
          <w:u w:color="000000"/>
          <w:lang w:val="es-ES" w:eastAsia="es-ES"/>
        </w:rPr>
        <w:t>égica</w:t>
      </w:r>
      <w:r w:rsidR="00A166DE" w:rsidRPr="0078289D">
        <w:rPr>
          <w:rFonts w:eastAsia="Times New Roman"/>
          <w:sz w:val="28"/>
          <w:szCs w:val="28"/>
          <w:u w:color="000000"/>
          <w:lang w:val="es-ES" w:eastAsia="es-ES"/>
        </w:rPr>
        <w:t xml:space="preserve"> Minera. </w:t>
      </w:r>
      <w:r w:rsidR="006E3C54" w:rsidRPr="0078289D">
        <w:rPr>
          <w:rFonts w:eastAsia="Times New Roman"/>
          <w:sz w:val="28"/>
          <w:szCs w:val="28"/>
          <w:u w:color="000000"/>
          <w:lang w:val="es-ES" w:eastAsia="es-ES"/>
        </w:rPr>
        <w:t xml:space="preserve">El </w:t>
      </w:r>
      <w:r w:rsidR="00172AB4" w:rsidRPr="0078289D">
        <w:rPr>
          <w:rFonts w:eastAsia="Times New Roman"/>
          <w:sz w:val="28"/>
          <w:szCs w:val="28"/>
          <w:u w:color="000000"/>
          <w:lang w:val="es-ES" w:eastAsia="es-ES"/>
        </w:rPr>
        <w:t xml:space="preserve">primer </w:t>
      </w:r>
      <w:r w:rsidR="006E3C54" w:rsidRPr="0078289D">
        <w:rPr>
          <w:rFonts w:eastAsia="Times New Roman"/>
          <w:sz w:val="28"/>
          <w:szCs w:val="28"/>
          <w:u w:color="000000"/>
          <w:lang w:val="es-ES" w:eastAsia="es-ES"/>
        </w:rPr>
        <w:t xml:space="preserve">inciso </w:t>
      </w:r>
      <w:r w:rsidR="00172AB4" w:rsidRPr="0078289D">
        <w:rPr>
          <w:rFonts w:eastAsia="Times New Roman"/>
          <w:sz w:val="28"/>
          <w:szCs w:val="28"/>
          <w:u w:color="000000"/>
          <w:lang w:val="es-ES" w:eastAsia="es-ES"/>
        </w:rPr>
        <w:t>faculta</w:t>
      </w:r>
      <w:r w:rsidRPr="0078289D">
        <w:rPr>
          <w:rFonts w:eastAsia="Times New Roman"/>
          <w:sz w:val="28"/>
          <w:szCs w:val="28"/>
          <w:u w:color="000000"/>
          <w:lang w:val="es-ES" w:eastAsia="es-ES"/>
        </w:rPr>
        <w:t xml:space="preserve"> </w:t>
      </w:r>
      <w:r w:rsidR="00172AB4" w:rsidRPr="0078289D">
        <w:rPr>
          <w:rFonts w:eastAsia="Times New Roman"/>
          <w:sz w:val="28"/>
          <w:szCs w:val="28"/>
          <w:u w:color="000000"/>
          <w:lang w:val="es-ES" w:eastAsia="es-ES"/>
        </w:rPr>
        <w:t>a</w:t>
      </w:r>
      <w:r w:rsidRPr="0078289D">
        <w:rPr>
          <w:rFonts w:eastAsia="Times New Roman"/>
          <w:sz w:val="28"/>
          <w:szCs w:val="28"/>
          <w:u w:color="000000"/>
          <w:lang w:val="es-ES" w:eastAsia="es-ES"/>
        </w:rPr>
        <w:t xml:space="preserve"> la Autoridad Nacional </w:t>
      </w:r>
      <w:r w:rsidR="00C07B1E" w:rsidRPr="0078289D">
        <w:rPr>
          <w:rFonts w:eastAsia="Times New Roman"/>
          <w:sz w:val="28"/>
          <w:szCs w:val="28"/>
          <w:u w:color="000000"/>
          <w:lang w:val="es-ES" w:eastAsia="es-ES"/>
        </w:rPr>
        <w:t xml:space="preserve">Minera </w:t>
      </w:r>
      <w:r w:rsidR="008F7CAE" w:rsidRPr="0078289D">
        <w:rPr>
          <w:rFonts w:eastAsia="Times New Roman"/>
          <w:sz w:val="28"/>
          <w:szCs w:val="28"/>
          <w:u w:color="000000"/>
          <w:lang w:val="es-ES" w:eastAsia="es-ES"/>
        </w:rPr>
        <w:t>a definir</w:t>
      </w:r>
      <w:r w:rsidR="00172AB4" w:rsidRPr="0078289D">
        <w:rPr>
          <w:rFonts w:eastAsia="Times New Roman"/>
          <w:sz w:val="28"/>
          <w:szCs w:val="28"/>
          <w:u w:color="000000"/>
          <w:lang w:val="es-ES" w:eastAsia="es-ES"/>
        </w:rPr>
        <w:t xml:space="preserve"> </w:t>
      </w:r>
      <w:r w:rsidR="00FB0DAE" w:rsidRPr="0078289D">
        <w:rPr>
          <w:rFonts w:eastAsia="Times New Roman"/>
          <w:sz w:val="28"/>
          <w:szCs w:val="28"/>
          <w:u w:color="000000"/>
          <w:lang w:val="es-ES" w:eastAsia="es-ES"/>
        </w:rPr>
        <w:t xml:space="preserve">cuáles son </w:t>
      </w:r>
      <w:r w:rsidRPr="0078289D">
        <w:rPr>
          <w:rFonts w:eastAsia="Times New Roman"/>
          <w:sz w:val="28"/>
          <w:szCs w:val="28"/>
          <w:u w:color="000000"/>
          <w:lang w:val="es-ES" w:eastAsia="es-ES"/>
        </w:rPr>
        <w:t>los minerales de i</w:t>
      </w:r>
      <w:r w:rsidR="00FB0DAE" w:rsidRPr="0078289D">
        <w:rPr>
          <w:rFonts w:eastAsia="Times New Roman"/>
          <w:sz w:val="28"/>
          <w:szCs w:val="28"/>
          <w:u w:color="000000"/>
          <w:lang w:val="es-ES" w:eastAsia="es-ES"/>
        </w:rPr>
        <w:t>nterés estratégico para el país.</w:t>
      </w:r>
      <w:r w:rsidRPr="0078289D">
        <w:rPr>
          <w:rFonts w:eastAsia="Times New Roman"/>
          <w:sz w:val="28"/>
          <w:szCs w:val="28"/>
          <w:u w:color="000000"/>
          <w:lang w:val="es-ES" w:eastAsia="es-ES"/>
        </w:rPr>
        <w:t xml:space="preserve"> </w:t>
      </w:r>
      <w:r w:rsidR="005415EF" w:rsidRPr="0078289D">
        <w:rPr>
          <w:rFonts w:eastAsia="Times New Roman"/>
          <w:sz w:val="28"/>
          <w:szCs w:val="28"/>
          <w:u w:color="000000"/>
          <w:lang w:val="es-ES" w:eastAsia="es-ES"/>
        </w:rPr>
        <w:t>Con base en la información geocientífica disponible</w:t>
      </w:r>
      <w:r w:rsidR="0015589D" w:rsidRPr="0078289D">
        <w:rPr>
          <w:rFonts w:eastAsia="Times New Roman"/>
          <w:sz w:val="28"/>
          <w:szCs w:val="28"/>
          <w:u w:color="000000"/>
          <w:lang w:val="es-ES" w:eastAsia="es-ES"/>
        </w:rPr>
        <w:t xml:space="preserve"> sobre la probabilidad de </w:t>
      </w:r>
      <w:r w:rsidR="008F7CAE" w:rsidRPr="0078289D">
        <w:rPr>
          <w:rFonts w:eastAsia="Times New Roman"/>
          <w:sz w:val="28"/>
          <w:szCs w:val="28"/>
          <w:u w:color="000000"/>
          <w:lang w:val="es-ES" w:eastAsia="es-ES"/>
        </w:rPr>
        <w:t xml:space="preserve">encontrar </w:t>
      </w:r>
      <w:r w:rsidR="0015589D" w:rsidRPr="0078289D">
        <w:rPr>
          <w:rFonts w:eastAsia="Times New Roman"/>
          <w:sz w:val="28"/>
          <w:szCs w:val="28"/>
          <w:u w:color="000000"/>
          <w:lang w:val="es-ES" w:eastAsia="es-ES"/>
        </w:rPr>
        <w:t>yacimientos de minerales</w:t>
      </w:r>
      <w:r w:rsidR="00B87FF4" w:rsidRPr="0078289D">
        <w:rPr>
          <w:rFonts w:eastAsia="Times New Roman"/>
          <w:sz w:val="28"/>
          <w:szCs w:val="28"/>
          <w:u w:color="000000"/>
          <w:lang w:val="es-ES" w:eastAsia="es-ES"/>
        </w:rPr>
        <w:t xml:space="preserve"> </w:t>
      </w:r>
      <w:r w:rsidR="008F7CAE" w:rsidRPr="0078289D">
        <w:rPr>
          <w:rFonts w:eastAsia="Times New Roman"/>
          <w:sz w:val="28"/>
          <w:szCs w:val="28"/>
          <w:u w:color="000000"/>
          <w:lang w:val="es-ES" w:eastAsia="es-ES"/>
        </w:rPr>
        <w:t>catalogados</w:t>
      </w:r>
      <w:r w:rsidR="00B87FF4" w:rsidRPr="0078289D">
        <w:rPr>
          <w:rFonts w:eastAsia="Times New Roman"/>
          <w:sz w:val="28"/>
          <w:szCs w:val="28"/>
          <w:u w:color="000000"/>
          <w:lang w:val="es-ES" w:eastAsia="es-ES"/>
        </w:rPr>
        <w:t xml:space="preserve"> como estratégicos</w:t>
      </w:r>
      <w:r w:rsidR="005415EF" w:rsidRPr="0078289D">
        <w:rPr>
          <w:rFonts w:eastAsia="Times New Roman"/>
          <w:sz w:val="28"/>
          <w:szCs w:val="28"/>
          <w:u w:color="000000"/>
          <w:lang w:val="es-ES" w:eastAsia="es-ES"/>
        </w:rPr>
        <w:t>, esta autoridad podrá delimitar indefinidamente áreas especiales que se encuentren libres</w:t>
      </w:r>
      <w:r w:rsidR="00F9112F" w:rsidRPr="0078289D">
        <w:rPr>
          <w:rFonts w:eastAsia="Times New Roman"/>
          <w:sz w:val="28"/>
          <w:szCs w:val="28"/>
          <w:u w:color="000000"/>
          <w:lang w:val="es-ES" w:eastAsia="es-ES"/>
        </w:rPr>
        <w:t xml:space="preserve"> de títulos mineros</w:t>
      </w:r>
      <w:r w:rsidRPr="0078289D">
        <w:rPr>
          <w:rFonts w:eastAsia="Times New Roman"/>
          <w:sz w:val="28"/>
          <w:szCs w:val="28"/>
          <w:u w:color="000000"/>
          <w:lang w:val="es-ES" w:eastAsia="es-ES"/>
        </w:rPr>
        <w:t xml:space="preserve">. </w:t>
      </w:r>
      <w:r w:rsidR="00EE3A54" w:rsidRPr="0078289D">
        <w:rPr>
          <w:rFonts w:eastAsia="Times New Roman"/>
          <w:sz w:val="28"/>
          <w:szCs w:val="28"/>
          <w:u w:color="000000"/>
          <w:lang w:val="es-ES" w:eastAsia="es-ES"/>
        </w:rPr>
        <w:t>Así mismo</w:t>
      </w:r>
      <w:r w:rsidRPr="0078289D">
        <w:rPr>
          <w:rFonts w:eastAsia="Times New Roman"/>
          <w:sz w:val="28"/>
          <w:szCs w:val="28"/>
          <w:u w:color="000000"/>
          <w:lang w:val="es-ES" w:eastAsia="es-ES"/>
        </w:rPr>
        <w:t xml:space="preserve">, </w:t>
      </w:r>
      <w:r w:rsidR="00846E2C" w:rsidRPr="0078289D">
        <w:rPr>
          <w:rFonts w:eastAsia="Times New Roman"/>
          <w:sz w:val="28"/>
          <w:szCs w:val="28"/>
          <w:u w:color="000000"/>
          <w:lang w:val="es-ES" w:eastAsia="es-ES"/>
        </w:rPr>
        <w:t xml:space="preserve">el inciso segundo dispone que </w:t>
      </w:r>
      <w:r w:rsidRPr="0078289D">
        <w:rPr>
          <w:rFonts w:eastAsia="Times New Roman"/>
          <w:sz w:val="28"/>
          <w:szCs w:val="28"/>
          <w:u w:color="000000"/>
          <w:lang w:val="es-ES" w:eastAsia="es-ES"/>
        </w:rPr>
        <w:t>dichas áreas serán objeto de evaluación,</w:t>
      </w:r>
      <w:r w:rsidR="00883895" w:rsidRPr="0078289D">
        <w:rPr>
          <w:rFonts w:eastAsia="Times New Roman"/>
          <w:sz w:val="28"/>
          <w:szCs w:val="28"/>
          <w:u w:color="000000"/>
          <w:lang w:val="es-ES" w:eastAsia="es-ES"/>
        </w:rPr>
        <w:t xml:space="preserve"> presumiblemente con fundamento en una nueva recopilación de información geológica,</w:t>
      </w:r>
      <w:r w:rsidRPr="0078289D">
        <w:rPr>
          <w:rFonts w:eastAsia="Times New Roman"/>
          <w:sz w:val="28"/>
          <w:szCs w:val="28"/>
          <w:u w:color="000000"/>
          <w:lang w:val="es-ES" w:eastAsia="es-ES"/>
        </w:rPr>
        <w:t xml:space="preserve"> </w:t>
      </w:r>
      <w:r w:rsidR="008F7CAE" w:rsidRPr="0078289D">
        <w:rPr>
          <w:rFonts w:eastAsia="Times New Roman"/>
          <w:sz w:val="28"/>
          <w:szCs w:val="28"/>
          <w:u w:color="000000"/>
          <w:lang w:val="es-ES" w:eastAsia="es-ES"/>
        </w:rPr>
        <w:t>con base en la cual la</w:t>
      </w:r>
      <w:r w:rsidRPr="0078289D">
        <w:rPr>
          <w:rFonts w:eastAsia="Times New Roman"/>
          <w:sz w:val="28"/>
          <w:szCs w:val="28"/>
          <w:u w:color="000000"/>
          <w:lang w:val="es-ES" w:eastAsia="es-ES"/>
        </w:rPr>
        <w:t xml:space="preserve"> Autoridad Minera Nacional seleccionará las áreas que presenten un alto potencial minero.</w:t>
      </w:r>
      <w:r w:rsidR="00185EE8" w:rsidRPr="0078289D">
        <w:rPr>
          <w:rFonts w:eastAsia="Times New Roman"/>
          <w:sz w:val="28"/>
          <w:szCs w:val="28"/>
          <w:u w:color="000000"/>
          <w:lang w:val="es-ES" w:eastAsia="es-ES"/>
        </w:rPr>
        <w:t xml:space="preserve"> </w:t>
      </w:r>
    </w:p>
    <w:p w:rsidR="00A166DE" w:rsidRPr="0078289D" w:rsidRDefault="00A166DE"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A166DE" w:rsidRPr="0078289D" w:rsidRDefault="00D4452E"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Efectivamente, como lo sostienen los demandantes,</w:t>
      </w:r>
      <w:r w:rsidR="00B66BA2" w:rsidRPr="0078289D">
        <w:rPr>
          <w:rFonts w:eastAsia="Times New Roman"/>
          <w:sz w:val="28"/>
          <w:szCs w:val="28"/>
          <w:u w:color="000000"/>
          <w:lang w:val="es-ES" w:eastAsia="es-ES"/>
        </w:rPr>
        <w:t xml:space="preserve"> la </w:t>
      </w:r>
      <w:r w:rsidRPr="0078289D">
        <w:rPr>
          <w:rFonts w:eastAsia="Times New Roman"/>
          <w:sz w:val="28"/>
          <w:szCs w:val="28"/>
          <w:u w:color="000000"/>
          <w:lang w:val="es-ES" w:eastAsia="es-ES"/>
        </w:rPr>
        <w:t>selección de</w:t>
      </w:r>
      <w:r w:rsidR="00B66BA2" w:rsidRPr="0078289D">
        <w:rPr>
          <w:rFonts w:eastAsia="Times New Roman"/>
          <w:sz w:val="28"/>
          <w:szCs w:val="28"/>
          <w:u w:color="000000"/>
          <w:lang w:val="es-ES" w:eastAsia="es-ES"/>
        </w:rPr>
        <w:t xml:space="preserve"> las áreas</w:t>
      </w:r>
      <w:r w:rsidR="0049799F" w:rsidRPr="0078289D">
        <w:rPr>
          <w:rFonts w:eastAsia="Times New Roman"/>
          <w:sz w:val="28"/>
          <w:szCs w:val="28"/>
          <w:u w:color="000000"/>
          <w:lang w:val="es-ES" w:eastAsia="es-ES"/>
        </w:rPr>
        <w:t xml:space="preserve"> </w:t>
      </w:r>
      <w:r w:rsidRPr="0078289D">
        <w:rPr>
          <w:rFonts w:eastAsia="Times New Roman"/>
          <w:sz w:val="28"/>
          <w:szCs w:val="28"/>
          <w:u w:color="000000"/>
          <w:lang w:val="es-ES" w:eastAsia="es-ES"/>
        </w:rPr>
        <w:t>de reserva especial minera se lleva a cabo</w:t>
      </w:r>
      <w:r w:rsidR="001801A0" w:rsidRPr="0078289D">
        <w:rPr>
          <w:rFonts w:eastAsia="Times New Roman"/>
          <w:sz w:val="28"/>
          <w:szCs w:val="28"/>
          <w:u w:color="000000"/>
          <w:lang w:val="es-ES" w:eastAsia="es-ES"/>
        </w:rPr>
        <w:t xml:space="preserve"> con fundamento en</w:t>
      </w:r>
      <w:r w:rsidR="0049799F" w:rsidRPr="0078289D">
        <w:rPr>
          <w:rFonts w:eastAsia="Times New Roman"/>
          <w:sz w:val="28"/>
          <w:szCs w:val="28"/>
          <w:u w:color="000000"/>
          <w:lang w:val="es-ES" w:eastAsia="es-ES"/>
        </w:rPr>
        <w:t xml:space="preserve"> la probabilidad de </w:t>
      </w:r>
      <w:r w:rsidR="001801A0" w:rsidRPr="0078289D">
        <w:rPr>
          <w:rFonts w:eastAsia="Times New Roman"/>
          <w:sz w:val="28"/>
          <w:szCs w:val="28"/>
          <w:u w:color="000000"/>
          <w:lang w:val="es-ES" w:eastAsia="es-ES"/>
        </w:rPr>
        <w:t>que en dichas áreas existan minerales estratégicos</w:t>
      </w:r>
      <w:r w:rsidR="00983BDD" w:rsidRPr="0078289D">
        <w:rPr>
          <w:rFonts w:eastAsia="Times New Roman"/>
          <w:sz w:val="28"/>
          <w:szCs w:val="28"/>
          <w:u w:color="000000"/>
          <w:lang w:val="es-ES" w:eastAsia="es-ES"/>
        </w:rPr>
        <w:t>,</w:t>
      </w:r>
      <w:r w:rsidR="0049799F" w:rsidRPr="0078289D">
        <w:rPr>
          <w:rFonts w:eastAsia="Times New Roman"/>
          <w:sz w:val="28"/>
          <w:szCs w:val="28"/>
          <w:u w:color="000000"/>
          <w:lang w:val="es-ES" w:eastAsia="es-ES"/>
        </w:rPr>
        <w:t xml:space="preserve"> conforme a la información geológica </w:t>
      </w:r>
      <w:r w:rsidR="00B3611F" w:rsidRPr="0078289D">
        <w:rPr>
          <w:rFonts w:eastAsia="Times New Roman"/>
          <w:sz w:val="28"/>
          <w:szCs w:val="28"/>
          <w:u w:color="000000"/>
          <w:lang w:val="es-ES" w:eastAsia="es-ES"/>
        </w:rPr>
        <w:t>existente, y a la que obten</w:t>
      </w:r>
      <w:r w:rsidR="00983BDD" w:rsidRPr="0078289D">
        <w:rPr>
          <w:rFonts w:eastAsia="Times New Roman"/>
          <w:sz w:val="28"/>
          <w:szCs w:val="28"/>
          <w:u w:color="000000"/>
          <w:lang w:val="es-ES" w:eastAsia="es-ES"/>
        </w:rPr>
        <w:t xml:space="preserve">ga </w:t>
      </w:r>
      <w:r w:rsidR="008D06C5" w:rsidRPr="0078289D">
        <w:rPr>
          <w:rFonts w:eastAsia="Times New Roman"/>
          <w:sz w:val="28"/>
          <w:szCs w:val="28"/>
          <w:u w:color="000000"/>
          <w:lang w:val="es-ES" w:eastAsia="es-ES"/>
        </w:rPr>
        <w:t xml:space="preserve">posteriormente </w:t>
      </w:r>
      <w:r w:rsidR="00983BDD" w:rsidRPr="0078289D">
        <w:rPr>
          <w:rFonts w:eastAsia="Times New Roman"/>
          <w:sz w:val="28"/>
          <w:szCs w:val="28"/>
          <w:u w:color="000000"/>
          <w:lang w:val="es-ES" w:eastAsia="es-ES"/>
        </w:rPr>
        <w:t>la Autoridad Nacional Minera.</w:t>
      </w:r>
      <w:r w:rsidR="00B3611F" w:rsidRPr="0078289D">
        <w:rPr>
          <w:rFonts w:eastAsia="Times New Roman"/>
          <w:sz w:val="28"/>
          <w:szCs w:val="28"/>
          <w:u w:color="000000"/>
          <w:lang w:val="es-ES" w:eastAsia="es-ES"/>
        </w:rPr>
        <w:t xml:space="preserve"> </w:t>
      </w:r>
      <w:r w:rsidR="00983BDD" w:rsidRPr="0078289D">
        <w:rPr>
          <w:rFonts w:eastAsia="Times New Roman"/>
          <w:sz w:val="28"/>
          <w:szCs w:val="28"/>
          <w:u w:color="000000"/>
          <w:lang w:val="es-ES" w:eastAsia="es-ES"/>
        </w:rPr>
        <w:t>Sin</w:t>
      </w:r>
      <w:r w:rsidR="00D67AA2" w:rsidRPr="0078289D">
        <w:rPr>
          <w:rFonts w:eastAsia="Times New Roman"/>
          <w:sz w:val="28"/>
          <w:szCs w:val="28"/>
          <w:u w:color="000000"/>
          <w:lang w:val="es-ES" w:eastAsia="es-ES"/>
        </w:rPr>
        <w:t xml:space="preserve"> </w:t>
      </w:r>
      <w:r w:rsidR="00185EE8" w:rsidRPr="0078289D">
        <w:rPr>
          <w:rFonts w:eastAsia="Times New Roman"/>
          <w:sz w:val="28"/>
          <w:szCs w:val="28"/>
          <w:u w:color="000000"/>
          <w:lang w:val="es-ES" w:eastAsia="es-ES"/>
        </w:rPr>
        <w:t xml:space="preserve">embargo, </w:t>
      </w:r>
      <w:r w:rsidR="00983BDD" w:rsidRPr="0078289D">
        <w:rPr>
          <w:rFonts w:eastAsia="Times New Roman"/>
          <w:sz w:val="28"/>
          <w:szCs w:val="28"/>
          <w:u w:color="000000"/>
          <w:lang w:val="es-ES" w:eastAsia="es-ES"/>
        </w:rPr>
        <w:t xml:space="preserve">la adopción de este criterio </w:t>
      </w:r>
      <w:r w:rsidR="00D86C31" w:rsidRPr="0078289D">
        <w:rPr>
          <w:rFonts w:eastAsia="Times New Roman"/>
          <w:sz w:val="28"/>
          <w:szCs w:val="28"/>
          <w:u w:color="000000"/>
          <w:lang w:val="es-ES" w:eastAsia="es-ES"/>
        </w:rPr>
        <w:t>técnico para la</w:t>
      </w:r>
      <w:r w:rsidR="00983BDD" w:rsidRPr="0078289D">
        <w:rPr>
          <w:rFonts w:eastAsia="Times New Roman"/>
          <w:sz w:val="28"/>
          <w:szCs w:val="28"/>
          <w:u w:color="000000"/>
          <w:lang w:val="es-ES" w:eastAsia="es-ES"/>
        </w:rPr>
        <w:t xml:space="preserve"> </w:t>
      </w:r>
      <w:r w:rsidR="00185EE8" w:rsidRPr="0078289D">
        <w:rPr>
          <w:rFonts w:eastAsia="Times New Roman"/>
          <w:sz w:val="28"/>
          <w:szCs w:val="28"/>
          <w:u w:color="000000"/>
          <w:lang w:val="es-ES" w:eastAsia="es-ES"/>
        </w:rPr>
        <w:t>selección</w:t>
      </w:r>
      <w:r w:rsidR="00983BDD" w:rsidRPr="0078289D">
        <w:rPr>
          <w:rFonts w:eastAsia="Times New Roman"/>
          <w:sz w:val="28"/>
          <w:szCs w:val="28"/>
          <w:u w:color="000000"/>
          <w:lang w:val="es-ES" w:eastAsia="es-ES"/>
        </w:rPr>
        <w:t xml:space="preserve"> </w:t>
      </w:r>
      <w:r w:rsidR="00185EE8" w:rsidRPr="0078289D">
        <w:rPr>
          <w:rFonts w:eastAsia="Times New Roman"/>
          <w:sz w:val="28"/>
          <w:szCs w:val="28"/>
          <w:u w:color="000000"/>
          <w:lang w:val="es-ES" w:eastAsia="es-ES"/>
        </w:rPr>
        <w:t xml:space="preserve">de un territorio como área de reserva especial minera no implica </w:t>
      </w:r>
      <w:r w:rsidR="009A5472" w:rsidRPr="0078289D">
        <w:rPr>
          <w:rFonts w:eastAsia="Times New Roman"/>
          <w:sz w:val="28"/>
          <w:szCs w:val="28"/>
          <w:u w:color="000000"/>
          <w:lang w:val="es-ES" w:eastAsia="es-ES"/>
        </w:rPr>
        <w:t>que el Congreso haya destinado de manera exclusiva, ni prioritaria</w:t>
      </w:r>
      <w:r w:rsidR="00117129" w:rsidRPr="0078289D">
        <w:rPr>
          <w:rFonts w:eastAsia="Times New Roman"/>
          <w:sz w:val="28"/>
          <w:szCs w:val="28"/>
          <w:u w:color="000000"/>
          <w:lang w:val="es-ES" w:eastAsia="es-ES"/>
        </w:rPr>
        <w:t>,</w:t>
      </w:r>
      <w:r w:rsidR="009A5472" w:rsidRPr="0078289D">
        <w:rPr>
          <w:rFonts w:eastAsia="Times New Roman"/>
          <w:sz w:val="28"/>
          <w:szCs w:val="28"/>
          <w:u w:color="000000"/>
          <w:lang w:val="es-ES" w:eastAsia="es-ES"/>
        </w:rPr>
        <w:t xml:space="preserve"> dichas áreas para la minería. </w:t>
      </w:r>
      <w:r w:rsidR="00846E2C" w:rsidRPr="0078289D">
        <w:rPr>
          <w:rFonts w:eastAsia="Times New Roman"/>
          <w:sz w:val="28"/>
          <w:szCs w:val="28"/>
          <w:u w:color="000000"/>
          <w:lang w:val="es-ES" w:eastAsia="es-ES"/>
        </w:rPr>
        <w:t>Tampoco</w:t>
      </w:r>
      <w:r w:rsidR="00865CC1" w:rsidRPr="0078289D">
        <w:rPr>
          <w:rFonts w:eastAsia="Times New Roman"/>
          <w:sz w:val="28"/>
          <w:szCs w:val="28"/>
          <w:u w:color="000000"/>
          <w:lang w:val="es-ES" w:eastAsia="es-ES"/>
        </w:rPr>
        <w:t xml:space="preserve"> </w:t>
      </w:r>
      <w:r w:rsidR="00846E2C" w:rsidRPr="0078289D">
        <w:rPr>
          <w:rFonts w:eastAsia="Times New Roman"/>
          <w:sz w:val="28"/>
          <w:szCs w:val="28"/>
          <w:u w:color="000000"/>
          <w:lang w:val="es-ES" w:eastAsia="es-ES"/>
        </w:rPr>
        <w:t>se desprende del texto demandado</w:t>
      </w:r>
      <w:r w:rsidR="00865CC1" w:rsidRPr="0078289D">
        <w:rPr>
          <w:rFonts w:eastAsia="Times New Roman"/>
          <w:sz w:val="28"/>
          <w:szCs w:val="28"/>
          <w:u w:color="000000"/>
          <w:lang w:val="es-ES" w:eastAsia="es-ES"/>
        </w:rPr>
        <w:t xml:space="preserve"> que el Congreso </w:t>
      </w:r>
      <w:r w:rsidR="00F70BC8" w:rsidRPr="0078289D">
        <w:rPr>
          <w:rFonts w:eastAsia="Times New Roman"/>
          <w:sz w:val="28"/>
          <w:szCs w:val="28"/>
          <w:u w:color="000000"/>
          <w:lang w:val="es-ES" w:eastAsia="es-ES"/>
        </w:rPr>
        <w:t>hubiese creado</w:t>
      </w:r>
      <w:r w:rsidR="00EA745E" w:rsidRPr="0078289D">
        <w:rPr>
          <w:rFonts w:eastAsia="Times New Roman"/>
          <w:sz w:val="28"/>
          <w:szCs w:val="28"/>
          <w:u w:color="000000"/>
          <w:lang w:val="es-ES" w:eastAsia="es-ES"/>
        </w:rPr>
        <w:t xml:space="preserve"> un </w:t>
      </w:r>
      <w:r w:rsidR="00865CC1" w:rsidRPr="0078289D">
        <w:rPr>
          <w:rFonts w:eastAsia="Times New Roman"/>
          <w:sz w:val="28"/>
          <w:szCs w:val="28"/>
          <w:u w:color="000000"/>
          <w:lang w:val="es-ES" w:eastAsia="es-ES"/>
        </w:rPr>
        <w:t xml:space="preserve">estímulo o incentivo para promover la minería en esas áreas. Por el contrario, </w:t>
      </w:r>
      <w:r w:rsidR="003715BD" w:rsidRPr="0078289D">
        <w:rPr>
          <w:rFonts w:eastAsia="Times New Roman"/>
          <w:sz w:val="28"/>
          <w:szCs w:val="28"/>
          <w:u w:color="000000"/>
          <w:lang w:val="es-ES" w:eastAsia="es-ES"/>
        </w:rPr>
        <w:t xml:space="preserve">como se analizará más adelante, </w:t>
      </w:r>
      <w:r w:rsidR="009F72D9" w:rsidRPr="0078289D">
        <w:rPr>
          <w:rFonts w:eastAsia="Times New Roman"/>
          <w:sz w:val="28"/>
          <w:szCs w:val="28"/>
          <w:u w:color="000000"/>
          <w:lang w:val="es-ES" w:eastAsia="es-ES"/>
        </w:rPr>
        <w:t>el inciso</w:t>
      </w:r>
      <w:r w:rsidR="00EA745E" w:rsidRPr="0078289D">
        <w:rPr>
          <w:rFonts w:eastAsia="Times New Roman"/>
          <w:sz w:val="28"/>
          <w:szCs w:val="28"/>
          <w:u w:color="000000"/>
          <w:lang w:val="es-ES" w:eastAsia="es-ES"/>
        </w:rPr>
        <w:t xml:space="preserve"> segundo </w:t>
      </w:r>
      <w:r w:rsidR="009F72D9" w:rsidRPr="0078289D">
        <w:rPr>
          <w:rFonts w:eastAsia="Times New Roman"/>
          <w:sz w:val="28"/>
          <w:szCs w:val="28"/>
          <w:u w:color="000000"/>
          <w:lang w:val="es-ES" w:eastAsia="es-ES"/>
        </w:rPr>
        <w:t xml:space="preserve">del artículo 20 </w:t>
      </w:r>
      <w:r w:rsidR="00EA745E" w:rsidRPr="0078289D">
        <w:rPr>
          <w:rFonts w:eastAsia="Times New Roman"/>
          <w:sz w:val="28"/>
          <w:szCs w:val="28"/>
          <w:u w:color="000000"/>
          <w:lang w:val="es-ES" w:eastAsia="es-ES"/>
        </w:rPr>
        <w:t>prohíbe</w:t>
      </w:r>
      <w:r w:rsidR="00B21990" w:rsidRPr="0078289D">
        <w:rPr>
          <w:rFonts w:eastAsia="Times New Roman"/>
          <w:sz w:val="28"/>
          <w:szCs w:val="28"/>
          <w:u w:color="000000"/>
          <w:lang w:val="es-ES" w:eastAsia="es-ES"/>
        </w:rPr>
        <w:t xml:space="preserve"> el otorgamiento de nuevos títulos o concesiones</w:t>
      </w:r>
      <w:r w:rsidR="00EA745E" w:rsidRPr="0078289D">
        <w:rPr>
          <w:rFonts w:eastAsia="Times New Roman"/>
          <w:sz w:val="28"/>
          <w:szCs w:val="28"/>
          <w:u w:color="000000"/>
          <w:lang w:val="es-ES" w:eastAsia="es-ES"/>
        </w:rPr>
        <w:t xml:space="preserve"> al interior de tales áreas</w:t>
      </w:r>
      <w:r w:rsidR="00EF7DD8" w:rsidRPr="0078289D">
        <w:rPr>
          <w:rFonts w:eastAsia="Times New Roman"/>
          <w:sz w:val="28"/>
          <w:szCs w:val="28"/>
          <w:u w:color="000000"/>
          <w:lang w:val="es-ES" w:eastAsia="es-ES"/>
        </w:rPr>
        <w:t>, precisamente con el objetivo de racionalizar la extracción minera en tales áreas</w:t>
      </w:r>
      <w:r w:rsidR="00B21990" w:rsidRPr="0078289D">
        <w:rPr>
          <w:rFonts w:eastAsia="Times New Roman"/>
          <w:sz w:val="28"/>
          <w:szCs w:val="28"/>
          <w:u w:color="000000"/>
          <w:lang w:val="es-ES" w:eastAsia="es-ES"/>
        </w:rPr>
        <w:t xml:space="preserve">. </w:t>
      </w:r>
    </w:p>
    <w:p w:rsidR="00A166DE" w:rsidRPr="0078289D" w:rsidRDefault="00A166DE"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F70BC8"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Lo anterior muestra con claridad que</w:t>
      </w:r>
      <w:r w:rsidR="00117129" w:rsidRPr="0078289D">
        <w:rPr>
          <w:rFonts w:eastAsia="Times New Roman"/>
          <w:sz w:val="28"/>
          <w:szCs w:val="28"/>
          <w:u w:color="000000"/>
          <w:lang w:val="es-ES" w:eastAsia="es-ES"/>
        </w:rPr>
        <w:t xml:space="preserve"> </w:t>
      </w:r>
      <w:r w:rsidR="00802D72" w:rsidRPr="0078289D">
        <w:rPr>
          <w:rFonts w:eastAsia="Times New Roman"/>
          <w:sz w:val="28"/>
          <w:szCs w:val="28"/>
          <w:u w:color="000000"/>
          <w:lang w:val="es-ES" w:eastAsia="es-ES"/>
        </w:rPr>
        <w:t xml:space="preserve">la disposición </w:t>
      </w:r>
      <w:r w:rsidR="00117129" w:rsidRPr="0078289D">
        <w:rPr>
          <w:rFonts w:eastAsia="Times New Roman"/>
          <w:sz w:val="28"/>
          <w:szCs w:val="28"/>
          <w:u w:color="000000"/>
          <w:lang w:val="es-ES" w:eastAsia="es-ES"/>
        </w:rPr>
        <w:t xml:space="preserve">tampoco </w:t>
      </w:r>
      <w:r w:rsidRPr="0078289D">
        <w:rPr>
          <w:rFonts w:eastAsia="Times New Roman"/>
          <w:sz w:val="28"/>
          <w:szCs w:val="28"/>
          <w:u w:color="000000"/>
          <w:lang w:val="es-ES" w:eastAsia="es-ES"/>
        </w:rPr>
        <w:t>restringe</w:t>
      </w:r>
      <w:r w:rsidR="00802D72" w:rsidRPr="0078289D">
        <w:rPr>
          <w:rFonts w:eastAsia="Times New Roman"/>
          <w:sz w:val="28"/>
          <w:szCs w:val="28"/>
          <w:u w:color="000000"/>
          <w:lang w:val="es-ES" w:eastAsia="es-ES"/>
        </w:rPr>
        <w:t xml:space="preserve"> el desar</w:t>
      </w:r>
      <w:r w:rsidR="005917DC" w:rsidRPr="0078289D">
        <w:rPr>
          <w:rFonts w:eastAsia="Times New Roman"/>
          <w:sz w:val="28"/>
          <w:szCs w:val="28"/>
          <w:u w:color="000000"/>
          <w:lang w:val="es-ES" w:eastAsia="es-ES"/>
        </w:rPr>
        <w:t>rollo de actividades agrícolas, ni</w:t>
      </w:r>
      <w:r w:rsidR="00802D72" w:rsidRPr="0078289D">
        <w:rPr>
          <w:rFonts w:eastAsia="Times New Roman"/>
          <w:sz w:val="28"/>
          <w:szCs w:val="28"/>
          <w:u w:color="000000"/>
          <w:lang w:val="es-ES" w:eastAsia="es-ES"/>
        </w:rPr>
        <w:t xml:space="preserve"> de </w:t>
      </w:r>
      <w:r w:rsidR="005917DC" w:rsidRPr="0078289D">
        <w:rPr>
          <w:rFonts w:eastAsia="Times New Roman"/>
          <w:sz w:val="28"/>
          <w:szCs w:val="28"/>
          <w:u w:color="000000"/>
          <w:lang w:val="es-ES" w:eastAsia="es-ES"/>
        </w:rPr>
        <w:t>actividades de</w:t>
      </w:r>
      <w:r w:rsidR="00802D72" w:rsidRPr="0078289D">
        <w:rPr>
          <w:rFonts w:eastAsia="Times New Roman"/>
          <w:sz w:val="28"/>
          <w:szCs w:val="28"/>
          <w:u w:color="000000"/>
          <w:lang w:val="es-ES" w:eastAsia="es-ES"/>
        </w:rPr>
        <w:t xml:space="preserve"> otra índole</w:t>
      </w:r>
      <w:r w:rsidR="00F015E5" w:rsidRPr="0078289D">
        <w:rPr>
          <w:rFonts w:eastAsia="Times New Roman"/>
          <w:sz w:val="28"/>
          <w:szCs w:val="28"/>
          <w:u w:color="000000"/>
          <w:lang w:val="es-ES" w:eastAsia="es-ES"/>
        </w:rPr>
        <w:t>,</w:t>
      </w:r>
      <w:r w:rsidR="00802D72" w:rsidRPr="0078289D">
        <w:rPr>
          <w:rFonts w:eastAsia="Times New Roman"/>
          <w:sz w:val="28"/>
          <w:szCs w:val="28"/>
          <w:u w:color="000000"/>
          <w:lang w:val="es-ES" w:eastAsia="es-ES"/>
        </w:rPr>
        <w:t xml:space="preserve"> en las áreas seleccionadas</w:t>
      </w:r>
      <w:r w:rsidR="00F015E5" w:rsidRPr="0078289D">
        <w:rPr>
          <w:rFonts w:eastAsia="Times New Roman"/>
          <w:sz w:val="28"/>
          <w:szCs w:val="28"/>
          <w:u w:color="000000"/>
          <w:lang w:val="es-ES" w:eastAsia="es-ES"/>
        </w:rPr>
        <w:t xml:space="preserve">. Sólo prohíbe </w:t>
      </w:r>
      <w:r w:rsidR="00BC1150" w:rsidRPr="0078289D">
        <w:rPr>
          <w:rFonts w:eastAsia="Times New Roman"/>
          <w:sz w:val="28"/>
          <w:szCs w:val="28"/>
          <w:u w:color="000000"/>
          <w:lang w:val="es-ES" w:eastAsia="es-ES"/>
        </w:rPr>
        <w:t>el otorgamiento de nuevos contratos para realizar minería</w:t>
      </w:r>
      <w:r w:rsidR="00802D72" w:rsidRPr="0078289D">
        <w:rPr>
          <w:rFonts w:eastAsia="Times New Roman"/>
          <w:sz w:val="28"/>
          <w:szCs w:val="28"/>
          <w:u w:color="000000"/>
          <w:lang w:val="es-ES" w:eastAsia="es-ES"/>
        </w:rPr>
        <w:t xml:space="preserve">. </w:t>
      </w:r>
      <w:r w:rsidR="00865CC1" w:rsidRPr="0078289D">
        <w:rPr>
          <w:rFonts w:eastAsia="Times New Roman"/>
          <w:sz w:val="28"/>
          <w:szCs w:val="28"/>
          <w:u w:color="000000"/>
          <w:lang w:val="es-ES" w:eastAsia="es-ES"/>
        </w:rPr>
        <w:t xml:space="preserve">Finalmente, </w:t>
      </w:r>
      <w:r w:rsidR="00394456" w:rsidRPr="0078289D">
        <w:rPr>
          <w:rFonts w:eastAsia="Times New Roman"/>
          <w:sz w:val="28"/>
          <w:szCs w:val="28"/>
          <w:u w:color="000000"/>
          <w:lang w:val="es-ES" w:eastAsia="es-ES"/>
        </w:rPr>
        <w:t xml:space="preserve">la selección de áreas estratégicas mineras </w:t>
      </w:r>
      <w:r w:rsidR="00865CC1" w:rsidRPr="0078289D">
        <w:rPr>
          <w:rFonts w:eastAsia="Times New Roman"/>
          <w:sz w:val="28"/>
          <w:szCs w:val="28"/>
          <w:u w:color="000000"/>
          <w:lang w:val="es-ES" w:eastAsia="es-ES"/>
        </w:rPr>
        <w:t>tampoco</w:t>
      </w:r>
      <w:r w:rsidR="00117129" w:rsidRPr="0078289D">
        <w:rPr>
          <w:rFonts w:eastAsia="Times New Roman"/>
          <w:sz w:val="28"/>
          <w:szCs w:val="28"/>
          <w:u w:color="000000"/>
          <w:lang w:val="es-ES" w:eastAsia="es-ES"/>
        </w:rPr>
        <w:t xml:space="preserve"> significa </w:t>
      </w:r>
      <w:r w:rsidR="00BC1150" w:rsidRPr="0078289D">
        <w:rPr>
          <w:rFonts w:eastAsia="Times New Roman"/>
          <w:sz w:val="28"/>
          <w:szCs w:val="28"/>
          <w:u w:color="000000"/>
          <w:lang w:val="es-ES" w:eastAsia="es-ES"/>
        </w:rPr>
        <w:t>que</w:t>
      </w:r>
      <w:r w:rsidR="00185EE8" w:rsidRPr="0078289D">
        <w:rPr>
          <w:rFonts w:eastAsia="Times New Roman"/>
          <w:sz w:val="28"/>
          <w:szCs w:val="28"/>
          <w:u w:color="000000"/>
          <w:lang w:val="es-ES" w:eastAsia="es-ES"/>
        </w:rPr>
        <w:t xml:space="preserve"> </w:t>
      </w:r>
      <w:r w:rsidR="00250A2F" w:rsidRPr="0078289D">
        <w:rPr>
          <w:rFonts w:eastAsia="Times New Roman"/>
          <w:sz w:val="28"/>
          <w:szCs w:val="28"/>
          <w:u w:color="000000"/>
          <w:lang w:val="es-ES" w:eastAsia="es-ES"/>
        </w:rPr>
        <w:t xml:space="preserve">en </w:t>
      </w:r>
      <w:r w:rsidR="00394456" w:rsidRPr="0078289D">
        <w:rPr>
          <w:rFonts w:eastAsia="Times New Roman"/>
          <w:sz w:val="28"/>
          <w:szCs w:val="28"/>
          <w:u w:color="000000"/>
          <w:lang w:val="es-ES" w:eastAsia="es-ES"/>
        </w:rPr>
        <w:t>las mismas</w:t>
      </w:r>
      <w:r w:rsidR="00250A2F" w:rsidRPr="0078289D">
        <w:rPr>
          <w:rFonts w:eastAsia="Times New Roman"/>
          <w:sz w:val="28"/>
          <w:szCs w:val="28"/>
          <w:u w:color="000000"/>
          <w:lang w:val="es-ES" w:eastAsia="es-ES"/>
        </w:rPr>
        <w:t xml:space="preserve"> </w:t>
      </w:r>
      <w:r w:rsidR="00344997" w:rsidRPr="0078289D">
        <w:rPr>
          <w:rFonts w:eastAsia="Times New Roman"/>
          <w:sz w:val="28"/>
          <w:szCs w:val="28"/>
          <w:u w:color="000000"/>
          <w:lang w:val="es-ES" w:eastAsia="es-ES"/>
        </w:rPr>
        <w:t>necesaria e ineludiblemente deban desarrollarse</w:t>
      </w:r>
      <w:r w:rsidR="00250A2F" w:rsidRPr="0078289D">
        <w:rPr>
          <w:rFonts w:eastAsia="Times New Roman"/>
          <w:sz w:val="28"/>
          <w:szCs w:val="28"/>
          <w:u w:color="000000"/>
          <w:lang w:val="es-ES" w:eastAsia="es-ES"/>
        </w:rPr>
        <w:t xml:space="preserve"> actividades mineras bajo el régimen creado en la Ley 1753 de 2015. </w:t>
      </w:r>
      <w:r w:rsidR="002752A2" w:rsidRPr="0078289D">
        <w:rPr>
          <w:rFonts w:eastAsia="Times New Roman"/>
          <w:sz w:val="28"/>
          <w:szCs w:val="28"/>
          <w:u w:color="000000"/>
          <w:lang w:val="es-ES" w:eastAsia="es-ES"/>
        </w:rPr>
        <w:t xml:space="preserve">El desarrollo de </w:t>
      </w:r>
      <w:r w:rsidR="00B37F21" w:rsidRPr="0078289D">
        <w:rPr>
          <w:rFonts w:eastAsia="Times New Roman"/>
          <w:sz w:val="28"/>
          <w:szCs w:val="28"/>
          <w:u w:color="000000"/>
          <w:lang w:val="es-ES" w:eastAsia="es-ES"/>
        </w:rPr>
        <w:t xml:space="preserve">estas </w:t>
      </w:r>
      <w:r w:rsidR="002752A2" w:rsidRPr="0078289D">
        <w:rPr>
          <w:rFonts w:eastAsia="Times New Roman"/>
          <w:sz w:val="28"/>
          <w:szCs w:val="28"/>
          <w:u w:color="000000"/>
          <w:lang w:val="es-ES" w:eastAsia="es-ES"/>
        </w:rPr>
        <w:t xml:space="preserve">actividades </w:t>
      </w:r>
      <w:r w:rsidR="00B37F21" w:rsidRPr="0078289D">
        <w:rPr>
          <w:rFonts w:eastAsia="Times New Roman"/>
          <w:sz w:val="28"/>
          <w:szCs w:val="28"/>
          <w:u w:color="000000"/>
          <w:lang w:val="es-ES" w:eastAsia="es-ES"/>
        </w:rPr>
        <w:t>está sujeto a una serie de contingencias</w:t>
      </w:r>
      <w:r w:rsidR="00344997" w:rsidRPr="0078289D">
        <w:rPr>
          <w:rFonts w:eastAsia="Times New Roman"/>
          <w:sz w:val="28"/>
          <w:szCs w:val="28"/>
          <w:u w:color="000000"/>
          <w:lang w:val="es-ES" w:eastAsia="es-ES"/>
        </w:rPr>
        <w:t xml:space="preserve"> que dependen de un</w:t>
      </w:r>
      <w:r w:rsidR="00CD6120" w:rsidRPr="0078289D">
        <w:rPr>
          <w:rFonts w:eastAsia="Times New Roman"/>
          <w:sz w:val="28"/>
          <w:szCs w:val="28"/>
          <w:u w:color="000000"/>
          <w:lang w:val="es-ES" w:eastAsia="es-ES"/>
        </w:rPr>
        <w:t xml:space="preserve"> </w:t>
      </w:r>
      <w:r w:rsidR="00344997" w:rsidRPr="0078289D">
        <w:rPr>
          <w:rFonts w:eastAsia="Times New Roman"/>
          <w:sz w:val="28"/>
          <w:szCs w:val="28"/>
          <w:u w:color="000000"/>
          <w:lang w:val="es-ES" w:eastAsia="es-ES"/>
        </w:rPr>
        <w:t>conjunto</w:t>
      </w:r>
      <w:r w:rsidR="00CD6120" w:rsidRPr="0078289D">
        <w:rPr>
          <w:rFonts w:eastAsia="Times New Roman"/>
          <w:sz w:val="28"/>
          <w:szCs w:val="28"/>
          <w:u w:color="000000"/>
          <w:lang w:val="es-ES" w:eastAsia="es-ES"/>
        </w:rPr>
        <w:t xml:space="preserve"> de decisiones que </w:t>
      </w:r>
      <w:r w:rsidR="00344997" w:rsidRPr="0078289D">
        <w:rPr>
          <w:rFonts w:eastAsia="Times New Roman"/>
          <w:sz w:val="28"/>
          <w:szCs w:val="28"/>
          <w:u w:color="000000"/>
          <w:lang w:val="es-ES" w:eastAsia="es-ES"/>
        </w:rPr>
        <w:t>adoptan</w:t>
      </w:r>
      <w:r w:rsidR="00CD6120" w:rsidRPr="0078289D">
        <w:rPr>
          <w:rFonts w:eastAsia="Times New Roman"/>
          <w:sz w:val="28"/>
          <w:szCs w:val="28"/>
          <w:u w:color="000000"/>
          <w:lang w:val="es-ES" w:eastAsia="es-ES"/>
        </w:rPr>
        <w:t xml:space="preserve"> las autoridades y los particulares </w:t>
      </w:r>
      <w:r w:rsidR="00B63082" w:rsidRPr="0078289D">
        <w:rPr>
          <w:rFonts w:eastAsia="Times New Roman"/>
          <w:sz w:val="28"/>
          <w:szCs w:val="28"/>
          <w:u w:color="000000"/>
          <w:lang w:val="es-ES" w:eastAsia="es-ES"/>
        </w:rPr>
        <w:t>en el proceso de oferta pública de las áreas de reserva estratégica minera</w:t>
      </w:r>
      <w:r w:rsidR="00177A5D" w:rsidRPr="0078289D">
        <w:rPr>
          <w:rFonts w:eastAsia="Times New Roman"/>
          <w:sz w:val="28"/>
          <w:szCs w:val="28"/>
          <w:u w:color="000000"/>
          <w:lang w:val="es-ES" w:eastAsia="es-ES"/>
        </w:rPr>
        <w:t>. D</w:t>
      </w:r>
      <w:r w:rsidR="002752A2" w:rsidRPr="0078289D">
        <w:rPr>
          <w:rFonts w:eastAsia="Times New Roman"/>
          <w:sz w:val="28"/>
          <w:szCs w:val="28"/>
          <w:u w:color="000000"/>
          <w:lang w:val="es-ES" w:eastAsia="es-ES"/>
        </w:rPr>
        <w:t>e</w:t>
      </w:r>
      <w:r w:rsidR="00344997" w:rsidRPr="0078289D">
        <w:rPr>
          <w:rFonts w:eastAsia="Times New Roman"/>
          <w:sz w:val="28"/>
          <w:szCs w:val="28"/>
          <w:u w:color="000000"/>
          <w:lang w:val="es-ES" w:eastAsia="es-ES"/>
        </w:rPr>
        <w:t xml:space="preserve"> hecho, su efectiva realización de</w:t>
      </w:r>
      <w:r w:rsidR="002752A2" w:rsidRPr="0078289D">
        <w:rPr>
          <w:rFonts w:eastAsia="Times New Roman"/>
          <w:sz w:val="28"/>
          <w:szCs w:val="28"/>
          <w:u w:color="000000"/>
          <w:lang w:val="es-ES" w:eastAsia="es-ES"/>
        </w:rPr>
        <w:t>pende</w:t>
      </w:r>
      <w:r w:rsidR="00344997" w:rsidRPr="0078289D">
        <w:rPr>
          <w:rFonts w:eastAsia="Times New Roman"/>
          <w:sz w:val="28"/>
          <w:szCs w:val="28"/>
          <w:u w:color="000000"/>
          <w:lang w:val="es-ES" w:eastAsia="es-ES"/>
        </w:rPr>
        <w:t>,</w:t>
      </w:r>
      <w:r w:rsidR="002752A2" w:rsidRPr="0078289D">
        <w:rPr>
          <w:rFonts w:eastAsia="Times New Roman"/>
          <w:sz w:val="28"/>
          <w:szCs w:val="28"/>
          <w:u w:color="000000"/>
          <w:lang w:val="es-ES" w:eastAsia="es-ES"/>
        </w:rPr>
        <w:t xml:space="preserve"> </w:t>
      </w:r>
      <w:r w:rsidR="00E06803" w:rsidRPr="0078289D">
        <w:rPr>
          <w:rFonts w:eastAsia="Times New Roman"/>
          <w:sz w:val="28"/>
          <w:szCs w:val="28"/>
          <w:u w:color="000000"/>
          <w:lang w:val="es-ES" w:eastAsia="es-ES"/>
        </w:rPr>
        <w:t>en primer lugar</w:t>
      </w:r>
      <w:r w:rsidR="00344997" w:rsidRPr="0078289D">
        <w:rPr>
          <w:rFonts w:eastAsia="Times New Roman"/>
          <w:sz w:val="28"/>
          <w:szCs w:val="28"/>
          <w:u w:color="000000"/>
          <w:lang w:val="es-ES" w:eastAsia="es-ES"/>
        </w:rPr>
        <w:t>,</w:t>
      </w:r>
      <w:r w:rsidR="00E06803" w:rsidRPr="0078289D">
        <w:rPr>
          <w:rFonts w:eastAsia="Times New Roman"/>
          <w:sz w:val="28"/>
          <w:szCs w:val="28"/>
          <w:u w:color="000000"/>
          <w:lang w:val="es-ES" w:eastAsia="es-ES"/>
        </w:rPr>
        <w:t xml:space="preserve"> </w:t>
      </w:r>
      <w:r w:rsidR="002752A2" w:rsidRPr="0078289D">
        <w:rPr>
          <w:rFonts w:eastAsia="Times New Roman"/>
          <w:sz w:val="28"/>
          <w:szCs w:val="28"/>
          <w:u w:color="000000"/>
          <w:lang w:val="es-ES" w:eastAsia="es-ES"/>
        </w:rPr>
        <w:t xml:space="preserve">de que </w:t>
      </w:r>
      <w:r w:rsidR="00177A5D" w:rsidRPr="0078289D">
        <w:rPr>
          <w:rFonts w:eastAsia="Times New Roman"/>
          <w:sz w:val="28"/>
          <w:szCs w:val="28"/>
          <w:u w:color="000000"/>
          <w:lang w:val="es-ES" w:eastAsia="es-ES"/>
        </w:rPr>
        <w:t xml:space="preserve">la autoridad competente </w:t>
      </w:r>
      <w:r w:rsidR="00E06803" w:rsidRPr="0078289D">
        <w:rPr>
          <w:rFonts w:eastAsia="Times New Roman"/>
          <w:sz w:val="28"/>
          <w:szCs w:val="28"/>
          <w:u w:color="000000"/>
          <w:lang w:val="es-ES" w:eastAsia="es-ES"/>
        </w:rPr>
        <w:t xml:space="preserve">efectivamente </w:t>
      </w:r>
      <w:r w:rsidR="00B63082" w:rsidRPr="0078289D">
        <w:rPr>
          <w:rFonts w:eastAsia="Times New Roman"/>
          <w:sz w:val="28"/>
          <w:szCs w:val="28"/>
          <w:u w:color="000000"/>
          <w:lang w:val="es-ES" w:eastAsia="es-ES"/>
        </w:rPr>
        <w:t>decida ofrecer</w:t>
      </w:r>
      <w:r w:rsidR="00177A5D" w:rsidRPr="0078289D">
        <w:rPr>
          <w:rFonts w:eastAsia="Times New Roman"/>
          <w:sz w:val="28"/>
          <w:szCs w:val="28"/>
          <w:u w:color="000000"/>
          <w:lang w:val="es-ES" w:eastAsia="es-ES"/>
        </w:rPr>
        <w:t xml:space="preserve"> </w:t>
      </w:r>
      <w:r w:rsidR="00143684" w:rsidRPr="0078289D">
        <w:rPr>
          <w:rFonts w:eastAsia="Times New Roman"/>
          <w:sz w:val="28"/>
          <w:szCs w:val="28"/>
          <w:u w:color="000000"/>
          <w:lang w:val="es-ES" w:eastAsia="es-ES"/>
        </w:rPr>
        <w:t xml:space="preserve">el área. </w:t>
      </w:r>
      <w:r w:rsidR="00E41520" w:rsidRPr="0078289D">
        <w:rPr>
          <w:rFonts w:eastAsia="Times New Roman"/>
          <w:sz w:val="28"/>
          <w:szCs w:val="28"/>
          <w:u w:color="000000"/>
          <w:lang w:val="es-ES" w:eastAsia="es-ES"/>
        </w:rPr>
        <w:t>Aun si la Autoridad Nacional Minera decide ofrecer el área</w:t>
      </w:r>
      <w:r w:rsidR="00143684" w:rsidRPr="0078289D">
        <w:rPr>
          <w:rFonts w:eastAsia="Times New Roman"/>
          <w:sz w:val="28"/>
          <w:szCs w:val="28"/>
          <w:u w:color="000000"/>
          <w:lang w:val="es-ES" w:eastAsia="es-ES"/>
        </w:rPr>
        <w:t>,</w:t>
      </w:r>
      <w:r w:rsidR="00E41520" w:rsidRPr="0078289D">
        <w:rPr>
          <w:rFonts w:eastAsia="Times New Roman"/>
          <w:sz w:val="28"/>
          <w:szCs w:val="28"/>
          <w:u w:color="000000"/>
          <w:lang w:val="es-ES" w:eastAsia="es-ES"/>
        </w:rPr>
        <w:t xml:space="preserve"> el desarrollo de actividades mineras</w:t>
      </w:r>
      <w:r w:rsidR="00143684" w:rsidRPr="0078289D">
        <w:rPr>
          <w:rFonts w:eastAsia="Times New Roman"/>
          <w:sz w:val="28"/>
          <w:szCs w:val="28"/>
          <w:u w:color="000000"/>
          <w:lang w:val="es-ES" w:eastAsia="es-ES"/>
        </w:rPr>
        <w:t xml:space="preserve"> </w:t>
      </w:r>
      <w:r w:rsidR="00344997" w:rsidRPr="0078289D">
        <w:rPr>
          <w:rFonts w:eastAsia="Times New Roman"/>
          <w:sz w:val="28"/>
          <w:szCs w:val="28"/>
          <w:u w:color="000000"/>
          <w:lang w:val="es-ES" w:eastAsia="es-ES"/>
        </w:rPr>
        <w:t xml:space="preserve">también </w:t>
      </w:r>
      <w:r w:rsidR="00143684" w:rsidRPr="0078289D">
        <w:rPr>
          <w:rFonts w:eastAsia="Times New Roman"/>
          <w:sz w:val="28"/>
          <w:szCs w:val="28"/>
          <w:u w:color="000000"/>
          <w:lang w:val="es-ES" w:eastAsia="es-ES"/>
        </w:rPr>
        <w:t>depende</w:t>
      </w:r>
      <w:r w:rsidR="00177A5D" w:rsidRPr="0078289D">
        <w:rPr>
          <w:rFonts w:eastAsia="Times New Roman"/>
          <w:sz w:val="28"/>
          <w:szCs w:val="28"/>
          <w:u w:color="000000"/>
          <w:lang w:val="es-ES" w:eastAsia="es-ES"/>
        </w:rPr>
        <w:t xml:space="preserve"> </w:t>
      </w:r>
      <w:r w:rsidR="00E06803" w:rsidRPr="0078289D">
        <w:rPr>
          <w:rFonts w:eastAsia="Times New Roman"/>
          <w:sz w:val="28"/>
          <w:szCs w:val="28"/>
          <w:u w:color="000000"/>
          <w:lang w:val="es-ES" w:eastAsia="es-ES"/>
        </w:rPr>
        <w:t xml:space="preserve">de </w:t>
      </w:r>
      <w:r w:rsidR="00177A5D" w:rsidRPr="0078289D">
        <w:rPr>
          <w:rFonts w:eastAsia="Times New Roman"/>
          <w:sz w:val="28"/>
          <w:szCs w:val="28"/>
          <w:u w:color="000000"/>
          <w:lang w:val="es-ES" w:eastAsia="es-ES"/>
        </w:rPr>
        <w:t xml:space="preserve">que </w:t>
      </w:r>
      <w:r w:rsidR="001E1279" w:rsidRPr="0078289D">
        <w:rPr>
          <w:rFonts w:eastAsia="Times New Roman"/>
          <w:sz w:val="28"/>
          <w:szCs w:val="28"/>
          <w:u w:color="000000"/>
          <w:lang w:val="es-ES" w:eastAsia="es-ES"/>
        </w:rPr>
        <w:t>la</w:t>
      </w:r>
      <w:r w:rsidR="00143684" w:rsidRPr="0078289D">
        <w:rPr>
          <w:rFonts w:eastAsia="Times New Roman"/>
          <w:sz w:val="28"/>
          <w:szCs w:val="28"/>
          <w:u w:color="000000"/>
          <w:lang w:val="es-ES" w:eastAsia="es-ES"/>
        </w:rPr>
        <w:t xml:space="preserve"> autoridad </w:t>
      </w:r>
      <w:r w:rsidR="00344997" w:rsidRPr="0078289D">
        <w:rPr>
          <w:rFonts w:eastAsia="Times New Roman"/>
          <w:sz w:val="28"/>
          <w:szCs w:val="28"/>
          <w:u w:color="000000"/>
          <w:lang w:val="es-ES" w:eastAsia="es-ES"/>
        </w:rPr>
        <w:t>entregue la zona demarcada</w:t>
      </w:r>
      <w:r w:rsidR="002752A2" w:rsidRPr="0078289D">
        <w:rPr>
          <w:rFonts w:eastAsia="Times New Roman"/>
          <w:sz w:val="28"/>
          <w:szCs w:val="28"/>
          <w:u w:color="000000"/>
          <w:lang w:val="es-ES" w:eastAsia="es-ES"/>
        </w:rPr>
        <w:t xml:space="preserve"> a </w:t>
      </w:r>
      <w:r w:rsidR="0077241E" w:rsidRPr="0078289D">
        <w:rPr>
          <w:rFonts w:eastAsia="Times New Roman"/>
          <w:sz w:val="28"/>
          <w:szCs w:val="28"/>
          <w:u w:color="000000"/>
          <w:lang w:val="es-ES" w:eastAsia="es-ES"/>
        </w:rPr>
        <w:t xml:space="preserve">un oferente, y </w:t>
      </w:r>
      <w:r w:rsidR="003873D4" w:rsidRPr="0078289D">
        <w:rPr>
          <w:rFonts w:eastAsia="Times New Roman"/>
          <w:sz w:val="28"/>
          <w:szCs w:val="28"/>
          <w:u w:color="000000"/>
          <w:lang w:val="es-ES" w:eastAsia="es-ES"/>
        </w:rPr>
        <w:t xml:space="preserve">en tercera medida, </w:t>
      </w:r>
      <w:r w:rsidR="00344997" w:rsidRPr="0078289D">
        <w:rPr>
          <w:rFonts w:eastAsia="Times New Roman"/>
          <w:sz w:val="28"/>
          <w:szCs w:val="28"/>
          <w:u w:color="000000"/>
          <w:lang w:val="es-ES" w:eastAsia="es-ES"/>
        </w:rPr>
        <w:t>requiere</w:t>
      </w:r>
      <w:r w:rsidR="003873D4" w:rsidRPr="0078289D">
        <w:rPr>
          <w:rFonts w:eastAsia="Times New Roman"/>
          <w:sz w:val="28"/>
          <w:szCs w:val="28"/>
          <w:u w:color="000000"/>
          <w:lang w:val="es-ES" w:eastAsia="es-ES"/>
        </w:rPr>
        <w:t xml:space="preserve"> </w:t>
      </w:r>
      <w:r w:rsidR="00394456" w:rsidRPr="0078289D">
        <w:rPr>
          <w:rFonts w:eastAsia="Times New Roman"/>
          <w:sz w:val="28"/>
          <w:szCs w:val="28"/>
          <w:u w:color="000000"/>
          <w:lang w:val="es-ES" w:eastAsia="es-ES"/>
        </w:rPr>
        <w:t xml:space="preserve">que </w:t>
      </w:r>
      <w:r w:rsidR="001E1279" w:rsidRPr="0078289D">
        <w:rPr>
          <w:rFonts w:eastAsia="Times New Roman"/>
          <w:sz w:val="28"/>
          <w:szCs w:val="28"/>
          <w:u w:color="000000"/>
          <w:lang w:val="es-ES" w:eastAsia="es-ES"/>
        </w:rPr>
        <w:t>la persona o entidad a la cual se le ha otorgado el área</w:t>
      </w:r>
      <w:r w:rsidR="00344997" w:rsidRPr="0078289D">
        <w:rPr>
          <w:rFonts w:eastAsia="Times New Roman"/>
          <w:sz w:val="28"/>
          <w:szCs w:val="28"/>
          <w:u w:color="000000"/>
          <w:lang w:val="es-ES" w:eastAsia="es-ES"/>
        </w:rPr>
        <w:t>,</w:t>
      </w:r>
      <w:r w:rsidR="0077241E" w:rsidRPr="0078289D">
        <w:rPr>
          <w:rFonts w:eastAsia="Times New Roman"/>
          <w:sz w:val="28"/>
          <w:szCs w:val="28"/>
          <w:u w:color="000000"/>
          <w:lang w:val="es-ES" w:eastAsia="es-ES"/>
        </w:rPr>
        <w:t xml:space="preserve"> desarrolle actividad</w:t>
      </w:r>
      <w:r w:rsidR="003873D4" w:rsidRPr="0078289D">
        <w:rPr>
          <w:rFonts w:eastAsia="Times New Roman"/>
          <w:sz w:val="28"/>
          <w:szCs w:val="28"/>
          <w:u w:color="000000"/>
          <w:lang w:val="es-ES" w:eastAsia="es-ES"/>
        </w:rPr>
        <w:t xml:space="preserve">es mineras dentro de </w:t>
      </w:r>
      <w:r w:rsidR="001E1279" w:rsidRPr="0078289D">
        <w:rPr>
          <w:rFonts w:eastAsia="Times New Roman"/>
          <w:sz w:val="28"/>
          <w:szCs w:val="28"/>
          <w:u w:color="000000"/>
          <w:lang w:val="es-ES" w:eastAsia="es-ES"/>
        </w:rPr>
        <w:t>la misma</w:t>
      </w:r>
      <w:r w:rsidR="003873D4" w:rsidRPr="0078289D">
        <w:rPr>
          <w:rFonts w:eastAsia="Times New Roman"/>
          <w:sz w:val="28"/>
          <w:szCs w:val="28"/>
          <w:u w:color="000000"/>
          <w:lang w:val="es-ES" w:eastAsia="es-ES"/>
        </w:rPr>
        <w:t>.</w:t>
      </w:r>
      <w:r w:rsidR="0077241E" w:rsidRPr="0078289D">
        <w:rPr>
          <w:rFonts w:eastAsia="Times New Roman"/>
          <w:sz w:val="28"/>
          <w:szCs w:val="28"/>
          <w:u w:color="000000"/>
          <w:lang w:val="es-ES" w:eastAsia="es-ES"/>
        </w:rPr>
        <w:t xml:space="preserve"> </w:t>
      </w:r>
      <w:r w:rsidR="00CD6120" w:rsidRPr="0078289D">
        <w:rPr>
          <w:rFonts w:eastAsia="Times New Roman"/>
          <w:sz w:val="28"/>
          <w:szCs w:val="28"/>
          <w:u w:color="000000"/>
          <w:lang w:val="es-ES" w:eastAsia="es-ES"/>
        </w:rPr>
        <w:t xml:space="preserve">Por lo tanto, no se puede afirmar que </w:t>
      </w:r>
      <w:r w:rsidR="00344997" w:rsidRPr="0078289D">
        <w:rPr>
          <w:rFonts w:eastAsia="Times New Roman"/>
          <w:sz w:val="28"/>
          <w:szCs w:val="28"/>
          <w:u w:color="000000"/>
          <w:lang w:val="es-ES" w:eastAsia="es-ES"/>
        </w:rPr>
        <w:t xml:space="preserve">sola </w:t>
      </w:r>
      <w:r w:rsidR="002355F2" w:rsidRPr="0078289D">
        <w:rPr>
          <w:rFonts w:eastAsia="Times New Roman"/>
          <w:sz w:val="28"/>
          <w:szCs w:val="28"/>
          <w:u w:color="000000"/>
          <w:lang w:val="es-ES" w:eastAsia="es-ES"/>
        </w:rPr>
        <w:t xml:space="preserve">la </w:t>
      </w:r>
      <w:r w:rsidR="00AB0D90" w:rsidRPr="0078289D">
        <w:rPr>
          <w:rFonts w:eastAsia="Times New Roman"/>
          <w:sz w:val="28"/>
          <w:szCs w:val="28"/>
          <w:u w:color="000000"/>
          <w:lang w:val="es-ES" w:eastAsia="es-ES"/>
        </w:rPr>
        <w:t>facultad para seleccionar</w:t>
      </w:r>
      <w:r w:rsidR="002355F2" w:rsidRPr="0078289D">
        <w:rPr>
          <w:rFonts w:eastAsia="Times New Roman"/>
          <w:sz w:val="28"/>
          <w:szCs w:val="28"/>
          <w:u w:color="000000"/>
          <w:lang w:val="es-ES" w:eastAsia="es-ES"/>
        </w:rPr>
        <w:t xml:space="preserve"> de ciertas zonas del territorio nacional como áreas de reserva estratégica minera </w:t>
      </w:r>
      <w:r w:rsidR="007A5FB3" w:rsidRPr="0078289D">
        <w:rPr>
          <w:rFonts w:eastAsia="Times New Roman"/>
          <w:sz w:val="28"/>
          <w:szCs w:val="28"/>
          <w:u w:color="000000"/>
          <w:lang w:val="es-ES" w:eastAsia="es-ES"/>
        </w:rPr>
        <w:t xml:space="preserve">conlleve </w:t>
      </w:r>
      <w:r w:rsidR="00EB6F9A" w:rsidRPr="0078289D">
        <w:rPr>
          <w:rFonts w:eastAsia="Times New Roman"/>
          <w:sz w:val="28"/>
          <w:szCs w:val="28"/>
          <w:u w:color="000000"/>
          <w:lang w:val="es-ES" w:eastAsia="es-ES"/>
        </w:rPr>
        <w:t xml:space="preserve">la realización efectiva de actividades mineras, y por lo tanto, mucho menos puede afirmarse que implique por sí misma un detrimento </w:t>
      </w:r>
      <w:r w:rsidR="0037211B" w:rsidRPr="0078289D">
        <w:rPr>
          <w:rFonts w:eastAsia="Times New Roman"/>
          <w:sz w:val="28"/>
          <w:szCs w:val="28"/>
          <w:u w:color="000000"/>
          <w:lang w:val="es-ES" w:eastAsia="es-ES"/>
        </w:rPr>
        <w:t>al medio ambiente</w:t>
      </w:r>
      <w:r w:rsidR="00344997" w:rsidRPr="0078289D">
        <w:rPr>
          <w:rFonts w:eastAsia="Times New Roman"/>
          <w:sz w:val="28"/>
          <w:szCs w:val="28"/>
          <w:u w:color="000000"/>
          <w:lang w:val="es-ES" w:eastAsia="es-ES"/>
        </w:rPr>
        <w:t xml:space="preserve"> o un riesgo a la sostenibilidad alimentaria de los colombianos</w:t>
      </w:r>
      <w:r w:rsidR="0037211B" w:rsidRPr="0078289D">
        <w:rPr>
          <w:rFonts w:eastAsia="Times New Roman"/>
          <w:sz w:val="28"/>
          <w:szCs w:val="28"/>
          <w:u w:color="000000"/>
          <w:lang w:val="es-ES" w:eastAsia="es-ES"/>
        </w:rPr>
        <w:t>.</w:t>
      </w:r>
      <w:r w:rsidR="009A5472" w:rsidRPr="0078289D">
        <w:rPr>
          <w:rFonts w:eastAsia="Times New Roman"/>
          <w:sz w:val="28"/>
          <w:szCs w:val="28"/>
          <w:u w:color="000000"/>
          <w:lang w:val="es-ES" w:eastAsia="es-ES"/>
        </w:rPr>
        <w:t xml:space="preserve"> </w:t>
      </w:r>
      <w:r w:rsidR="0037211B" w:rsidRPr="0078289D">
        <w:rPr>
          <w:rFonts w:eastAsia="Times New Roman"/>
          <w:sz w:val="28"/>
          <w:szCs w:val="28"/>
          <w:u w:color="000000"/>
          <w:lang w:val="es-ES" w:eastAsia="es-ES"/>
        </w:rPr>
        <w:t xml:space="preserve">Ello depende de una serie de </w:t>
      </w:r>
      <w:r w:rsidR="00315ECC" w:rsidRPr="0078289D">
        <w:rPr>
          <w:rFonts w:eastAsia="Times New Roman"/>
          <w:sz w:val="28"/>
          <w:szCs w:val="28"/>
          <w:u w:color="000000"/>
          <w:lang w:val="es-ES" w:eastAsia="es-ES"/>
        </w:rPr>
        <w:t>situaciones</w:t>
      </w:r>
      <w:r w:rsidR="0037211B" w:rsidRPr="0078289D">
        <w:rPr>
          <w:rFonts w:eastAsia="Times New Roman"/>
          <w:sz w:val="28"/>
          <w:szCs w:val="28"/>
          <w:u w:color="000000"/>
          <w:lang w:val="es-ES" w:eastAsia="es-ES"/>
        </w:rPr>
        <w:t xml:space="preserve"> de</w:t>
      </w:r>
      <w:r w:rsidR="00231374" w:rsidRPr="0078289D">
        <w:rPr>
          <w:rFonts w:eastAsia="Times New Roman"/>
          <w:sz w:val="28"/>
          <w:szCs w:val="28"/>
          <w:u w:color="000000"/>
          <w:lang w:val="es-ES" w:eastAsia="es-ES"/>
        </w:rPr>
        <w:t xml:space="preserve"> hecho</w:t>
      </w:r>
      <w:r w:rsidR="00315ECC" w:rsidRPr="0078289D">
        <w:rPr>
          <w:rFonts w:eastAsia="Times New Roman"/>
          <w:sz w:val="28"/>
          <w:szCs w:val="28"/>
          <w:u w:color="000000"/>
          <w:lang w:val="es-ES" w:eastAsia="es-ES"/>
        </w:rPr>
        <w:t>,</w:t>
      </w:r>
      <w:r w:rsidR="00231374" w:rsidRPr="0078289D">
        <w:rPr>
          <w:rFonts w:eastAsia="Times New Roman"/>
          <w:sz w:val="28"/>
          <w:szCs w:val="28"/>
          <w:u w:color="000000"/>
          <w:lang w:val="es-ES" w:eastAsia="es-ES"/>
        </w:rPr>
        <w:t xml:space="preserve"> que resultan ajenas al texto de la disposición demandada, y sobre las cuales, por otra parte, los demandantes tampoco aportan pruebas.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A23BB3"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Por su parte</w:t>
      </w:r>
      <w:r w:rsidR="00654D29" w:rsidRPr="0078289D">
        <w:rPr>
          <w:rFonts w:eastAsia="Times New Roman"/>
          <w:sz w:val="28"/>
          <w:szCs w:val="28"/>
          <w:u w:color="000000"/>
          <w:lang w:val="es-ES" w:eastAsia="es-ES"/>
        </w:rPr>
        <w:t>,</w:t>
      </w:r>
      <w:r w:rsidRPr="0078289D">
        <w:rPr>
          <w:rFonts w:eastAsia="Times New Roman"/>
          <w:sz w:val="28"/>
          <w:szCs w:val="28"/>
          <w:u w:color="000000"/>
          <w:lang w:val="es-ES" w:eastAsia="es-ES"/>
        </w:rPr>
        <w:t xml:space="preserve"> el inciso tercero de</w:t>
      </w:r>
      <w:r w:rsidR="00654D29" w:rsidRPr="0078289D">
        <w:rPr>
          <w:rFonts w:eastAsia="Times New Roman"/>
          <w:sz w:val="28"/>
          <w:szCs w:val="28"/>
          <w:u w:color="000000"/>
          <w:lang w:val="es-ES" w:eastAsia="es-ES"/>
        </w:rPr>
        <w:t xml:space="preserve"> </w:t>
      </w:r>
      <w:r w:rsidR="0077241E" w:rsidRPr="0078289D">
        <w:rPr>
          <w:rFonts w:eastAsia="Times New Roman"/>
          <w:sz w:val="28"/>
          <w:szCs w:val="28"/>
          <w:u w:color="000000"/>
          <w:lang w:val="es-ES" w:eastAsia="es-ES"/>
        </w:rPr>
        <w:t xml:space="preserve">la disposición demandada </w:t>
      </w:r>
      <w:r w:rsidR="00654D29" w:rsidRPr="0078289D">
        <w:rPr>
          <w:rFonts w:eastAsia="Times New Roman"/>
          <w:sz w:val="28"/>
          <w:szCs w:val="28"/>
          <w:u w:color="000000"/>
          <w:lang w:val="es-ES" w:eastAsia="es-ES"/>
        </w:rPr>
        <w:t xml:space="preserve">señala que las áreas </w:t>
      </w:r>
      <w:r w:rsidR="00A166DE" w:rsidRPr="0078289D">
        <w:rPr>
          <w:rFonts w:eastAsia="Times New Roman"/>
          <w:sz w:val="28"/>
          <w:szCs w:val="28"/>
          <w:u w:color="000000"/>
          <w:lang w:val="es-ES" w:eastAsia="es-ES"/>
        </w:rPr>
        <w:t xml:space="preserve">de reserva </w:t>
      </w:r>
      <w:r w:rsidR="0002022F" w:rsidRPr="0078289D">
        <w:rPr>
          <w:rFonts w:eastAsia="Times New Roman"/>
          <w:sz w:val="28"/>
          <w:szCs w:val="28"/>
          <w:u w:color="000000"/>
          <w:lang w:val="es-ES" w:eastAsia="es-ES"/>
        </w:rPr>
        <w:t xml:space="preserve">estratégica minera </w:t>
      </w:r>
      <w:r w:rsidR="00654D29" w:rsidRPr="0078289D">
        <w:rPr>
          <w:rFonts w:eastAsia="Times New Roman"/>
          <w:sz w:val="28"/>
          <w:szCs w:val="28"/>
          <w:u w:color="000000"/>
          <w:lang w:val="es-ES" w:eastAsia="es-ES"/>
        </w:rPr>
        <w:t>se otorgarán mediante proceso</w:t>
      </w:r>
      <w:r w:rsidR="004E2B1E" w:rsidRPr="0078289D">
        <w:rPr>
          <w:rFonts w:eastAsia="Times New Roman"/>
          <w:sz w:val="28"/>
          <w:szCs w:val="28"/>
          <w:u w:color="000000"/>
          <w:lang w:val="es-ES" w:eastAsia="es-ES"/>
        </w:rPr>
        <w:t>s</w:t>
      </w:r>
      <w:r w:rsidR="00654D29" w:rsidRPr="0078289D">
        <w:rPr>
          <w:rFonts w:eastAsia="Times New Roman"/>
          <w:sz w:val="28"/>
          <w:szCs w:val="28"/>
          <w:u w:color="000000"/>
          <w:lang w:val="es-ES" w:eastAsia="es-ES"/>
        </w:rPr>
        <w:t xml:space="preserve"> de selección objetiva, y que sobre las mismas no se recibirán nuevas propuestas ni se suscribirán contratos de concesión minera. A su vez, la Autoridad Nacional Minera dará por terminada la delimitación, cuando las áreas evaluadas no sean seleccionadas, caso en el cual quedarán libres para ser otorgadas mediante el régimen ordinario del Código de Minas. Cuando no se presente licitante u oferente</w:t>
      </w:r>
      <w:r w:rsidR="004E2B1E" w:rsidRPr="0078289D">
        <w:rPr>
          <w:rFonts w:eastAsia="Times New Roman"/>
          <w:sz w:val="28"/>
          <w:szCs w:val="28"/>
          <w:u w:color="000000"/>
          <w:lang w:val="es-ES" w:eastAsia="es-ES"/>
        </w:rPr>
        <w:t>,</w:t>
      </w:r>
      <w:r w:rsidR="00654D29" w:rsidRPr="0078289D">
        <w:rPr>
          <w:rFonts w:eastAsia="Times New Roman"/>
          <w:sz w:val="28"/>
          <w:szCs w:val="28"/>
          <w:u w:color="000000"/>
          <w:lang w:val="es-ES" w:eastAsia="es-ES"/>
        </w:rPr>
        <w:t xml:space="preserve"> la Autoridad Nacional Minera podrá mantener la delimitación para un futuro proceso de selección</w:t>
      </w:r>
      <w:r w:rsidR="004E2B1E" w:rsidRPr="0078289D">
        <w:rPr>
          <w:rFonts w:eastAsia="Times New Roman"/>
          <w:sz w:val="28"/>
          <w:szCs w:val="28"/>
          <w:u w:color="000000"/>
          <w:lang w:val="es-ES" w:eastAsia="es-ES"/>
        </w:rPr>
        <w:t>,</w:t>
      </w:r>
      <w:r w:rsidR="00654D29" w:rsidRPr="0078289D">
        <w:rPr>
          <w:rFonts w:eastAsia="Times New Roman"/>
          <w:sz w:val="28"/>
          <w:szCs w:val="28"/>
          <w:u w:color="000000"/>
          <w:lang w:val="es-ES" w:eastAsia="es-ES"/>
        </w:rPr>
        <w:t xml:space="preserve"> sin perjuicio de darla por terminada en </w:t>
      </w:r>
      <w:r w:rsidR="00654D29" w:rsidRPr="0078289D">
        <w:rPr>
          <w:rFonts w:eastAsia="Times New Roman"/>
          <w:sz w:val="28"/>
          <w:szCs w:val="28"/>
          <w:u w:color="000000"/>
          <w:lang w:val="es-ES" w:eastAsia="es-ES"/>
        </w:rPr>
        <w:lastRenderedPageBreak/>
        <w:t>cualquier tiempo.</w:t>
      </w:r>
      <w:r w:rsidR="006D593D" w:rsidRPr="0078289D">
        <w:rPr>
          <w:rFonts w:eastAsia="Times New Roman"/>
          <w:sz w:val="28"/>
          <w:szCs w:val="28"/>
          <w:u w:color="000000"/>
          <w:lang w:val="es-ES" w:eastAsia="es-ES"/>
        </w:rPr>
        <w:t xml:space="preserve"> </w:t>
      </w:r>
      <w:r w:rsidR="005323C5" w:rsidRPr="0078289D">
        <w:rPr>
          <w:rFonts w:eastAsia="Times New Roman"/>
          <w:sz w:val="28"/>
          <w:szCs w:val="28"/>
          <w:u w:color="000000"/>
          <w:lang w:val="es-ES" w:eastAsia="es-ES"/>
        </w:rPr>
        <w:t>Como se observa</w:t>
      </w:r>
      <w:r w:rsidR="006D593D" w:rsidRPr="0078289D">
        <w:rPr>
          <w:rFonts w:eastAsia="Times New Roman"/>
          <w:sz w:val="28"/>
          <w:szCs w:val="28"/>
          <w:u w:color="000000"/>
          <w:lang w:val="es-ES" w:eastAsia="es-ES"/>
        </w:rPr>
        <w:t xml:space="preserve">, </w:t>
      </w:r>
      <w:r w:rsidR="005323C5" w:rsidRPr="0078289D">
        <w:rPr>
          <w:rFonts w:eastAsia="Times New Roman"/>
          <w:sz w:val="28"/>
          <w:szCs w:val="28"/>
          <w:u w:color="000000"/>
          <w:lang w:val="es-ES" w:eastAsia="es-ES"/>
        </w:rPr>
        <w:t>también en esta etapa</w:t>
      </w:r>
      <w:r w:rsidR="00813B20" w:rsidRPr="0078289D">
        <w:rPr>
          <w:rFonts w:eastAsia="Times New Roman"/>
          <w:sz w:val="28"/>
          <w:szCs w:val="28"/>
          <w:u w:color="000000"/>
          <w:lang w:val="es-ES" w:eastAsia="es-ES"/>
        </w:rPr>
        <w:t xml:space="preserve"> </w:t>
      </w:r>
      <w:r w:rsidR="006D593D" w:rsidRPr="0078289D">
        <w:rPr>
          <w:rFonts w:eastAsia="Times New Roman"/>
          <w:sz w:val="28"/>
          <w:szCs w:val="28"/>
          <w:u w:color="000000"/>
          <w:lang w:val="es-ES" w:eastAsia="es-ES"/>
        </w:rPr>
        <w:t xml:space="preserve">la </w:t>
      </w:r>
      <w:r w:rsidR="00813B20" w:rsidRPr="0078289D">
        <w:rPr>
          <w:rFonts w:eastAsia="Times New Roman"/>
          <w:sz w:val="28"/>
          <w:szCs w:val="28"/>
          <w:u w:color="000000"/>
          <w:lang w:val="es-ES" w:eastAsia="es-ES"/>
        </w:rPr>
        <w:t xml:space="preserve">única </w:t>
      </w:r>
      <w:r w:rsidR="006D593D" w:rsidRPr="0078289D">
        <w:rPr>
          <w:rFonts w:eastAsia="Times New Roman"/>
          <w:sz w:val="28"/>
          <w:szCs w:val="28"/>
          <w:u w:color="000000"/>
          <w:lang w:val="es-ES" w:eastAsia="es-ES"/>
        </w:rPr>
        <w:t>restricci</w:t>
      </w:r>
      <w:r w:rsidR="00813B20" w:rsidRPr="0078289D">
        <w:rPr>
          <w:rFonts w:eastAsia="Times New Roman"/>
          <w:sz w:val="28"/>
          <w:szCs w:val="28"/>
          <w:u w:color="000000"/>
          <w:lang w:val="es-ES" w:eastAsia="es-ES"/>
        </w:rPr>
        <w:t xml:space="preserve">ón al desarrollo de </w:t>
      </w:r>
      <w:r w:rsidR="006D593D" w:rsidRPr="0078289D">
        <w:rPr>
          <w:rFonts w:eastAsia="Times New Roman"/>
          <w:sz w:val="28"/>
          <w:szCs w:val="28"/>
          <w:u w:color="000000"/>
          <w:lang w:val="es-ES" w:eastAsia="es-ES"/>
        </w:rPr>
        <w:t xml:space="preserve">actividades </w:t>
      </w:r>
      <w:r w:rsidR="007A566C" w:rsidRPr="0078289D">
        <w:rPr>
          <w:rFonts w:eastAsia="Times New Roman"/>
          <w:sz w:val="28"/>
          <w:szCs w:val="28"/>
          <w:u w:color="000000"/>
          <w:lang w:val="es-ES" w:eastAsia="es-ES"/>
        </w:rPr>
        <w:t xml:space="preserve">económicas </w:t>
      </w:r>
      <w:r w:rsidR="00813B20" w:rsidRPr="0078289D">
        <w:rPr>
          <w:rFonts w:eastAsia="Times New Roman"/>
          <w:sz w:val="28"/>
          <w:szCs w:val="28"/>
          <w:u w:color="000000"/>
          <w:lang w:val="es-ES" w:eastAsia="es-ES"/>
        </w:rPr>
        <w:t xml:space="preserve">se refiere a la minería. Tampoco en esta etapa </w:t>
      </w:r>
      <w:r w:rsidR="009B18B7" w:rsidRPr="0078289D">
        <w:rPr>
          <w:rFonts w:eastAsia="Times New Roman"/>
          <w:sz w:val="28"/>
          <w:szCs w:val="28"/>
          <w:u w:color="000000"/>
          <w:lang w:val="es-ES" w:eastAsia="es-ES"/>
        </w:rPr>
        <w:t>la disposición está limitando el desarrollo de actividades agr</w:t>
      </w:r>
      <w:r w:rsidR="008B147D" w:rsidRPr="0078289D">
        <w:rPr>
          <w:rFonts w:eastAsia="Times New Roman"/>
          <w:sz w:val="28"/>
          <w:szCs w:val="28"/>
          <w:u w:color="000000"/>
          <w:lang w:val="es-ES" w:eastAsia="es-ES"/>
        </w:rPr>
        <w:t xml:space="preserve">ícolas ni de otra naturaleza, salvo, como ya se dijo, </w:t>
      </w:r>
      <w:r w:rsidR="007E1B74" w:rsidRPr="0078289D">
        <w:rPr>
          <w:rFonts w:eastAsia="Times New Roman"/>
          <w:sz w:val="28"/>
          <w:szCs w:val="28"/>
          <w:u w:color="000000"/>
          <w:lang w:val="es-ES" w:eastAsia="es-ES"/>
        </w:rPr>
        <w:t xml:space="preserve">en </w:t>
      </w:r>
      <w:r w:rsidR="008B147D" w:rsidRPr="0078289D">
        <w:rPr>
          <w:rFonts w:eastAsia="Times New Roman"/>
          <w:sz w:val="28"/>
          <w:szCs w:val="28"/>
          <w:u w:color="000000"/>
          <w:lang w:val="es-ES" w:eastAsia="es-ES"/>
        </w:rPr>
        <w:t xml:space="preserve">lo atinente a nuevas ofertas o contratos de concesión.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8B147D"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El inciso cuarto</w:t>
      </w:r>
      <w:r w:rsidR="00654D29" w:rsidRPr="0078289D">
        <w:rPr>
          <w:rFonts w:eastAsia="Times New Roman"/>
          <w:sz w:val="28"/>
          <w:szCs w:val="28"/>
          <w:u w:color="000000"/>
          <w:lang w:val="es-ES" w:eastAsia="es-ES"/>
        </w:rPr>
        <w:t xml:space="preserve"> </w:t>
      </w:r>
      <w:r w:rsidRPr="0078289D">
        <w:rPr>
          <w:rFonts w:eastAsia="Times New Roman"/>
          <w:sz w:val="28"/>
          <w:szCs w:val="28"/>
          <w:u w:color="000000"/>
          <w:lang w:val="es-ES" w:eastAsia="es-ES"/>
        </w:rPr>
        <w:t>dispone</w:t>
      </w:r>
      <w:r w:rsidR="00654D29" w:rsidRPr="0078289D">
        <w:rPr>
          <w:rFonts w:eastAsia="Times New Roman"/>
          <w:sz w:val="28"/>
          <w:szCs w:val="28"/>
          <w:u w:color="000000"/>
          <w:lang w:val="es-ES" w:eastAsia="es-ES"/>
        </w:rPr>
        <w:t xml:space="preserve"> que el proceso de delimitación y selección objetiva de las áreas será reglamentado por el Gobierno Nacional. Además, </w:t>
      </w:r>
      <w:r w:rsidR="00DF7DDE" w:rsidRPr="0078289D">
        <w:rPr>
          <w:rFonts w:eastAsia="Times New Roman"/>
          <w:sz w:val="28"/>
          <w:szCs w:val="28"/>
          <w:u w:color="000000"/>
          <w:lang w:val="es-ES" w:eastAsia="es-ES"/>
        </w:rPr>
        <w:t>el inciso quinto establece que en</w:t>
      </w:r>
      <w:r w:rsidR="00654D29" w:rsidRPr="0078289D">
        <w:rPr>
          <w:rFonts w:eastAsia="Times New Roman"/>
          <w:sz w:val="28"/>
          <w:szCs w:val="28"/>
          <w:u w:color="000000"/>
          <w:lang w:val="es-ES" w:eastAsia="es-ES"/>
        </w:rPr>
        <w:t xml:space="preserve"> los contratos especiales de exploración y explotación que se deriven de las delimitaciones de las áreas, se podrán establecer reglas y obligaciones especiales adicionales</w:t>
      </w:r>
      <w:r w:rsidR="000234EF" w:rsidRPr="0078289D">
        <w:rPr>
          <w:rFonts w:eastAsia="Times New Roman"/>
          <w:sz w:val="28"/>
          <w:szCs w:val="28"/>
          <w:u w:color="000000"/>
          <w:lang w:val="es-ES" w:eastAsia="es-ES"/>
        </w:rPr>
        <w:t>,</w:t>
      </w:r>
      <w:r w:rsidR="00654D29" w:rsidRPr="0078289D">
        <w:rPr>
          <w:rFonts w:eastAsia="Times New Roman"/>
          <w:sz w:val="28"/>
          <w:szCs w:val="28"/>
          <w:u w:color="000000"/>
          <w:lang w:val="es-ES" w:eastAsia="es-ES"/>
        </w:rPr>
        <w:t xml:space="preserve"> o</w:t>
      </w:r>
      <w:r w:rsidR="00A61BAA" w:rsidRPr="0078289D">
        <w:rPr>
          <w:rFonts w:eastAsia="Times New Roman"/>
          <w:sz w:val="28"/>
          <w:szCs w:val="28"/>
          <w:u w:color="000000"/>
          <w:lang w:val="es-ES" w:eastAsia="es-ES"/>
        </w:rPr>
        <w:t xml:space="preserve"> que en todo caso sean</w:t>
      </w:r>
      <w:r w:rsidR="00654D29" w:rsidRPr="0078289D">
        <w:rPr>
          <w:rFonts w:eastAsia="Times New Roman"/>
          <w:sz w:val="28"/>
          <w:szCs w:val="28"/>
          <w:u w:color="000000"/>
          <w:lang w:val="es-ES" w:eastAsia="es-ES"/>
        </w:rPr>
        <w:t xml:space="preserve"> distintas a las establecidas en el Código de Minas.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976B0B"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El inciso quinto </w:t>
      </w:r>
      <w:r w:rsidR="00654D29" w:rsidRPr="0078289D">
        <w:rPr>
          <w:rFonts w:eastAsia="Times New Roman"/>
          <w:sz w:val="28"/>
          <w:szCs w:val="28"/>
          <w:u w:color="000000"/>
          <w:lang w:val="es-ES" w:eastAsia="es-ES"/>
        </w:rPr>
        <w:t>agrega que la información geológica, geoquímica y geofísica que el Servicio Geológico Colombiano genere a partir de la declaratoria de las áreas estratégicas mineras</w:t>
      </w:r>
      <w:r w:rsidR="009D6A97" w:rsidRPr="0078289D">
        <w:rPr>
          <w:rFonts w:eastAsia="Times New Roman"/>
          <w:sz w:val="28"/>
          <w:szCs w:val="28"/>
          <w:u w:color="000000"/>
          <w:lang w:val="es-ES" w:eastAsia="es-ES"/>
        </w:rPr>
        <w:t>,</w:t>
      </w:r>
      <w:r w:rsidR="00654D29" w:rsidRPr="0078289D">
        <w:rPr>
          <w:rFonts w:eastAsia="Times New Roman"/>
          <w:sz w:val="28"/>
          <w:szCs w:val="28"/>
          <w:u w:color="000000"/>
          <w:lang w:val="es-ES" w:eastAsia="es-ES"/>
        </w:rPr>
        <w:t xml:space="preserve"> y que perm</w:t>
      </w:r>
      <w:r w:rsidR="0070099C" w:rsidRPr="0078289D">
        <w:rPr>
          <w:rFonts w:eastAsia="Times New Roman"/>
          <w:sz w:val="28"/>
          <w:szCs w:val="28"/>
          <w:u w:color="000000"/>
          <w:lang w:val="es-ES" w:eastAsia="es-ES"/>
        </w:rPr>
        <w:t xml:space="preserve">ita evaluar </w:t>
      </w:r>
      <w:r w:rsidR="002B231E" w:rsidRPr="0078289D">
        <w:rPr>
          <w:rFonts w:eastAsia="Times New Roman"/>
          <w:sz w:val="28"/>
          <w:szCs w:val="28"/>
          <w:u w:color="000000"/>
          <w:lang w:val="es-ES" w:eastAsia="es-ES"/>
        </w:rPr>
        <w:t>su</w:t>
      </w:r>
      <w:r w:rsidR="0070099C" w:rsidRPr="0078289D">
        <w:rPr>
          <w:rFonts w:eastAsia="Times New Roman"/>
          <w:sz w:val="28"/>
          <w:szCs w:val="28"/>
          <w:u w:color="000000"/>
          <w:lang w:val="es-ES" w:eastAsia="es-ES"/>
        </w:rPr>
        <w:t xml:space="preserve"> potencial minero</w:t>
      </w:r>
      <w:r w:rsidR="009D6A97" w:rsidRPr="0078289D">
        <w:rPr>
          <w:rFonts w:eastAsia="Times New Roman"/>
          <w:sz w:val="28"/>
          <w:szCs w:val="28"/>
          <w:u w:color="000000"/>
          <w:lang w:val="es-ES" w:eastAsia="es-ES"/>
        </w:rPr>
        <w:t>,</w:t>
      </w:r>
      <w:r w:rsidR="00654D29" w:rsidRPr="0078289D">
        <w:rPr>
          <w:rFonts w:eastAsia="Times New Roman"/>
          <w:sz w:val="28"/>
          <w:szCs w:val="28"/>
          <w:u w:color="000000"/>
          <w:lang w:val="es-ES" w:eastAsia="es-ES"/>
        </w:rPr>
        <w:t xml:space="preserve"> tendrá carácter reservado por el mismo término en que la Autoridad Minera declare dichas zonas como estratégicas mineras, o hasta tanto deba darse a conocer en desarrollo de los procesos de selección objetiva para el otorgamiento de contratos de concesión especial en estas áreas.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FA2831"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Los incisos sexto, séptimo y octavo</w:t>
      </w:r>
      <w:r w:rsidR="00654D29" w:rsidRPr="0078289D">
        <w:rPr>
          <w:rFonts w:eastAsia="Times New Roman"/>
          <w:i/>
          <w:sz w:val="28"/>
          <w:szCs w:val="28"/>
          <w:u w:color="000000"/>
          <w:lang w:val="es-ES" w:eastAsia="es-ES"/>
        </w:rPr>
        <w:t>,</w:t>
      </w:r>
      <w:r w:rsidR="00654D29" w:rsidRPr="0078289D">
        <w:rPr>
          <w:rFonts w:eastAsia="Times New Roman"/>
          <w:sz w:val="28"/>
          <w:szCs w:val="28"/>
          <w:u w:color="000000"/>
          <w:lang w:val="es-ES" w:eastAsia="es-ES"/>
        </w:rPr>
        <w:t xml:space="preserve"> </w:t>
      </w:r>
      <w:r w:rsidRPr="0078289D">
        <w:rPr>
          <w:rFonts w:eastAsia="Times New Roman"/>
          <w:sz w:val="28"/>
          <w:szCs w:val="28"/>
          <w:u w:color="000000"/>
          <w:lang w:val="es-ES" w:eastAsia="es-ES"/>
        </w:rPr>
        <w:t>regulan</w:t>
      </w:r>
      <w:r w:rsidR="00654D29" w:rsidRPr="0078289D">
        <w:rPr>
          <w:rFonts w:eastAsia="Times New Roman"/>
          <w:sz w:val="28"/>
          <w:szCs w:val="28"/>
          <w:u w:color="000000"/>
          <w:lang w:val="es-ES" w:eastAsia="es-ES"/>
        </w:rPr>
        <w:t xml:space="preserve"> </w:t>
      </w:r>
      <w:r w:rsidRPr="0078289D">
        <w:rPr>
          <w:rFonts w:eastAsia="Times New Roman"/>
          <w:sz w:val="28"/>
          <w:szCs w:val="28"/>
          <w:u w:color="000000"/>
          <w:lang w:val="es-ES" w:eastAsia="es-ES"/>
        </w:rPr>
        <w:t xml:space="preserve">dos otros tipos </w:t>
      </w:r>
      <w:r w:rsidR="00654D29" w:rsidRPr="0078289D">
        <w:rPr>
          <w:rFonts w:eastAsia="Times New Roman"/>
          <w:sz w:val="28"/>
          <w:szCs w:val="28"/>
          <w:u w:color="000000"/>
          <w:lang w:val="es-ES" w:eastAsia="es-ES"/>
        </w:rPr>
        <w:t xml:space="preserve">de áreas de reserva minera, </w:t>
      </w:r>
      <w:r w:rsidRPr="0078289D">
        <w:rPr>
          <w:rFonts w:eastAsia="Times New Roman"/>
          <w:sz w:val="28"/>
          <w:szCs w:val="28"/>
          <w:u w:color="000000"/>
          <w:lang w:val="es-ES" w:eastAsia="es-ES"/>
        </w:rPr>
        <w:t xml:space="preserve">según </w:t>
      </w:r>
      <w:r w:rsidR="00654D29" w:rsidRPr="0078289D">
        <w:rPr>
          <w:rFonts w:eastAsia="Times New Roman"/>
          <w:sz w:val="28"/>
          <w:szCs w:val="28"/>
          <w:u w:color="000000"/>
          <w:lang w:val="es-ES" w:eastAsia="es-ES"/>
        </w:rPr>
        <w:t xml:space="preserve">los siguientes lineamientos: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rPr>
      </w:pPr>
      <w:r w:rsidRPr="0078289D">
        <w:rPr>
          <w:rFonts w:eastAsia="Times New Roman"/>
          <w:sz w:val="28"/>
          <w:szCs w:val="28"/>
          <w:u w:color="000000"/>
          <w:lang w:val="es-ES"/>
        </w:rPr>
        <w:t>- Áreas de Reserva para la formalización: La Autoridad Nacional Minera podrá delimitar áreas de Reserva Estratégica Minera para la formalización de pequeños mineros, sobre áreas libres o sobre aquellas que sean entregadas a través de la figura de devolución de áreas para la formalización minera.</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-Áreas de Reserva para el desarrollo minero-energético: El Ministerio de Minas y Energía delimitará las zonas estratégicas para el desarrollo minero-energético en un término no mayor de doce (12) meses, contados a partir de la entrada en vigencia de la ley. Estas zonas se declaran por un término de dos (2) años prorrogables por el mismo término, y su objetivo es permitir el manejo ordenado de los recursos naturales no renovables, propendiendo por la maximización del uso de los recursos, y ajustándose para ello a las mejores prácticas internacionalmente aceptadas.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 xml:space="preserve">Adicionalmente, </w:t>
      </w:r>
      <w:r w:rsidR="006E126C" w:rsidRPr="0078289D">
        <w:rPr>
          <w:rFonts w:eastAsia="Times New Roman"/>
          <w:sz w:val="28"/>
          <w:szCs w:val="28"/>
          <w:u w:color="000000"/>
          <w:lang w:val="es-ES" w:eastAsia="es-ES"/>
        </w:rPr>
        <w:t xml:space="preserve">en el mismo sentido </w:t>
      </w:r>
      <w:r w:rsidR="00DF75B0" w:rsidRPr="0078289D">
        <w:rPr>
          <w:rFonts w:eastAsia="Times New Roman"/>
          <w:sz w:val="28"/>
          <w:szCs w:val="28"/>
          <w:u w:color="000000"/>
          <w:lang w:val="es-ES" w:eastAsia="es-ES"/>
        </w:rPr>
        <w:t xml:space="preserve">en </w:t>
      </w:r>
      <w:r w:rsidR="006E126C" w:rsidRPr="0078289D">
        <w:rPr>
          <w:rFonts w:eastAsia="Times New Roman"/>
          <w:sz w:val="28"/>
          <w:szCs w:val="28"/>
          <w:u w:color="000000"/>
          <w:lang w:val="es-ES" w:eastAsia="es-ES"/>
        </w:rPr>
        <w:t xml:space="preserve">que </w:t>
      </w:r>
      <w:r w:rsidR="00716418" w:rsidRPr="0078289D">
        <w:rPr>
          <w:rFonts w:eastAsia="Times New Roman"/>
          <w:sz w:val="28"/>
          <w:szCs w:val="28"/>
          <w:u w:color="000000"/>
          <w:lang w:val="es-ES" w:eastAsia="es-ES"/>
        </w:rPr>
        <w:t xml:space="preserve">la disposición demandada establece que </w:t>
      </w:r>
      <w:r w:rsidRPr="0078289D">
        <w:rPr>
          <w:rFonts w:eastAsia="Times New Roman"/>
          <w:sz w:val="28"/>
          <w:szCs w:val="28"/>
          <w:u w:color="000000"/>
          <w:lang w:val="es-ES" w:eastAsia="es-ES"/>
        </w:rPr>
        <w:t>sobre dichas áreas</w:t>
      </w:r>
      <w:r w:rsidR="00716418" w:rsidRPr="0078289D">
        <w:rPr>
          <w:rFonts w:eastAsia="Times New Roman"/>
          <w:sz w:val="28"/>
          <w:szCs w:val="28"/>
          <w:u w:color="000000"/>
          <w:lang w:val="es-ES" w:eastAsia="es-ES"/>
        </w:rPr>
        <w:t xml:space="preserve"> de reserva especial minera</w:t>
      </w:r>
      <w:r w:rsidRPr="0078289D">
        <w:rPr>
          <w:rFonts w:eastAsia="Times New Roman"/>
          <w:sz w:val="28"/>
          <w:szCs w:val="28"/>
          <w:u w:color="000000"/>
          <w:lang w:val="es-ES" w:eastAsia="es-ES"/>
        </w:rPr>
        <w:t xml:space="preserve"> no se recibirán nuevas propuestas</w:t>
      </w:r>
      <w:r w:rsidR="00716418" w:rsidRPr="0078289D">
        <w:rPr>
          <w:rFonts w:eastAsia="Times New Roman"/>
          <w:sz w:val="28"/>
          <w:szCs w:val="28"/>
          <w:u w:color="000000"/>
          <w:lang w:val="es-ES" w:eastAsia="es-ES"/>
        </w:rPr>
        <w:t>,</w:t>
      </w:r>
      <w:r w:rsidRPr="0078289D">
        <w:rPr>
          <w:rFonts w:eastAsia="Times New Roman"/>
          <w:sz w:val="28"/>
          <w:szCs w:val="28"/>
          <w:u w:color="000000"/>
          <w:lang w:val="es-ES" w:eastAsia="es-ES"/>
        </w:rPr>
        <w:t xml:space="preserve"> ni se suscribirán contratos de concesión minera de carbón. Lo anterior</w:t>
      </w:r>
      <w:r w:rsidR="00191470" w:rsidRPr="0078289D">
        <w:rPr>
          <w:rFonts w:eastAsia="Times New Roman"/>
          <w:sz w:val="28"/>
          <w:szCs w:val="28"/>
          <w:u w:color="000000"/>
          <w:lang w:val="es-ES" w:eastAsia="es-ES"/>
        </w:rPr>
        <w:t>,</w:t>
      </w:r>
      <w:r w:rsidRPr="0078289D">
        <w:rPr>
          <w:rFonts w:eastAsia="Times New Roman"/>
          <w:sz w:val="28"/>
          <w:szCs w:val="28"/>
          <w:u w:color="000000"/>
          <w:lang w:val="es-ES" w:eastAsia="es-ES"/>
        </w:rPr>
        <w:t xml:space="preserve"> con el fin de que estas áreas sean otorgadas por la autoridad correspondiente a través de un proceso de selección objetiva, en el cual dicha autoridad establecerá los términos de referencia. De otra parte, señala que en casos de superposiciones de áreas entre yacimientos </w:t>
      </w:r>
      <w:r w:rsidR="00191470" w:rsidRPr="0078289D">
        <w:rPr>
          <w:rFonts w:eastAsia="Times New Roman"/>
          <w:sz w:val="28"/>
          <w:szCs w:val="28"/>
          <w:u w:color="000000"/>
          <w:lang w:val="es-ES" w:eastAsia="es-ES"/>
        </w:rPr>
        <w:t xml:space="preserve">de hidrocarburos </w:t>
      </w:r>
      <w:r w:rsidRPr="0078289D">
        <w:rPr>
          <w:rFonts w:eastAsia="Times New Roman"/>
          <w:sz w:val="28"/>
          <w:szCs w:val="28"/>
          <w:u w:color="000000"/>
          <w:lang w:val="es-ES" w:eastAsia="es-ES"/>
        </w:rPr>
        <w:t>no convencionales y títulos mineros, en virtud de un acuerdo operacional, la Autoridad Minera Nacional autorizará la suspensión de los títulos mineros sin afectar el tiempo contractual.</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Finalmente, resalta que no podrán ser áreas de reservas para el desarrollo minero las áreas delimitadas como páramos y humedales.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DF3365"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14. A partir del anterior marco normativo se observa que lo que se pretende con la disposición es realizar un orde</w:t>
      </w:r>
      <w:r w:rsidR="00F76304" w:rsidRPr="0078289D">
        <w:rPr>
          <w:rFonts w:eastAsia="Times New Roman"/>
          <w:sz w:val="28"/>
          <w:szCs w:val="28"/>
          <w:u w:color="000000"/>
          <w:lang w:val="es-ES" w:eastAsia="es-ES"/>
        </w:rPr>
        <w:t>namiento de la actividad minera</w:t>
      </w:r>
      <w:r w:rsidRPr="0078289D">
        <w:rPr>
          <w:rFonts w:eastAsia="Times New Roman"/>
          <w:sz w:val="28"/>
          <w:szCs w:val="28"/>
          <w:u w:color="000000"/>
          <w:lang w:val="es-ES" w:eastAsia="es-ES"/>
        </w:rPr>
        <w:t xml:space="preserve"> </w:t>
      </w:r>
      <w:r w:rsidR="00F76304" w:rsidRPr="0078289D">
        <w:rPr>
          <w:rFonts w:eastAsia="Times New Roman"/>
          <w:sz w:val="28"/>
          <w:szCs w:val="28"/>
          <w:u w:color="000000"/>
          <w:lang w:val="es-ES" w:eastAsia="es-ES"/>
        </w:rPr>
        <w:t>impidiendo</w:t>
      </w:r>
      <w:r w:rsidRPr="0078289D">
        <w:rPr>
          <w:rFonts w:eastAsia="Times New Roman"/>
          <w:sz w:val="28"/>
          <w:szCs w:val="28"/>
          <w:u w:color="000000"/>
          <w:lang w:val="es-ES" w:eastAsia="es-ES"/>
        </w:rPr>
        <w:t xml:space="preserve"> que </w:t>
      </w:r>
      <w:r w:rsidR="00F76304" w:rsidRPr="0078289D">
        <w:rPr>
          <w:rFonts w:eastAsia="Times New Roman"/>
          <w:sz w:val="28"/>
          <w:szCs w:val="28"/>
          <w:u w:color="000000"/>
          <w:lang w:val="es-ES" w:eastAsia="es-ES"/>
        </w:rPr>
        <w:t>la Autoridad Nacional Minera reciba nuevas propuestas y</w:t>
      </w:r>
      <w:r w:rsidRPr="0078289D">
        <w:rPr>
          <w:rFonts w:eastAsia="Times New Roman"/>
          <w:sz w:val="28"/>
          <w:szCs w:val="28"/>
          <w:u w:color="000000"/>
          <w:lang w:val="es-ES" w:eastAsia="es-ES"/>
        </w:rPr>
        <w:t xml:space="preserve"> </w:t>
      </w:r>
      <w:r w:rsidR="00F76304" w:rsidRPr="0078289D">
        <w:rPr>
          <w:rFonts w:eastAsia="Times New Roman"/>
          <w:sz w:val="28"/>
          <w:szCs w:val="28"/>
          <w:u w:color="000000"/>
          <w:lang w:val="es-ES" w:eastAsia="es-ES"/>
        </w:rPr>
        <w:t>que suscriba</w:t>
      </w:r>
      <w:r w:rsidRPr="0078289D">
        <w:rPr>
          <w:rFonts w:eastAsia="Times New Roman"/>
          <w:sz w:val="28"/>
          <w:szCs w:val="28"/>
          <w:u w:color="000000"/>
          <w:lang w:val="es-ES" w:eastAsia="es-ES"/>
        </w:rPr>
        <w:t xml:space="preserve"> nuevos contratos de concesión minera sobre las áreas que se declaren como reservadas</w:t>
      </w:r>
      <w:r w:rsidR="00B56015" w:rsidRPr="0078289D">
        <w:rPr>
          <w:rFonts w:eastAsia="Times New Roman"/>
          <w:sz w:val="28"/>
          <w:szCs w:val="28"/>
          <w:u w:color="000000"/>
          <w:lang w:val="es-ES" w:eastAsia="es-ES"/>
        </w:rPr>
        <w:t>.</w:t>
      </w:r>
      <w:r w:rsidRPr="0078289D">
        <w:rPr>
          <w:rFonts w:eastAsia="Times New Roman"/>
          <w:sz w:val="28"/>
          <w:szCs w:val="28"/>
          <w:u w:color="000000"/>
          <w:lang w:val="es-ES" w:eastAsia="es-ES"/>
        </w:rPr>
        <w:t xml:space="preserve"> </w:t>
      </w:r>
      <w:r w:rsidR="006A4A04" w:rsidRPr="0078289D">
        <w:rPr>
          <w:rFonts w:eastAsia="Times New Roman"/>
          <w:sz w:val="28"/>
          <w:szCs w:val="28"/>
          <w:u w:color="000000"/>
          <w:lang w:val="es-ES" w:eastAsia="es-ES"/>
        </w:rPr>
        <w:t>Sin embargo</w:t>
      </w:r>
      <w:r w:rsidRPr="0078289D">
        <w:rPr>
          <w:rFonts w:eastAsia="Times New Roman"/>
          <w:sz w:val="28"/>
          <w:szCs w:val="28"/>
          <w:u w:color="000000"/>
          <w:lang w:val="es-ES" w:eastAsia="es-ES"/>
        </w:rPr>
        <w:t xml:space="preserve">, </w:t>
      </w:r>
      <w:r w:rsidR="00B81D29" w:rsidRPr="0078289D">
        <w:rPr>
          <w:rFonts w:eastAsia="Times New Roman"/>
          <w:sz w:val="28"/>
          <w:szCs w:val="28"/>
          <w:u w:color="000000"/>
          <w:lang w:val="es-ES" w:eastAsia="es-ES"/>
        </w:rPr>
        <w:t xml:space="preserve">como ya se dijo, </w:t>
      </w:r>
      <w:r w:rsidR="006A4A04" w:rsidRPr="0078289D">
        <w:rPr>
          <w:rFonts w:eastAsia="Times New Roman"/>
          <w:sz w:val="28"/>
          <w:szCs w:val="28"/>
          <w:u w:color="000000"/>
          <w:lang w:val="es-ES" w:eastAsia="es-ES"/>
        </w:rPr>
        <w:t xml:space="preserve">la disposición demandada </w:t>
      </w:r>
      <w:r w:rsidR="00B56015" w:rsidRPr="0078289D">
        <w:rPr>
          <w:rFonts w:eastAsia="Times New Roman"/>
          <w:sz w:val="28"/>
          <w:szCs w:val="28"/>
          <w:u w:color="000000"/>
          <w:lang w:val="es-ES" w:eastAsia="es-ES"/>
        </w:rPr>
        <w:t xml:space="preserve">no </w:t>
      </w:r>
      <w:r w:rsidR="0070099C" w:rsidRPr="0078289D">
        <w:rPr>
          <w:rFonts w:eastAsia="Times New Roman"/>
          <w:sz w:val="28"/>
          <w:szCs w:val="28"/>
          <w:u w:color="000000"/>
          <w:lang w:val="es-ES" w:eastAsia="es-ES"/>
        </w:rPr>
        <w:t>excluye</w:t>
      </w:r>
      <w:r w:rsidRPr="0078289D">
        <w:rPr>
          <w:rFonts w:eastAsia="Times New Roman"/>
          <w:sz w:val="28"/>
          <w:szCs w:val="28"/>
          <w:u w:color="000000"/>
          <w:lang w:val="es-ES" w:eastAsia="es-ES"/>
        </w:rPr>
        <w:t xml:space="preserve"> ninguna otra actividad </w:t>
      </w:r>
      <w:r w:rsidR="006A4A04" w:rsidRPr="0078289D">
        <w:rPr>
          <w:rFonts w:eastAsia="Times New Roman"/>
          <w:sz w:val="28"/>
          <w:szCs w:val="28"/>
          <w:u w:color="000000"/>
          <w:lang w:val="es-ES" w:eastAsia="es-ES"/>
        </w:rPr>
        <w:t xml:space="preserve">económica </w:t>
      </w:r>
      <w:r w:rsidR="00496511" w:rsidRPr="0078289D">
        <w:rPr>
          <w:rFonts w:eastAsia="Times New Roman"/>
          <w:sz w:val="28"/>
          <w:szCs w:val="28"/>
          <w:u w:color="000000"/>
          <w:lang w:val="es-ES" w:eastAsia="es-ES"/>
        </w:rPr>
        <w:t>sobre dichas áreas.</w:t>
      </w:r>
      <w:r w:rsidRPr="0078289D">
        <w:rPr>
          <w:rFonts w:eastAsia="Times New Roman"/>
          <w:sz w:val="28"/>
          <w:szCs w:val="28"/>
          <w:u w:color="000000"/>
          <w:lang w:val="es-ES" w:eastAsia="es-ES"/>
        </w:rPr>
        <w:t xml:space="preserve"> </w:t>
      </w:r>
    </w:p>
    <w:p w:rsidR="00DF3365" w:rsidRPr="0078289D" w:rsidRDefault="00DF3365"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B95D1D" w:rsidRPr="0078289D" w:rsidRDefault="00B81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r w:rsidRPr="0078289D">
        <w:rPr>
          <w:rFonts w:eastAsia="Times New Roman"/>
          <w:sz w:val="28"/>
          <w:szCs w:val="28"/>
          <w:u w:color="000000"/>
          <w:lang w:val="es-ES" w:eastAsia="es-ES"/>
        </w:rPr>
        <w:t>E</w:t>
      </w:r>
      <w:r w:rsidR="00496511" w:rsidRPr="0078289D">
        <w:rPr>
          <w:rFonts w:eastAsia="Times New Roman"/>
          <w:sz w:val="28"/>
          <w:szCs w:val="28"/>
          <w:u w:color="000000"/>
          <w:lang w:val="es-ES" w:eastAsia="es-ES"/>
        </w:rPr>
        <w:t>l artículo 20 de la Ley 1753 de 2015</w:t>
      </w:r>
      <w:r w:rsidR="00654D29" w:rsidRPr="0078289D">
        <w:rPr>
          <w:rFonts w:eastAsia="Times New Roman"/>
          <w:sz w:val="28"/>
          <w:szCs w:val="28"/>
          <w:u w:color="000000"/>
          <w:lang w:val="es-ES" w:eastAsia="es-ES"/>
        </w:rPr>
        <w:t xml:space="preserve"> únicamente </w:t>
      </w:r>
      <w:r w:rsidR="0070099C" w:rsidRPr="0078289D">
        <w:rPr>
          <w:rFonts w:eastAsia="Times New Roman"/>
          <w:sz w:val="28"/>
          <w:szCs w:val="28"/>
          <w:u w:color="000000"/>
          <w:lang w:val="es-ES" w:eastAsia="es-ES"/>
        </w:rPr>
        <w:t xml:space="preserve">prohíbe </w:t>
      </w:r>
      <w:r w:rsidR="00351421" w:rsidRPr="0078289D">
        <w:rPr>
          <w:rFonts w:eastAsia="Times New Roman"/>
          <w:sz w:val="28"/>
          <w:szCs w:val="28"/>
          <w:u w:color="000000"/>
          <w:lang w:val="es-ES" w:eastAsia="es-ES"/>
        </w:rPr>
        <w:t>recibir</w:t>
      </w:r>
      <w:r w:rsidR="00654D29" w:rsidRPr="0078289D">
        <w:rPr>
          <w:rFonts w:eastAsia="Times New Roman"/>
          <w:sz w:val="28"/>
          <w:szCs w:val="28"/>
          <w:u w:color="000000"/>
          <w:lang w:val="es-ES" w:eastAsia="es-ES"/>
        </w:rPr>
        <w:t xml:space="preserve"> nuevas propuestas </w:t>
      </w:r>
      <w:r w:rsidR="00351421" w:rsidRPr="0078289D">
        <w:rPr>
          <w:rFonts w:eastAsia="Times New Roman"/>
          <w:sz w:val="28"/>
          <w:szCs w:val="28"/>
          <w:u w:color="000000"/>
          <w:lang w:val="es-ES" w:eastAsia="es-ES"/>
        </w:rPr>
        <w:t>y suscribir</w:t>
      </w:r>
      <w:r w:rsidR="00654D29" w:rsidRPr="0078289D">
        <w:rPr>
          <w:rFonts w:eastAsia="Times New Roman"/>
          <w:sz w:val="28"/>
          <w:szCs w:val="28"/>
          <w:u w:color="000000"/>
          <w:lang w:val="es-ES" w:eastAsia="es-ES"/>
        </w:rPr>
        <w:t xml:space="preserve"> nuevos contratos de concesión minera sobre las áreas que eventualmente se declaren como reservadas.</w:t>
      </w:r>
      <w:r w:rsidR="00F17FDF" w:rsidRPr="0078289D">
        <w:rPr>
          <w:rFonts w:eastAsia="Times New Roman"/>
          <w:sz w:val="28"/>
          <w:szCs w:val="28"/>
          <w:u w:color="000000"/>
          <w:lang w:val="es-ES" w:eastAsia="es-ES"/>
        </w:rPr>
        <w:t xml:space="preserve"> Su objeto es, por el contrario, introducirle un orden a la explotación minera en aquellas áreas que el Estado</w:t>
      </w:r>
      <w:r w:rsidR="00441D0F" w:rsidRPr="0078289D">
        <w:rPr>
          <w:rFonts w:eastAsia="Times New Roman"/>
          <w:sz w:val="28"/>
          <w:szCs w:val="28"/>
          <w:u w:color="000000"/>
          <w:lang w:val="es-ES" w:eastAsia="es-ES"/>
        </w:rPr>
        <w:t xml:space="preserve"> considere de interés estratégico</w:t>
      </w:r>
      <w:r w:rsidR="00F17FDF" w:rsidRPr="0078289D">
        <w:rPr>
          <w:rFonts w:eastAsia="Times New Roman"/>
          <w:sz w:val="28"/>
          <w:szCs w:val="28"/>
          <w:u w:color="000000"/>
          <w:lang w:val="es-ES" w:eastAsia="es-ES"/>
        </w:rPr>
        <w:t xml:space="preserve">, con base en la información </w:t>
      </w:r>
      <w:r w:rsidR="00441D0F" w:rsidRPr="0078289D">
        <w:rPr>
          <w:rFonts w:eastAsia="Times New Roman"/>
          <w:sz w:val="28"/>
          <w:szCs w:val="28"/>
          <w:u w:color="000000"/>
          <w:lang w:val="es-ES" w:eastAsia="es-ES"/>
        </w:rPr>
        <w:t xml:space="preserve">geológica </w:t>
      </w:r>
      <w:r w:rsidR="00F17FDF" w:rsidRPr="0078289D">
        <w:rPr>
          <w:rFonts w:eastAsia="Times New Roman"/>
          <w:sz w:val="28"/>
          <w:szCs w:val="28"/>
          <w:u w:color="000000"/>
          <w:lang w:val="es-ES" w:eastAsia="es-ES"/>
        </w:rPr>
        <w:t>disponible, y en la</w:t>
      </w:r>
      <w:r w:rsidR="00441D0F" w:rsidRPr="0078289D">
        <w:rPr>
          <w:rFonts w:eastAsia="Times New Roman"/>
          <w:sz w:val="28"/>
          <w:szCs w:val="28"/>
          <w:u w:color="000000"/>
          <w:lang w:val="es-ES" w:eastAsia="es-ES"/>
        </w:rPr>
        <w:t xml:space="preserve"> que se obtenga posteriormente con fundamento en la focalización de dichas áreas. </w:t>
      </w:r>
      <w:r w:rsidR="00B95D1D" w:rsidRPr="0078289D">
        <w:rPr>
          <w:rFonts w:eastAsia="Times New Roman"/>
          <w:sz w:val="28"/>
          <w:szCs w:val="28"/>
          <w:u w:color="000000"/>
          <w:lang w:val="es-ES" w:eastAsia="es-ES"/>
        </w:rPr>
        <w:t xml:space="preserve">Dicho de otra manera, la norma acusada, acorde con la naturaleza de la ley en donde está contenida, esto es la Ley del Plan de Desarrollo, desarrolla una política pública </w:t>
      </w:r>
      <w:r w:rsidR="0033152D" w:rsidRPr="0078289D">
        <w:rPr>
          <w:rFonts w:eastAsia="Times New Roman"/>
          <w:sz w:val="28"/>
          <w:szCs w:val="28"/>
          <w:u w:color="000000"/>
          <w:lang w:val="es-ES" w:eastAsia="es-ES"/>
        </w:rPr>
        <w:t>en materia minera</w:t>
      </w:r>
      <w:r w:rsidR="00DF3365" w:rsidRPr="0078289D">
        <w:rPr>
          <w:rFonts w:eastAsia="Times New Roman"/>
          <w:sz w:val="28"/>
          <w:szCs w:val="28"/>
          <w:u w:color="000000"/>
          <w:lang w:val="es-ES" w:eastAsia="es-ES"/>
        </w:rPr>
        <w:t>,</w:t>
      </w:r>
      <w:r w:rsidR="0033152D" w:rsidRPr="0078289D">
        <w:rPr>
          <w:rFonts w:eastAsia="Times New Roman"/>
          <w:sz w:val="28"/>
          <w:szCs w:val="28"/>
          <w:u w:color="000000"/>
          <w:lang w:val="es-ES" w:eastAsia="es-ES"/>
        </w:rPr>
        <w:t xml:space="preserve"> </w:t>
      </w:r>
      <w:r w:rsidR="00B95D1D" w:rsidRPr="0078289D">
        <w:rPr>
          <w:rFonts w:eastAsia="Times New Roman"/>
          <w:sz w:val="28"/>
          <w:szCs w:val="28"/>
          <w:u w:color="000000"/>
          <w:lang w:val="es-ES" w:eastAsia="es-ES"/>
        </w:rPr>
        <w:t>consistente en</w:t>
      </w:r>
      <w:r w:rsidR="0033152D" w:rsidRPr="0078289D">
        <w:rPr>
          <w:rFonts w:eastAsia="Times New Roman"/>
          <w:sz w:val="28"/>
          <w:szCs w:val="28"/>
          <w:u w:color="000000"/>
          <w:lang w:val="es-ES" w:eastAsia="es-ES"/>
        </w:rPr>
        <w:t xml:space="preserve"> la planificación y </w:t>
      </w:r>
      <w:r w:rsidR="00DF3365" w:rsidRPr="0078289D">
        <w:rPr>
          <w:rFonts w:eastAsia="Times New Roman"/>
          <w:sz w:val="28"/>
          <w:szCs w:val="28"/>
          <w:u w:color="000000"/>
          <w:lang w:val="es-ES" w:eastAsia="es-ES"/>
        </w:rPr>
        <w:t xml:space="preserve">delimitación de zonas del territorio nacional para realizar la </w:t>
      </w:r>
      <w:r w:rsidR="0033152D" w:rsidRPr="0078289D">
        <w:rPr>
          <w:rFonts w:eastAsia="Times New Roman"/>
          <w:sz w:val="28"/>
          <w:szCs w:val="28"/>
          <w:u w:color="000000"/>
          <w:lang w:val="es-ES" w:eastAsia="es-ES"/>
        </w:rPr>
        <w:t>gesti</w:t>
      </w:r>
      <w:r w:rsidR="00DF3365" w:rsidRPr="0078289D">
        <w:rPr>
          <w:rFonts w:eastAsia="Times New Roman"/>
          <w:sz w:val="28"/>
          <w:szCs w:val="28"/>
          <w:u w:color="000000"/>
          <w:lang w:val="es-ES" w:eastAsia="es-ES"/>
        </w:rPr>
        <w:t>ón y el control estatal de la actividad minera.</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_tradnl" w:eastAsia="es-ES"/>
        </w:rPr>
      </w:pPr>
      <w:r w:rsidRPr="0078289D">
        <w:rPr>
          <w:rFonts w:eastAsia="Times New Roman"/>
          <w:sz w:val="28"/>
          <w:szCs w:val="28"/>
          <w:u w:color="000000"/>
          <w:lang w:val="es-ES_tradnl" w:eastAsia="es-ES"/>
        </w:rPr>
        <w:t>15. Luego de identificar las normas jurídicas demanda</w:t>
      </w:r>
      <w:r w:rsidR="007E16F6" w:rsidRPr="0078289D">
        <w:rPr>
          <w:rFonts w:eastAsia="Times New Roman"/>
          <w:sz w:val="28"/>
          <w:szCs w:val="28"/>
          <w:u w:color="000000"/>
          <w:lang w:val="es-ES_tradnl" w:eastAsia="es-ES"/>
        </w:rPr>
        <w:t>da</w:t>
      </w:r>
      <w:r w:rsidRPr="0078289D">
        <w:rPr>
          <w:rFonts w:eastAsia="Times New Roman"/>
          <w:sz w:val="28"/>
          <w:szCs w:val="28"/>
          <w:u w:color="000000"/>
          <w:lang w:val="es-ES_tradnl" w:eastAsia="es-ES"/>
        </w:rPr>
        <w:t xml:space="preserve">s y </w:t>
      </w:r>
      <w:r w:rsidR="0011651B" w:rsidRPr="0078289D">
        <w:rPr>
          <w:rFonts w:eastAsia="Times New Roman"/>
          <w:sz w:val="28"/>
          <w:szCs w:val="28"/>
          <w:u w:color="000000"/>
          <w:lang w:val="es-ES_tradnl" w:eastAsia="es-ES"/>
        </w:rPr>
        <w:t xml:space="preserve">especificar </w:t>
      </w:r>
      <w:r w:rsidRPr="0078289D">
        <w:rPr>
          <w:rFonts w:eastAsia="Times New Roman"/>
          <w:sz w:val="28"/>
          <w:szCs w:val="28"/>
          <w:u w:color="000000"/>
          <w:lang w:val="es-ES_tradnl" w:eastAsia="es-ES"/>
        </w:rPr>
        <w:t>su objeto</w:t>
      </w:r>
      <w:r w:rsidR="0011651B" w:rsidRPr="0078289D">
        <w:rPr>
          <w:rFonts w:eastAsia="Times New Roman"/>
          <w:sz w:val="28"/>
          <w:szCs w:val="28"/>
          <w:u w:color="000000"/>
          <w:lang w:val="es-ES_tradnl" w:eastAsia="es-ES"/>
        </w:rPr>
        <w:t xml:space="preserve"> y alcance</w:t>
      </w:r>
      <w:r w:rsidRPr="0078289D">
        <w:rPr>
          <w:rFonts w:eastAsia="Times New Roman"/>
          <w:sz w:val="28"/>
          <w:szCs w:val="28"/>
          <w:u w:color="000000"/>
          <w:lang w:val="es-ES_tradnl" w:eastAsia="es-ES"/>
        </w:rPr>
        <w:t xml:space="preserve">, la Sala realizará el análisis de la configuración de los requisitos de certeza, especificidad, pertinencia y suficiencia, exigidos por la jurisprudencia para </w:t>
      </w:r>
      <w:r w:rsidR="0011651B" w:rsidRPr="0078289D">
        <w:rPr>
          <w:rFonts w:eastAsia="Times New Roman"/>
          <w:sz w:val="28"/>
          <w:szCs w:val="28"/>
          <w:u w:color="000000"/>
          <w:lang w:val="es-ES_tradnl" w:eastAsia="es-ES"/>
        </w:rPr>
        <w:t>que</w:t>
      </w:r>
      <w:r w:rsidRPr="0078289D">
        <w:rPr>
          <w:rFonts w:eastAsia="Times New Roman"/>
          <w:sz w:val="28"/>
          <w:szCs w:val="28"/>
          <w:u w:color="000000"/>
          <w:lang w:val="es-ES_tradnl" w:eastAsia="es-ES"/>
        </w:rPr>
        <w:t xml:space="preserve"> la Corte pueda pronunciarse de fondo sobre las disposiciones demandadas, como se expondrá a continuación.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_tradnl" w:eastAsia="es-ES"/>
        </w:rPr>
      </w:pPr>
    </w:p>
    <w:p w:rsidR="00654D29" w:rsidRPr="0078289D" w:rsidRDefault="0036715E"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b/>
          <w:i/>
          <w:sz w:val="28"/>
          <w:szCs w:val="28"/>
          <w:u w:color="000000"/>
          <w:lang w:val="es-CO" w:eastAsia="es-ES"/>
        </w:rPr>
      </w:pPr>
      <w:r w:rsidRPr="0078289D">
        <w:rPr>
          <w:rFonts w:eastAsia="Times New Roman"/>
          <w:b/>
          <w:i/>
          <w:sz w:val="28"/>
          <w:szCs w:val="28"/>
          <w:u w:color="000000"/>
          <w:lang w:val="es-CO" w:eastAsia="es-ES"/>
        </w:rPr>
        <w:t>Ineptitud de los c</w:t>
      </w:r>
      <w:r w:rsidR="00654D29" w:rsidRPr="0078289D">
        <w:rPr>
          <w:rFonts w:eastAsia="Times New Roman"/>
          <w:b/>
          <w:i/>
          <w:sz w:val="28"/>
          <w:szCs w:val="28"/>
          <w:u w:color="000000"/>
          <w:lang w:val="es-CO" w:eastAsia="es-ES"/>
        </w:rPr>
        <w:t>argo</w:t>
      </w:r>
      <w:r w:rsidR="0072536C" w:rsidRPr="0078289D">
        <w:rPr>
          <w:rFonts w:eastAsia="Times New Roman"/>
          <w:b/>
          <w:i/>
          <w:sz w:val="28"/>
          <w:szCs w:val="28"/>
          <w:u w:color="000000"/>
          <w:lang w:val="es-CO" w:eastAsia="es-ES"/>
        </w:rPr>
        <w:t>s</w:t>
      </w:r>
      <w:r w:rsidR="00654D29" w:rsidRPr="0078289D">
        <w:rPr>
          <w:rFonts w:eastAsia="Times New Roman"/>
          <w:b/>
          <w:i/>
          <w:sz w:val="28"/>
          <w:szCs w:val="28"/>
          <w:u w:color="000000"/>
          <w:lang w:val="es-CO" w:eastAsia="es-ES"/>
        </w:rPr>
        <w:t xml:space="preserve"> correspondiente</w:t>
      </w:r>
      <w:r w:rsidR="0072536C" w:rsidRPr="0078289D">
        <w:rPr>
          <w:rFonts w:eastAsia="Times New Roman"/>
          <w:b/>
          <w:i/>
          <w:sz w:val="28"/>
          <w:szCs w:val="28"/>
          <w:u w:color="000000"/>
          <w:lang w:val="es-CO" w:eastAsia="es-ES"/>
        </w:rPr>
        <w:t>s</w:t>
      </w:r>
      <w:r w:rsidR="00654D29" w:rsidRPr="0078289D">
        <w:rPr>
          <w:rFonts w:eastAsia="Times New Roman"/>
          <w:b/>
          <w:i/>
          <w:sz w:val="28"/>
          <w:szCs w:val="28"/>
          <w:u w:color="000000"/>
          <w:lang w:val="es-CO" w:eastAsia="es-ES"/>
        </w:rPr>
        <w:t xml:space="preserve"> a la vulneración de los  </w:t>
      </w:r>
      <w:r w:rsidR="00654D29" w:rsidRPr="0078289D">
        <w:rPr>
          <w:rFonts w:eastAsia="Times New Roman"/>
          <w:b/>
          <w:bCs/>
          <w:i/>
          <w:sz w:val="28"/>
          <w:szCs w:val="28"/>
          <w:lang w:val="es-ES" w:eastAsia="es-ES"/>
        </w:rPr>
        <w:t>arts. 64, 65 y 66 superiores</w:t>
      </w:r>
      <w:r w:rsidR="00094D1B" w:rsidRPr="0078289D">
        <w:rPr>
          <w:rFonts w:eastAsia="Times New Roman"/>
          <w:b/>
          <w:bCs/>
          <w:i/>
          <w:sz w:val="28"/>
          <w:szCs w:val="28"/>
          <w:lang w:val="es-ES" w:eastAsia="es-ES"/>
        </w:rPr>
        <w:t xml:space="preserve">, </w:t>
      </w:r>
      <w:r w:rsidR="00640313" w:rsidRPr="0078289D">
        <w:rPr>
          <w:rFonts w:eastAsia="Times New Roman"/>
          <w:b/>
          <w:bCs/>
          <w:i/>
          <w:sz w:val="28"/>
          <w:szCs w:val="28"/>
          <w:lang w:val="es-ES" w:eastAsia="es-ES"/>
        </w:rPr>
        <w:t>del</w:t>
      </w:r>
      <w:r w:rsidR="00094D1B" w:rsidRPr="0078289D">
        <w:rPr>
          <w:rFonts w:eastAsia="Times New Roman"/>
          <w:b/>
          <w:bCs/>
          <w:i/>
          <w:sz w:val="28"/>
          <w:szCs w:val="28"/>
          <w:lang w:val="es-ES" w:eastAsia="es-ES"/>
        </w:rPr>
        <w:t xml:space="preserve"> pri</w:t>
      </w:r>
      <w:r w:rsidR="00640313" w:rsidRPr="0078289D">
        <w:rPr>
          <w:rFonts w:eastAsia="Times New Roman"/>
          <w:b/>
          <w:bCs/>
          <w:i/>
          <w:sz w:val="28"/>
          <w:szCs w:val="28"/>
          <w:lang w:val="es-ES" w:eastAsia="es-ES"/>
        </w:rPr>
        <w:t>ncipio de desarrollo sostenible</w:t>
      </w:r>
      <w:r w:rsidR="00094D1B" w:rsidRPr="0078289D">
        <w:rPr>
          <w:rFonts w:eastAsia="Times New Roman"/>
          <w:b/>
          <w:bCs/>
          <w:i/>
          <w:sz w:val="28"/>
          <w:szCs w:val="28"/>
          <w:lang w:val="es-ES" w:eastAsia="es-ES"/>
        </w:rPr>
        <w:t xml:space="preserve"> y al desconocimiento del deber de conservación de los recursos naturales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_tradnl"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CO" w:eastAsia="es-ES"/>
        </w:rPr>
      </w:pPr>
      <w:r w:rsidRPr="0078289D">
        <w:rPr>
          <w:rFonts w:eastAsia="Times New Roman"/>
          <w:sz w:val="28"/>
          <w:szCs w:val="28"/>
          <w:u w:color="000000"/>
          <w:lang w:val="es-CO" w:eastAsia="es-ES"/>
        </w:rPr>
        <w:t xml:space="preserve">16. La jurisprudencia de la Corte Constitucional ha establecido que el requisito de </w:t>
      </w:r>
      <w:r w:rsidRPr="0078289D">
        <w:rPr>
          <w:rFonts w:eastAsia="Times New Roman"/>
          <w:b/>
          <w:sz w:val="28"/>
          <w:szCs w:val="28"/>
          <w:u w:color="000000"/>
          <w:lang w:val="es-CO" w:eastAsia="es-ES"/>
        </w:rPr>
        <w:t xml:space="preserve">certeza </w:t>
      </w:r>
      <w:r w:rsidRPr="0078289D">
        <w:rPr>
          <w:rFonts w:eastAsia="Times New Roman"/>
          <w:sz w:val="28"/>
          <w:szCs w:val="28"/>
          <w:u w:color="000000"/>
          <w:lang w:val="es-CO" w:eastAsia="es-ES"/>
        </w:rPr>
        <w:t xml:space="preserve">exige que la demanda recaiga sobre una proposición jurídica real y existente, y no sobre una norma puramente deducida o implícita, o sobre otras normas del ordenamiento jurídico </w:t>
      </w:r>
      <w:r w:rsidR="00CB1043" w:rsidRPr="0078289D">
        <w:rPr>
          <w:rFonts w:eastAsia="Times New Roman"/>
          <w:sz w:val="28"/>
          <w:szCs w:val="28"/>
          <w:u w:color="000000"/>
          <w:lang w:val="es-CO" w:eastAsia="es-ES"/>
        </w:rPr>
        <w:t xml:space="preserve">que no han sido </w:t>
      </w:r>
      <w:r w:rsidRPr="0078289D">
        <w:rPr>
          <w:rFonts w:eastAsia="Times New Roman"/>
          <w:sz w:val="28"/>
          <w:szCs w:val="28"/>
          <w:u w:color="000000"/>
          <w:lang w:val="es-CO" w:eastAsia="es-ES"/>
        </w:rPr>
        <w:t>no demandadas por los accionantes</w:t>
      </w:r>
      <w:r w:rsidRPr="0078289D">
        <w:rPr>
          <w:rFonts w:eastAsia="Times New Roman"/>
          <w:sz w:val="28"/>
          <w:szCs w:val="28"/>
          <w:u w:color="000000"/>
          <w:vertAlign w:val="superscript"/>
          <w:lang w:val="es-CO" w:eastAsia="es-ES"/>
        </w:rPr>
        <w:footnoteReference w:id="24"/>
      </w:r>
      <w:r w:rsidRPr="0078289D">
        <w:rPr>
          <w:rFonts w:eastAsia="Times New Roman"/>
          <w:sz w:val="28"/>
          <w:szCs w:val="28"/>
          <w:u w:color="000000"/>
          <w:lang w:val="es-CO" w:eastAsia="es-ES"/>
        </w:rPr>
        <w:t>.</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CO"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ES_tradnl" w:eastAsia="es-ES"/>
        </w:rPr>
      </w:pPr>
      <w:r w:rsidRPr="0078289D">
        <w:rPr>
          <w:rFonts w:eastAsia="Times New Roman"/>
          <w:sz w:val="28"/>
          <w:szCs w:val="28"/>
          <w:lang w:val="uz-Cyrl-UZ"/>
        </w:rPr>
        <w:t>En el presente caso los demandantes presuponen que</w:t>
      </w:r>
      <w:r w:rsidRPr="0078289D">
        <w:rPr>
          <w:rFonts w:eastAsia="Times New Roman"/>
          <w:sz w:val="28"/>
          <w:szCs w:val="28"/>
          <w:lang w:val="es-CO"/>
        </w:rPr>
        <w:t xml:space="preserve"> la creación y ampliación de las AEM </w:t>
      </w:r>
      <w:r w:rsidRPr="0078289D">
        <w:rPr>
          <w:rFonts w:eastAsia="Times New Roman"/>
          <w:bCs/>
          <w:sz w:val="28"/>
          <w:szCs w:val="28"/>
          <w:lang w:val="es-ES" w:eastAsia="es-ES"/>
        </w:rPr>
        <w:t xml:space="preserve">desconoce los mandatos constitucionales de protección de los trabajadores </w:t>
      </w:r>
      <w:r w:rsidR="00BC5179" w:rsidRPr="0078289D">
        <w:rPr>
          <w:rFonts w:eastAsia="Times New Roman"/>
          <w:bCs/>
          <w:sz w:val="28"/>
          <w:szCs w:val="28"/>
          <w:lang w:val="es-ES" w:eastAsia="es-ES"/>
        </w:rPr>
        <w:t xml:space="preserve">rurales </w:t>
      </w:r>
      <w:r w:rsidRPr="0078289D">
        <w:rPr>
          <w:rFonts w:eastAsia="Times New Roman"/>
          <w:bCs/>
          <w:sz w:val="28"/>
          <w:szCs w:val="28"/>
          <w:lang w:val="es-ES" w:eastAsia="es-ES"/>
        </w:rPr>
        <w:t xml:space="preserve">y de la producción agropecuaria, de los cuales dependen los derechos a la alimentación, soberanía y seguridad alimentaria. </w:t>
      </w:r>
      <w:r w:rsidR="006369F5" w:rsidRPr="0078289D">
        <w:rPr>
          <w:rFonts w:eastAsia="Times New Roman"/>
          <w:bCs/>
          <w:sz w:val="28"/>
          <w:szCs w:val="28"/>
          <w:lang w:val="es-ES" w:eastAsia="es-ES"/>
        </w:rPr>
        <w:t>Así mismo</w:t>
      </w:r>
      <w:r w:rsidR="006369F5" w:rsidRPr="0078289D">
        <w:rPr>
          <w:sz w:val="28"/>
          <w:szCs w:val="28"/>
          <w:lang w:val="es-US"/>
        </w:rPr>
        <w:t xml:space="preserve"> sostienen que destinar áreas del territorio nacional para la minería, únicamente con base en estudios geológicos, y sin ningún mecanismo de ponderación, resulta contrario al principio de desarrollo sostenible y al deber de </w:t>
      </w:r>
      <w:r w:rsidR="006369F5" w:rsidRPr="0078289D">
        <w:rPr>
          <w:sz w:val="28"/>
          <w:szCs w:val="28"/>
          <w:lang w:val="es-US"/>
        </w:rPr>
        <w:lastRenderedPageBreak/>
        <w:t>conservación de los recursos naturales.</w:t>
      </w:r>
      <w:r w:rsidR="007E6E61" w:rsidRPr="0078289D">
        <w:rPr>
          <w:rFonts w:eastAsia="Times New Roman"/>
          <w:sz w:val="28"/>
          <w:szCs w:val="28"/>
          <w:u w:color="000000"/>
          <w:lang w:val="es-ES_tradnl" w:eastAsia="es-ES"/>
        </w:rPr>
        <w:t xml:space="preserve"> </w:t>
      </w:r>
      <w:r w:rsidRPr="0078289D">
        <w:rPr>
          <w:rFonts w:eastAsia="Times New Roman"/>
          <w:bCs/>
          <w:sz w:val="28"/>
          <w:szCs w:val="28"/>
          <w:lang w:val="es-ES" w:eastAsia="es-ES"/>
        </w:rPr>
        <w:t xml:space="preserve">Lo anterior, por cuanto la delimitación y reserva de áreas para la minería implica una priorización absoluta de dicha actividad sobre otro tipo de actividades </w:t>
      </w:r>
      <w:r w:rsidR="007E6E61" w:rsidRPr="0078289D">
        <w:rPr>
          <w:rFonts w:eastAsia="Times New Roman"/>
          <w:bCs/>
          <w:sz w:val="28"/>
          <w:szCs w:val="28"/>
          <w:lang w:val="es-ES" w:eastAsia="es-ES"/>
        </w:rPr>
        <w:t xml:space="preserve">y bienes jurídicos </w:t>
      </w:r>
      <w:r w:rsidRPr="0078289D">
        <w:rPr>
          <w:rFonts w:eastAsia="Times New Roman"/>
          <w:bCs/>
          <w:sz w:val="28"/>
          <w:szCs w:val="28"/>
          <w:lang w:val="es-ES" w:eastAsia="es-ES"/>
        </w:rPr>
        <w:t>también protegidas constitucionalmente.</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sz w:val="28"/>
          <w:szCs w:val="28"/>
          <w:u w:color="000000"/>
          <w:lang w:val="es-MX" w:eastAsia="es-ES"/>
        </w:rPr>
      </w:pPr>
      <w:r w:rsidRPr="0078289D">
        <w:rPr>
          <w:sz w:val="28"/>
          <w:szCs w:val="28"/>
          <w:u w:color="000000"/>
          <w:lang w:val="es-MX" w:eastAsia="es-ES"/>
        </w:rPr>
        <w:t>Adicionalmente, explican que las normas acusadas vulneran el deber de promoción de acceso progresivo a</w:t>
      </w:r>
      <w:r w:rsidR="004A170B" w:rsidRPr="0078289D">
        <w:rPr>
          <w:sz w:val="28"/>
          <w:szCs w:val="28"/>
          <w:u w:color="000000"/>
          <w:lang w:val="es-MX" w:eastAsia="es-ES"/>
        </w:rPr>
        <w:t xml:space="preserve"> la tierra, por dos razones: p</w:t>
      </w:r>
      <w:r w:rsidRPr="0078289D">
        <w:rPr>
          <w:sz w:val="28"/>
          <w:szCs w:val="28"/>
          <w:u w:color="000000"/>
          <w:lang w:val="es-MX" w:eastAsia="es-ES"/>
        </w:rPr>
        <w:t>or un lado, porque al priorizar la actividad minera permiten, sin ningún mecanismo de ponderación, la expropiación de bienes adjudicados a campesinos como resultado de procedimientos de democratización de la propiedad rural. P</w:t>
      </w:r>
      <w:r w:rsidR="004A170B" w:rsidRPr="0078289D">
        <w:rPr>
          <w:sz w:val="28"/>
          <w:szCs w:val="28"/>
          <w:u w:color="000000"/>
          <w:lang w:val="es-MX" w:eastAsia="es-ES"/>
        </w:rPr>
        <w:t xml:space="preserve">or otro lado, porque la </w:t>
      </w:r>
      <w:r w:rsidR="00EA7CF6" w:rsidRPr="0078289D">
        <w:rPr>
          <w:sz w:val="28"/>
          <w:szCs w:val="28"/>
          <w:u w:color="000000"/>
          <w:lang w:val="es-MX" w:eastAsia="es-ES"/>
        </w:rPr>
        <w:t>selección</w:t>
      </w:r>
      <w:r w:rsidR="004A170B" w:rsidRPr="0078289D">
        <w:rPr>
          <w:sz w:val="28"/>
          <w:szCs w:val="28"/>
          <w:u w:color="000000"/>
          <w:lang w:val="es-MX" w:eastAsia="es-ES"/>
        </w:rPr>
        <w:t xml:space="preserve"> de una AEM impide</w:t>
      </w:r>
      <w:r w:rsidRPr="0078289D">
        <w:rPr>
          <w:sz w:val="28"/>
          <w:szCs w:val="28"/>
          <w:u w:color="000000"/>
          <w:lang w:val="es-MX" w:eastAsia="es-ES"/>
        </w:rPr>
        <w:t xml:space="preserve"> que se adjudiquen las tierras a los campesinos, </w:t>
      </w:r>
      <w:r w:rsidR="004A170B" w:rsidRPr="0078289D">
        <w:rPr>
          <w:sz w:val="28"/>
          <w:szCs w:val="28"/>
          <w:u w:color="000000"/>
          <w:lang w:val="es-MX" w:eastAsia="es-ES"/>
        </w:rPr>
        <w:t xml:space="preserve">pues parten del supuesto según el cual esta </w:t>
      </w:r>
      <w:r w:rsidR="00DA5F22" w:rsidRPr="0078289D">
        <w:rPr>
          <w:sz w:val="28"/>
          <w:szCs w:val="28"/>
          <w:u w:color="000000"/>
          <w:lang w:val="es-MX" w:eastAsia="es-ES"/>
        </w:rPr>
        <w:t>figura</w:t>
      </w:r>
      <w:r w:rsidRPr="0078289D">
        <w:rPr>
          <w:sz w:val="28"/>
          <w:szCs w:val="28"/>
          <w:u w:color="000000"/>
          <w:lang w:val="es-MX" w:eastAsia="es-ES"/>
        </w:rPr>
        <w:t xml:space="preserve"> </w:t>
      </w:r>
      <w:r w:rsidR="00DA5F22" w:rsidRPr="0078289D">
        <w:rPr>
          <w:sz w:val="28"/>
          <w:szCs w:val="28"/>
          <w:u w:color="000000"/>
          <w:lang w:val="es-MX" w:eastAsia="es-ES"/>
        </w:rPr>
        <w:t xml:space="preserve">tiene el efecto de destinar </w:t>
      </w:r>
      <w:r w:rsidRPr="0078289D">
        <w:rPr>
          <w:sz w:val="28"/>
          <w:szCs w:val="28"/>
          <w:u w:color="000000"/>
          <w:lang w:val="es-MX" w:eastAsia="es-ES"/>
        </w:rPr>
        <w:t xml:space="preserve">ciertas áreas </w:t>
      </w:r>
      <w:r w:rsidR="00DA5F22" w:rsidRPr="0078289D">
        <w:rPr>
          <w:sz w:val="28"/>
          <w:szCs w:val="28"/>
          <w:u w:color="000000"/>
          <w:lang w:val="es-MX" w:eastAsia="es-ES"/>
        </w:rPr>
        <w:t xml:space="preserve">del territorio nacional </w:t>
      </w:r>
      <w:r w:rsidRPr="0078289D">
        <w:rPr>
          <w:sz w:val="28"/>
          <w:szCs w:val="28"/>
          <w:u w:color="000000"/>
          <w:lang w:val="es-MX" w:eastAsia="es-ES"/>
        </w:rPr>
        <w:t xml:space="preserve">exclusivamente para la minería.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es-CO"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u w:color="000000"/>
          <w:lang w:val="uz-Cyrl-UZ" w:eastAsia="es-ES"/>
        </w:rPr>
      </w:pPr>
      <w:r w:rsidRPr="0078289D">
        <w:rPr>
          <w:sz w:val="28"/>
          <w:szCs w:val="28"/>
          <w:u w:color="000000"/>
          <w:lang w:val="es-MX" w:eastAsia="es-ES"/>
        </w:rPr>
        <w:t xml:space="preserve">Sin embargo, </w:t>
      </w:r>
      <w:r w:rsidRPr="0078289D">
        <w:rPr>
          <w:rFonts w:eastAsia="Times New Roman"/>
          <w:sz w:val="28"/>
          <w:szCs w:val="28"/>
          <w:u w:color="000000"/>
          <w:lang w:val="es-CO" w:eastAsia="es-ES"/>
        </w:rPr>
        <w:t xml:space="preserve">la Corte advierte que </w:t>
      </w:r>
      <w:r w:rsidR="00D02428" w:rsidRPr="0078289D">
        <w:rPr>
          <w:rFonts w:eastAsia="Times New Roman"/>
          <w:sz w:val="28"/>
          <w:szCs w:val="28"/>
          <w:u w:color="000000"/>
          <w:lang w:val="es-CO" w:eastAsia="es-ES"/>
        </w:rPr>
        <w:t xml:space="preserve">el efecto de la disposición demandada, que es el de </w:t>
      </w:r>
      <w:r w:rsidRPr="0078289D">
        <w:rPr>
          <w:rFonts w:eastAsia="Times New Roman"/>
          <w:bCs/>
          <w:sz w:val="28"/>
          <w:szCs w:val="28"/>
          <w:lang w:val="es-ES" w:eastAsia="es-ES"/>
        </w:rPr>
        <w:t xml:space="preserve">la creación y ampliación de Áreas de Reserva Estratégica Minera </w:t>
      </w:r>
      <w:r w:rsidR="002D6BC6" w:rsidRPr="0078289D">
        <w:rPr>
          <w:rFonts w:eastAsia="Times New Roman"/>
          <w:sz w:val="28"/>
          <w:szCs w:val="28"/>
          <w:u w:color="000000"/>
          <w:lang w:val="es-CO" w:eastAsia="es-ES"/>
        </w:rPr>
        <w:t>no produce</w:t>
      </w:r>
      <w:r w:rsidRPr="0078289D">
        <w:rPr>
          <w:rFonts w:eastAsia="Times New Roman"/>
          <w:sz w:val="28"/>
          <w:szCs w:val="28"/>
          <w:u w:color="000000"/>
          <w:lang w:val="es-CO" w:eastAsia="es-ES"/>
        </w:rPr>
        <w:t xml:space="preserve"> la consecuencia jurídica atribuida por los demandantes, a saber, la </w:t>
      </w:r>
      <w:r w:rsidR="0037358E" w:rsidRPr="0078289D">
        <w:rPr>
          <w:rFonts w:eastAsia="Times New Roman"/>
          <w:sz w:val="28"/>
          <w:szCs w:val="28"/>
          <w:u w:color="000000"/>
          <w:lang w:val="es-CO" w:eastAsia="es-ES"/>
        </w:rPr>
        <w:t>prohibición</w:t>
      </w:r>
      <w:r w:rsidRPr="0078289D">
        <w:rPr>
          <w:rFonts w:eastAsia="Times New Roman"/>
          <w:sz w:val="28"/>
          <w:szCs w:val="28"/>
          <w:u w:color="000000"/>
          <w:lang w:val="es-CO" w:eastAsia="es-ES"/>
        </w:rPr>
        <w:t xml:space="preserve"> de actividades agrícolas</w:t>
      </w:r>
      <w:r w:rsidR="0037358E" w:rsidRPr="0078289D">
        <w:rPr>
          <w:rFonts w:eastAsia="Times New Roman"/>
          <w:sz w:val="28"/>
          <w:szCs w:val="28"/>
          <w:u w:color="000000"/>
          <w:lang w:val="es-CO" w:eastAsia="es-ES"/>
        </w:rPr>
        <w:t xml:space="preserve"> en su interior</w:t>
      </w:r>
      <w:r w:rsidR="00D02428" w:rsidRPr="0078289D">
        <w:rPr>
          <w:rFonts w:eastAsia="Times New Roman"/>
          <w:sz w:val="28"/>
          <w:szCs w:val="28"/>
          <w:u w:color="000000"/>
          <w:lang w:val="es-CO" w:eastAsia="es-ES"/>
        </w:rPr>
        <w:t>, ni la afectación del medio ambiente</w:t>
      </w:r>
      <w:r w:rsidRPr="0078289D">
        <w:rPr>
          <w:rFonts w:eastAsia="Times New Roman"/>
          <w:sz w:val="28"/>
          <w:szCs w:val="28"/>
          <w:u w:color="000000"/>
          <w:lang w:val="es-CO" w:eastAsia="es-ES"/>
        </w:rPr>
        <w:t xml:space="preserve">. A partir de </w:t>
      </w:r>
      <w:r w:rsidRPr="0078289D">
        <w:rPr>
          <w:rFonts w:eastAsia="Times New Roman"/>
          <w:sz w:val="28"/>
          <w:szCs w:val="28"/>
          <w:u w:color="000000"/>
          <w:lang w:val="uz-Cyrl-UZ" w:eastAsia="es-ES"/>
        </w:rPr>
        <w:t xml:space="preserve">la declaratoria </w:t>
      </w:r>
      <w:r w:rsidRPr="0078289D">
        <w:rPr>
          <w:rFonts w:eastAsia="Times New Roman"/>
          <w:bCs/>
          <w:sz w:val="28"/>
          <w:szCs w:val="28"/>
          <w:lang w:val="es-ES" w:eastAsia="es-ES"/>
        </w:rPr>
        <w:t xml:space="preserve">de dichas áreas, lo que </w:t>
      </w:r>
      <w:r w:rsidR="007E16F6" w:rsidRPr="0078289D">
        <w:rPr>
          <w:rFonts w:eastAsia="Times New Roman"/>
          <w:bCs/>
          <w:sz w:val="28"/>
          <w:szCs w:val="28"/>
          <w:lang w:val="es-ES" w:eastAsia="es-ES"/>
        </w:rPr>
        <w:t xml:space="preserve">la norma hace </w:t>
      </w:r>
      <w:r w:rsidRPr="0078289D">
        <w:rPr>
          <w:rFonts w:eastAsia="Times New Roman"/>
          <w:bCs/>
          <w:sz w:val="28"/>
          <w:szCs w:val="28"/>
          <w:lang w:val="es-ES" w:eastAsia="es-ES"/>
        </w:rPr>
        <w:t xml:space="preserve">es </w:t>
      </w:r>
      <w:r w:rsidR="007E16F6" w:rsidRPr="0078289D">
        <w:rPr>
          <w:rFonts w:eastAsia="Times New Roman"/>
          <w:bCs/>
          <w:sz w:val="28"/>
          <w:szCs w:val="28"/>
          <w:lang w:val="es-ES" w:eastAsia="es-ES"/>
        </w:rPr>
        <w:t xml:space="preserve">organizar </w:t>
      </w:r>
      <w:r w:rsidR="005751A3" w:rsidRPr="0078289D">
        <w:rPr>
          <w:rFonts w:eastAsia="Times New Roman"/>
          <w:bCs/>
          <w:sz w:val="28"/>
          <w:szCs w:val="28"/>
          <w:lang w:val="es-ES" w:eastAsia="es-ES"/>
        </w:rPr>
        <w:t>la explotación minera.</w:t>
      </w:r>
      <w:r w:rsidRPr="0078289D">
        <w:rPr>
          <w:rFonts w:eastAsia="Times New Roman"/>
          <w:bCs/>
          <w:sz w:val="28"/>
          <w:szCs w:val="28"/>
          <w:lang w:val="es-ES" w:eastAsia="es-ES"/>
        </w:rPr>
        <w:t xml:space="preserve"> </w:t>
      </w:r>
      <w:r w:rsidR="005751A3" w:rsidRPr="0078289D">
        <w:rPr>
          <w:rFonts w:eastAsia="Times New Roman"/>
          <w:bCs/>
          <w:sz w:val="28"/>
          <w:szCs w:val="28"/>
          <w:lang w:val="es-ES" w:eastAsia="es-ES"/>
        </w:rPr>
        <w:t>De hecho,</w:t>
      </w:r>
      <w:r w:rsidRPr="0078289D">
        <w:rPr>
          <w:rFonts w:eastAsia="Times New Roman"/>
          <w:bCs/>
          <w:sz w:val="28"/>
          <w:szCs w:val="28"/>
          <w:lang w:val="es-ES" w:eastAsia="es-ES"/>
        </w:rPr>
        <w:t xml:space="preserve"> de acuerdo con la </w:t>
      </w:r>
      <w:r w:rsidR="009B4C88" w:rsidRPr="0078289D">
        <w:rPr>
          <w:rFonts w:eastAsia="Times New Roman"/>
          <w:bCs/>
          <w:sz w:val="28"/>
          <w:szCs w:val="28"/>
          <w:lang w:val="es-ES" w:eastAsia="es-ES"/>
        </w:rPr>
        <w:t>disposición acusada</w:t>
      </w:r>
      <w:r w:rsidRPr="0078289D">
        <w:rPr>
          <w:rFonts w:eastAsia="Times New Roman"/>
          <w:bCs/>
          <w:sz w:val="28"/>
          <w:szCs w:val="28"/>
          <w:lang w:val="es-ES" w:eastAsia="es-ES"/>
        </w:rPr>
        <w:t xml:space="preserve">, </w:t>
      </w:r>
      <w:r w:rsidR="00496D63" w:rsidRPr="0078289D">
        <w:rPr>
          <w:rFonts w:eastAsia="Times New Roman"/>
          <w:bCs/>
          <w:sz w:val="28"/>
          <w:szCs w:val="28"/>
          <w:lang w:val="es-ES" w:eastAsia="es-ES"/>
        </w:rPr>
        <w:t xml:space="preserve">de una parte se pretende impedir la presentación de </w:t>
      </w:r>
      <w:r w:rsidRPr="0078289D">
        <w:rPr>
          <w:rFonts w:eastAsia="Times New Roman"/>
          <w:bCs/>
          <w:sz w:val="28"/>
          <w:szCs w:val="28"/>
          <w:lang w:val="es-ES" w:eastAsia="es-ES"/>
        </w:rPr>
        <w:t xml:space="preserve">nuevas propuestas </w:t>
      </w:r>
      <w:r w:rsidRPr="0078289D">
        <w:rPr>
          <w:rFonts w:eastAsia="Times New Roman"/>
          <w:sz w:val="28"/>
          <w:szCs w:val="28"/>
          <w:u w:color="000000"/>
          <w:lang w:val="es-ES" w:eastAsia="es-ES"/>
        </w:rPr>
        <w:t>o la suscripción de nuevos contratos de conces</w:t>
      </w:r>
      <w:r w:rsidR="00992507" w:rsidRPr="0078289D">
        <w:rPr>
          <w:rFonts w:eastAsia="Times New Roman"/>
          <w:sz w:val="28"/>
          <w:szCs w:val="28"/>
          <w:u w:color="000000"/>
          <w:lang w:val="es-ES" w:eastAsia="es-ES"/>
        </w:rPr>
        <w:t>ión minera</w:t>
      </w:r>
      <w:r w:rsidR="00496D63" w:rsidRPr="0078289D">
        <w:rPr>
          <w:rFonts w:eastAsia="Times New Roman"/>
          <w:sz w:val="28"/>
          <w:szCs w:val="28"/>
          <w:u w:color="000000"/>
          <w:lang w:val="es-ES" w:eastAsia="es-ES"/>
        </w:rPr>
        <w:t xml:space="preserve"> en la zona demarcada</w:t>
      </w:r>
      <w:r w:rsidR="00992507" w:rsidRPr="0078289D">
        <w:rPr>
          <w:rFonts w:eastAsia="Times New Roman"/>
          <w:sz w:val="28"/>
          <w:szCs w:val="28"/>
          <w:u w:color="000000"/>
          <w:lang w:val="es-ES" w:eastAsia="es-ES"/>
        </w:rPr>
        <w:t xml:space="preserve"> y</w:t>
      </w:r>
      <w:r w:rsidR="00496D63" w:rsidRPr="0078289D">
        <w:rPr>
          <w:rFonts w:eastAsia="Times New Roman"/>
          <w:sz w:val="28"/>
          <w:szCs w:val="28"/>
          <w:u w:color="000000"/>
          <w:lang w:val="es-ES" w:eastAsia="es-ES"/>
        </w:rPr>
        <w:t>, de otra,</w:t>
      </w:r>
      <w:r w:rsidR="00992507" w:rsidRPr="0078289D">
        <w:rPr>
          <w:rFonts w:eastAsia="Times New Roman"/>
          <w:sz w:val="28"/>
          <w:szCs w:val="28"/>
          <w:u w:color="000000"/>
          <w:lang w:val="es-ES" w:eastAsia="es-ES"/>
        </w:rPr>
        <w:t xml:space="preserve"> </w:t>
      </w:r>
      <w:r w:rsidR="00496D63" w:rsidRPr="0078289D">
        <w:rPr>
          <w:rFonts w:eastAsia="Times New Roman"/>
          <w:sz w:val="28"/>
          <w:szCs w:val="28"/>
          <w:u w:color="000000"/>
          <w:lang w:val="es-ES" w:eastAsia="es-ES"/>
        </w:rPr>
        <w:t xml:space="preserve">se busca excluirlas </w:t>
      </w:r>
      <w:r w:rsidR="00992507" w:rsidRPr="0078289D">
        <w:rPr>
          <w:rFonts w:eastAsia="Times New Roman"/>
          <w:sz w:val="28"/>
          <w:szCs w:val="28"/>
          <w:u w:color="000000"/>
          <w:lang w:val="es-ES" w:eastAsia="es-ES"/>
        </w:rPr>
        <w:t>del régimen ordinario de la minería.</w:t>
      </w:r>
      <w:r w:rsidR="007F365A" w:rsidRPr="0078289D">
        <w:rPr>
          <w:rFonts w:eastAsia="Times New Roman"/>
          <w:sz w:val="28"/>
          <w:szCs w:val="28"/>
          <w:u w:color="000000"/>
          <w:lang w:val="es-ES" w:eastAsia="es-ES"/>
        </w:rPr>
        <w:t xml:space="preserve"> </w:t>
      </w:r>
      <w:r w:rsidR="00034664" w:rsidRPr="0078289D">
        <w:rPr>
          <w:rFonts w:eastAsia="Times New Roman"/>
          <w:sz w:val="28"/>
          <w:szCs w:val="28"/>
          <w:u w:color="000000"/>
          <w:lang w:val="es-ES" w:eastAsia="es-ES"/>
        </w:rPr>
        <w:t>Por otra parte</w:t>
      </w:r>
      <w:r w:rsidR="007F365A" w:rsidRPr="0078289D">
        <w:rPr>
          <w:rFonts w:eastAsia="Times New Roman"/>
          <w:sz w:val="28"/>
          <w:szCs w:val="28"/>
          <w:u w:color="000000"/>
          <w:lang w:val="es-ES" w:eastAsia="es-ES"/>
        </w:rPr>
        <w:t xml:space="preserve">, </w:t>
      </w:r>
      <w:r w:rsidR="00034664" w:rsidRPr="0078289D">
        <w:rPr>
          <w:rFonts w:eastAsia="Times New Roman"/>
          <w:sz w:val="28"/>
          <w:szCs w:val="28"/>
          <w:u w:color="000000"/>
          <w:lang w:val="es-ES" w:eastAsia="es-ES"/>
        </w:rPr>
        <w:t>la</w:t>
      </w:r>
      <w:r w:rsidR="00B71511" w:rsidRPr="0078289D">
        <w:rPr>
          <w:rFonts w:eastAsia="Times New Roman"/>
          <w:sz w:val="28"/>
          <w:szCs w:val="28"/>
          <w:u w:color="000000"/>
          <w:lang w:val="es-ES" w:eastAsia="es-ES"/>
        </w:rPr>
        <w:t xml:space="preserve"> disposición </w:t>
      </w:r>
      <w:r w:rsidR="00034664" w:rsidRPr="0078289D">
        <w:rPr>
          <w:rFonts w:eastAsia="Times New Roman"/>
          <w:sz w:val="28"/>
          <w:szCs w:val="28"/>
          <w:u w:color="000000"/>
          <w:lang w:val="es-ES" w:eastAsia="es-ES"/>
        </w:rPr>
        <w:t xml:space="preserve">demandada </w:t>
      </w:r>
      <w:r w:rsidR="006E22EE" w:rsidRPr="0078289D">
        <w:rPr>
          <w:rFonts w:eastAsia="Times New Roman"/>
          <w:sz w:val="28"/>
          <w:szCs w:val="28"/>
          <w:u w:color="000000"/>
          <w:lang w:val="es-ES" w:eastAsia="es-ES"/>
        </w:rPr>
        <w:t xml:space="preserve">en sí misma </w:t>
      </w:r>
      <w:r w:rsidR="00B71511" w:rsidRPr="0078289D">
        <w:rPr>
          <w:rFonts w:eastAsia="Times New Roman"/>
          <w:sz w:val="28"/>
          <w:szCs w:val="28"/>
          <w:u w:color="000000"/>
          <w:lang w:val="es-ES" w:eastAsia="es-ES"/>
        </w:rPr>
        <w:t xml:space="preserve">no incrementa la intensidad de la actividad minera, ni </w:t>
      </w:r>
      <w:r w:rsidR="00034664" w:rsidRPr="0078289D">
        <w:rPr>
          <w:rFonts w:eastAsia="Times New Roman"/>
          <w:sz w:val="28"/>
          <w:szCs w:val="28"/>
          <w:u w:color="000000"/>
          <w:lang w:val="es-ES" w:eastAsia="es-ES"/>
        </w:rPr>
        <w:t>puede presumirse</w:t>
      </w:r>
      <w:r w:rsidR="006E22EE" w:rsidRPr="0078289D">
        <w:rPr>
          <w:rFonts w:eastAsia="Times New Roman"/>
          <w:sz w:val="28"/>
          <w:szCs w:val="28"/>
          <w:u w:color="000000"/>
          <w:lang w:val="es-ES" w:eastAsia="es-ES"/>
        </w:rPr>
        <w:t>, a falta de un argumento empírico en contrario, el cual no presentan los demandantes,</w:t>
      </w:r>
      <w:r w:rsidR="00034664" w:rsidRPr="0078289D">
        <w:rPr>
          <w:rFonts w:eastAsia="Times New Roman"/>
          <w:sz w:val="28"/>
          <w:szCs w:val="28"/>
          <w:u w:color="000000"/>
          <w:lang w:val="es-ES" w:eastAsia="es-ES"/>
        </w:rPr>
        <w:t xml:space="preserve"> que </w:t>
      </w:r>
      <w:r w:rsidR="00736558" w:rsidRPr="0078289D">
        <w:rPr>
          <w:rFonts w:eastAsia="Times New Roman"/>
          <w:sz w:val="28"/>
          <w:szCs w:val="28"/>
          <w:u w:color="000000"/>
          <w:lang w:val="es-ES" w:eastAsia="es-ES"/>
        </w:rPr>
        <w:t xml:space="preserve">incida sobre la magnitud, frecuencia o gravedad de </w:t>
      </w:r>
      <w:r w:rsidR="00B71511" w:rsidRPr="0078289D">
        <w:rPr>
          <w:rFonts w:eastAsia="Times New Roman"/>
          <w:sz w:val="28"/>
          <w:szCs w:val="28"/>
          <w:u w:color="000000"/>
          <w:lang w:val="es-ES" w:eastAsia="es-ES"/>
        </w:rPr>
        <w:t>sus impactos</w:t>
      </w:r>
      <w:r w:rsidR="00736558" w:rsidRPr="0078289D">
        <w:rPr>
          <w:rFonts w:eastAsia="Times New Roman"/>
          <w:sz w:val="28"/>
          <w:szCs w:val="28"/>
          <w:u w:color="000000"/>
          <w:lang w:val="es-ES" w:eastAsia="es-ES"/>
        </w:rPr>
        <w:t xml:space="preserve"> para el medio ambiente</w:t>
      </w:r>
      <w:r w:rsidR="00B71511" w:rsidRPr="0078289D">
        <w:rPr>
          <w:rFonts w:eastAsia="Times New Roman"/>
          <w:sz w:val="28"/>
          <w:szCs w:val="28"/>
          <w:u w:color="000000"/>
          <w:lang w:val="es-ES" w:eastAsia="es-ES"/>
        </w:rPr>
        <w:t>. C</w:t>
      </w:r>
      <w:r w:rsidR="007F365A" w:rsidRPr="0078289D">
        <w:rPr>
          <w:rFonts w:eastAsia="Times New Roman"/>
          <w:sz w:val="28"/>
          <w:szCs w:val="28"/>
          <w:u w:color="000000"/>
          <w:lang w:val="es-ES" w:eastAsia="es-ES"/>
        </w:rPr>
        <w:t>omo ya se dijo, conforme al p</w:t>
      </w:r>
      <w:r w:rsidR="00B94300" w:rsidRPr="0078289D">
        <w:rPr>
          <w:rFonts w:eastAsia="Times New Roman"/>
          <w:sz w:val="28"/>
          <w:szCs w:val="28"/>
          <w:u w:color="000000"/>
          <w:lang w:val="es-ES" w:eastAsia="es-ES"/>
        </w:rPr>
        <w:t>rincipio de libertad de empresa</w:t>
      </w:r>
      <w:r w:rsidR="007F365A" w:rsidRPr="0078289D">
        <w:rPr>
          <w:rFonts w:eastAsia="Times New Roman"/>
          <w:sz w:val="28"/>
          <w:szCs w:val="28"/>
          <w:u w:color="000000"/>
          <w:lang w:val="es-ES" w:eastAsia="es-ES"/>
        </w:rPr>
        <w:t xml:space="preserve"> </w:t>
      </w:r>
      <w:r w:rsidR="00B94300" w:rsidRPr="0078289D">
        <w:rPr>
          <w:rFonts w:eastAsia="Times New Roman"/>
          <w:sz w:val="28"/>
          <w:szCs w:val="28"/>
          <w:u w:color="000000"/>
          <w:lang w:val="es-ES" w:eastAsia="es-ES"/>
        </w:rPr>
        <w:t xml:space="preserve">es posible </w:t>
      </w:r>
      <w:r w:rsidR="00B71511" w:rsidRPr="0078289D">
        <w:rPr>
          <w:rFonts w:eastAsia="Times New Roman"/>
          <w:sz w:val="28"/>
          <w:szCs w:val="28"/>
          <w:u w:color="000000"/>
          <w:lang w:val="es-ES" w:eastAsia="es-ES"/>
        </w:rPr>
        <w:t>que un particular solicite</w:t>
      </w:r>
      <w:r w:rsidR="00B94300" w:rsidRPr="0078289D">
        <w:rPr>
          <w:rFonts w:eastAsia="Times New Roman"/>
          <w:sz w:val="28"/>
          <w:szCs w:val="28"/>
          <w:u w:color="000000"/>
          <w:lang w:val="es-ES" w:eastAsia="es-ES"/>
        </w:rPr>
        <w:t xml:space="preserve"> un título minero </w:t>
      </w:r>
      <w:r w:rsidR="007F365A" w:rsidRPr="0078289D">
        <w:rPr>
          <w:rFonts w:eastAsia="Times New Roman"/>
          <w:sz w:val="28"/>
          <w:szCs w:val="28"/>
          <w:u w:color="000000"/>
          <w:lang w:val="es-ES" w:eastAsia="es-ES"/>
        </w:rPr>
        <w:t xml:space="preserve">en </w:t>
      </w:r>
      <w:r w:rsidR="00315563" w:rsidRPr="0078289D">
        <w:rPr>
          <w:rFonts w:eastAsia="Times New Roman"/>
          <w:sz w:val="28"/>
          <w:szCs w:val="28"/>
          <w:u w:color="000000"/>
          <w:lang w:val="es-ES" w:eastAsia="es-ES"/>
        </w:rPr>
        <w:t>cualquier parte d</w:t>
      </w:r>
      <w:r w:rsidR="007F365A" w:rsidRPr="0078289D">
        <w:rPr>
          <w:rFonts w:eastAsia="Times New Roman"/>
          <w:sz w:val="28"/>
          <w:szCs w:val="28"/>
          <w:u w:color="000000"/>
          <w:lang w:val="es-ES" w:eastAsia="es-ES"/>
        </w:rPr>
        <w:t xml:space="preserve">el resto del territorio nacional </w:t>
      </w:r>
      <w:r w:rsidR="00315563" w:rsidRPr="0078289D">
        <w:rPr>
          <w:rFonts w:eastAsia="Times New Roman"/>
          <w:sz w:val="28"/>
          <w:szCs w:val="28"/>
          <w:u w:color="000000"/>
          <w:lang w:val="es-ES" w:eastAsia="es-ES"/>
        </w:rPr>
        <w:t>en donde dicha actividad no esté expresamente prohibida.</w:t>
      </w:r>
      <w:r w:rsidR="00273C14" w:rsidRPr="0078289D">
        <w:rPr>
          <w:rFonts w:eastAsia="Times New Roman"/>
          <w:sz w:val="28"/>
          <w:szCs w:val="28"/>
          <w:u w:color="000000"/>
          <w:lang w:val="es-ES" w:eastAsia="es-ES"/>
        </w:rPr>
        <w:t xml:space="preserve"> La disposición demandada, por el contrario, limita la oferta y la suscripción de contratos de concesión por fuera </w:t>
      </w:r>
      <w:r w:rsidR="00ED514C" w:rsidRPr="0078289D">
        <w:rPr>
          <w:rFonts w:eastAsia="Times New Roman"/>
          <w:sz w:val="28"/>
          <w:szCs w:val="28"/>
          <w:u w:color="000000"/>
          <w:lang w:val="es-ES" w:eastAsia="es-ES"/>
        </w:rPr>
        <w:t>de aquellos que se pacten como consecuencia del proceso de selecci</w:t>
      </w:r>
      <w:r w:rsidR="00F25D21" w:rsidRPr="0078289D">
        <w:rPr>
          <w:rFonts w:eastAsia="Times New Roman"/>
          <w:sz w:val="28"/>
          <w:szCs w:val="28"/>
          <w:u w:color="000000"/>
          <w:lang w:val="es-ES" w:eastAsia="es-ES"/>
        </w:rPr>
        <w:t xml:space="preserve">ón objetiva. </w:t>
      </w:r>
      <w:r w:rsidR="00315563" w:rsidRPr="0078289D">
        <w:rPr>
          <w:rFonts w:eastAsia="Times New Roman"/>
          <w:sz w:val="28"/>
          <w:szCs w:val="28"/>
          <w:u w:color="000000"/>
          <w:lang w:val="es-ES" w:eastAsia="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suppressAutoHyphens/>
        <w:jc w:val="both"/>
        <w:textAlignment w:val="baseline"/>
        <w:rPr>
          <w:rFonts w:eastAsia="Times New Roman"/>
          <w:sz w:val="28"/>
          <w:szCs w:val="28"/>
          <w:lang w:val="es-CO"/>
        </w:rPr>
      </w:pPr>
    </w:p>
    <w:p w:rsidR="008B7BCD"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ES_tradnl" w:eastAsia="es-ES"/>
        </w:rPr>
      </w:pPr>
      <w:r w:rsidRPr="0078289D">
        <w:rPr>
          <w:rFonts w:eastAsia="Times New Roman"/>
          <w:sz w:val="28"/>
          <w:szCs w:val="28"/>
          <w:bdr w:val="none" w:sz="0" w:space="0" w:color="auto" w:frame="1"/>
          <w:lang w:val="es-ES_tradnl" w:eastAsia="es-ES"/>
        </w:rPr>
        <w:t>En ese orden</w:t>
      </w:r>
      <w:r w:rsidR="00047954" w:rsidRPr="0078289D">
        <w:rPr>
          <w:rFonts w:eastAsia="Times New Roman"/>
          <w:sz w:val="28"/>
          <w:szCs w:val="28"/>
          <w:bdr w:val="none" w:sz="0" w:space="0" w:color="auto" w:frame="1"/>
          <w:lang w:val="es-ES_tradnl" w:eastAsia="es-ES"/>
        </w:rPr>
        <w:t xml:space="preserve"> de ideas</w:t>
      </w:r>
      <w:r w:rsidRPr="0078289D">
        <w:rPr>
          <w:rFonts w:eastAsia="Times New Roman"/>
          <w:sz w:val="28"/>
          <w:szCs w:val="28"/>
          <w:bdr w:val="none" w:sz="0" w:space="0" w:color="auto" w:frame="1"/>
          <w:lang w:val="es-ES_tradnl" w:eastAsia="es-ES"/>
        </w:rPr>
        <w:t>, </w:t>
      </w:r>
      <w:r w:rsidR="00492355" w:rsidRPr="0078289D">
        <w:rPr>
          <w:rFonts w:eastAsia="Times New Roman"/>
          <w:sz w:val="28"/>
          <w:szCs w:val="28"/>
          <w:bdr w:val="none" w:sz="0" w:space="0" w:color="auto" w:frame="1"/>
          <w:lang w:val="es-ES_tradnl" w:eastAsia="es-ES"/>
        </w:rPr>
        <w:t>l</w:t>
      </w:r>
      <w:r w:rsidR="003367A9" w:rsidRPr="0078289D">
        <w:rPr>
          <w:rFonts w:eastAsia="Times New Roman"/>
          <w:sz w:val="28"/>
          <w:szCs w:val="28"/>
          <w:bdr w:val="none" w:sz="0" w:space="0" w:color="auto" w:frame="1"/>
          <w:lang w:val="es-ES_tradnl" w:eastAsia="es-ES"/>
        </w:rPr>
        <w:t>os</w:t>
      </w:r>
      <w:r w:rsidR="00492355" w:rsidRPr="0078289D">
        <w:rPr>
          <w:rFonts w:eastAsia="Times New Roman"/>
          <w:sz w:val="28"/>
          <w:szCs w:val="28"/>
          <w:bdr w:val="none" w:sz="0" w:space="0" w:color="auto" w:frame="1"/>
          <w:lang w:val="es-ES_tradnl" w:eastAsia="es-ES"/>
        </w:rPr>
        <w:t xml:space="preserve"> cargo</w:t>
      </w:r>
      <w:r w:rsidR="003367A9" w:rsidRPr="0078289D">
        <w:rPr>
          <w:rFonts w:eastAsia="Times New Roman"/>
          <w:sz w:val="28"/>
          <w:szCs w:val="28"/>
          <w:bdr w:val="none" w:sz="0" w:space="0" w:color="auto" w:frame="1"/>
          <w:lang w:val="es-ES_tradnl" w:eastAsia="es-ES"/>
        </w:rPr>
        <w:t>s</w:t>
      </w:r>
      <w:r w:rsidR="00492355" w:rsidRPr="0078289D">
        <w:rPr>
          <w:rFonts w:eastAsia="Times New Roman"/>
          <w:sz w:val="28"/>
          <w:szCs w:val="28"/>
          <w:bdr w:val="none" w:sz="0" w:space="0" w:color="auto" w:frame="1"/>
          <w:lang w:val="es-ES_tradnl" w:eastAsia="es-ES"/>
        </w:rPr>
        <w:t xml:space="preserve"> por violación de los artículos 64, 65 y 66</w:t>
      </w:r>
      <w:r w:rsidR="0077714F" w:rsidRPr="0078289D">
        <w:rPr>
          <w:rFonts w:eastAsia="Times New Roman"/>
          <w:sz w:val="28"/>
          <w:szCs w:val="28"/>
          <w:bdr w:val="none" w:sz="0" w:space="0" w:color="auto" w:frame="1"/>
          <w:lang w:val="es-ES_tradnl" w:eastAsia="es-ES"/>
        </w:rPr>
        <w:t xml:space="preserve"> de la Constitución</w:t>
      </w:r>
      <w:r w:rsidR="003367A9" w:rsidRPr="0078289D">
        <w:rPr>
          <w:rFonts w:eastAsia="Times New Roman"/>
          <w:sz w:val="28"/>
          <w:szCs w:val="28"/>
          <w:bdr w:val="none" w:sz="0" w:space="0" w:color="auto" w:frame="1"/>
          <w:lang w:val="es-ES_tradnl" w:eastAsia="es-ES"/>
        </w:rPr>
        <w:t>, son</w:t>
      </w:r>
      <w:r w:rsidR="00492355" w:rsidRPr="0078289D">
        <w:rPr>
          <w:rFonts w:eastAsia="Times New Roman"/>
          <w:sz w:val="28"/>
          <w:szCs w:val="28"/>
          <w:bdr w:val="none" w:sz="0" w:space="0" w:color="auto" w:frame="1"/>
          <w:lang w:val="es-ES_tradnl" w:eastAsia="es-ES"/>
        </w:rPr>
        <w:t xml:space="preserve"> </w:t>
      </w:r>
      <w:r w:rsidR="00492355" w:rsidRPr="0078289D">
        <w:rPr>
          <w:rFonts w:eastAsia="Times New Roman"/>
          <w:sz w:val="28"/>
          <w:szCs w:val="28"/>
          <w:bdr w:val="none" w:sz="0" w:space="0" w:color="auto" w:frame="1"/>
          <w:shd w:val="clear" w:color="auto" w:fill="FFFFFF"/>
          <w:lang w:val="es-ES_tradnl" w:eastAsia="es-ES"/>
        </w:rPr>
        <w:t>inepto</w:t>
      </w:r>
      <w:r w:rsidR="003367A9" w:rsidRPr="0078289D">
        <w:rPr>
          <w:rFonts w:eastAsia="Times New Roman"/>
          <w:sz w:val="28"/>
          <w:szCs w:val="28"/>
          <w:bdr w:val="none" w:sz="0" w:space="0" w:color="auto" w:frame="1"/>
          <w:shd w:val="clear" w:color="auto" w:fill="FFFFFF"/>
          <w:lang w:val="es-ES_tradnl" w:eastAsia="es-ES"/>
        </w:rPr>
        <w:t>s</w:t>
      </w:r>
      <w:r w:rsidR="00492355" w:rsidRPr="0078289D">
        <w:rPr>
          <w:rFonts w:eastAsia="Times New Roman"/>
          <w:sz w:val="28"/>
          <w:szCs w:val="28"/>
          <w:bdr w:val="none" w:sz="0" w:space="0" w:color="auto" w:frame="1"/>
          <w:shd w:val="clear" w:color="auto" w:fill="FFFFFF"/>
          <w:lang w:val="es-ES_tradnl" w:eastAsia="es-ES"/>
        </w:rPr>
        <w:t xml:space="preserve"> por falta de certeza, en la medida en que es </w:t>
      </w:r>
      <w:r w:rsidR="00586D2B" w:rsidRPr="0078289D">
        <w:rPr>
          <w:rFonts w:eastAsia="Times New Roman"/>
          <w:sz w:val="28"/>
          <w:szCs w:val="28"/>
          <w:bdr w:val="none" w:sz="0" w:space="0" w:color="auto" w:frame="1"/>
          <w:shd w:val="clear" w:color="auto" w:fill="FFFFFF"/>
          <w:lang w:val="es-ES_tradnl" w:eastAsia="es-ES"/>
        </w:rPr>
        <w:t xml:space="preserve">errada </w:t>
      </w:r>
      <w:r w:rsidRPr="0078289D">
        <w:rPr>
          <w:rFonts w:eastAsia="Times New Roman"/>
          <w:sz w:val="28"/>
          <w:szCs w:val="28"/>
          <w:bdr w:val="none" w:sz="0" w:space="0" w:color="auto" w:frame="1"/>
          <w:shd w:val="clear" w:color="auto" w:fill="FFFFFF"/>
          <w:lang w:val="es-ES_tradnl" w:eastAsia="es-ES"/>
        </w:rPr>
        <w:t xml:space="preserve">la lectura </w:t>
      </w:r>
      <w:r w:rsidR="00586D2B" w:rsidRPr="0078289D">
        <w:rPr>
          <w:rFonts w:eastAsia="Times New Roman"/>
          <w:sz w:val="28"/>
          <w:szCs w:val="28"/>
          <w:bdr w:val="none" w:sz="0" w:space="0" w:color="auto" w:frame="1"/>
          <w:shd w:val="clear" w:color="auto" w:fill="FFFFFF"/>
          <w:lang w:val="es-ES_tradnl" w:eastAsia="es-ES"/>
        </w:rPr>
        <w:t>que hacen los demandantes de</w:t>
      </w:r>
      <w:r w:rsidRPr="0078289D">
        <w:rPr>
          <w:rFonts w:eastAsia="Times New Roman"/>
          <w:sz w:val="28"/>
          <w:szCs w:val="28"/>
          <w:bdr w:val="none" w:sz="0" w:space="0" w:color="auto" w:frame="1"/>
          <w:shd w:val="clear" w:color="auto" w:fill="FFFFFF"/>
          <w:lang w:val="es-ES_tradnl" w:eastAsia="es-ES"/>
        </w:rPr>
        <w:t xml:space="preserve"> la disposición acusada</w:t>
      </w:r>
      <w:r w:rsidR="00492355" w:rsidRPr="0078289D">
        <w:rPr>
          <w:rFonts w:eastAsia="Times New Roman"/>
          <w:sz w:val="28"/>
          <w:szCs w:val="28"/>
          <w:bdr w:val="none" w:sz="0" w:space="0" w:color="auto" w:frame="1"/>
          <w:shd w:val="clear" w:color="auto" w:fill="FFFFFF"/>
          <w:lang w:val="es-ES_tradnl" w:eastAsia="es-ES"/>
        </w:rPr>
        <w:t>.</w:t>
      </w:r>
      <w:r w:rsidRPr="0078289D">
        <w:rPr>
          <w:rFonts w:eastAsia="Times New Roman"/>
          <w:sz w:val="28"/>
          <w:szCs w:val="28"/>
          <w:bdr w:val="none" w:sz="0" w:space="0" w:color="auto" w:frame="1"/>
          <w:shd w:val="clear" w:color="auto" w:fill="FFFFFF"/>
          <w:lang w:val="es-ES_tradnl" w:eastAsia="es-ES"/>
        </w:rPr>
        <w:t xml:space="preserve"> </w:t>
      </w:r>
      <w:r w:rsidR="00492355" w:rsidRPr="0078289D">
        <w:rPr>
          <w:rFonts w:eastAsia="Times New Roman"/>
          <w:sz w:val="28"/>
          <w:szCs w:val="28"/>
          <w:bdr w:val="none" w:sz="0" w:space="0" w:color="auto" w:frame="1"/>
          <w:lang w:val="es-ES_tradnl" w:eastAsia="es-ES"/>
        </w:rPr>
        <w:t>L</w:t>
      </w:r>
      <w:r w:rsidR="00586D2B" w:rsidRPr="0078289D">
        <w:rPr>
          <w:rFonts w:eastAsia="Times New Roman"/>
          <w:sz w:val="28"/>
          <w:szCs w:val="28"/>
          <w:bdr w:val="none" w:sz="0" w:space="0" w:color="auto" w:frame="1"/>
          <w:lang w:val="es-ES_tradnl" w:eastAsia="es-ES"/>
        </w:rPr>
        <w:t xml:space="preserve">a Sala </w:t>
      </w:r>
      <w:r w:rsidRPr="0078289D">
        <w:rPr>
          <w:rFonts w:eastAsia="Times New Roman"/>
          <w:sz w:val="28"/>
          <w:szCs w:val="28"/>
          <w:bdr w:val="none" w:sz="0" w:space="0" w:color="auto" w:frame="1"/>
          <w:lang w:val="es-ES_tradnl" w:eastAsia="es-ES"/>
        </w:rPr>
        <w:t>observa que no exi</w:t>
      </w:r>
      <w:r w:rsidR="00586D2B" w:rsidRPr="0078289D">
        <w:rPr>
          <w:rFonts w:eastAsia="Times New Roman"/>
          <w:sz w:val="28"/>
          <w:szCs w:val="28"/>
          <w:bdr w:val="none" w:sz="0" w:space="0" w:color="auto" w:frame="1"/>
          <w:lang w:val="es-ES_tradnl" w:eastAsia="es-ES"/>
        </w:rPr>
        <w:t>ste en el artículo 20 demandado</w:t>
      </w:r>
      <w:r w:rsidRPr="0078289D">
        <w:rPr>
          <w:rFonts w:eastAsia="Times New Roman"/>
          <w:sz w:val="28"/>
          <w:szCs w:val="28"/>
          <w:bdr w:val="none" w:sz="0" w:space="0" w:color="auto" w:frame="1"/>
          <w:lang w:val="es-ES_tradnl" w:eastAsia="es-ES"/>
        </w:rPr>
        <w:t xml:space="preserve"> ningún contenido normativo que excluya la realización de activi</w:t>
      </w:r>
      <w:r w:rsidR="00123EFB" w:rsidRPr="0078289D">
        <w:rPr>
          <w:rFonts w:eastAsia="Times New Roman"/>
          <w:sz w:val="28"/>
          <w:szCs w:val="28"/>
          <w:bdr w:val="none" w:sz="0" w:space="0" w:color="auto" w:frame="1"/>
          <w:lang w:val="es-ES_tradnl" w:eastAsia="es-ES"/>
        </w:rPr>
        <w:t>dades agrícolas</w:t>
      </w:r>
      <w:r w:rsidR="0077714F" w:rsidRPr="0078289D">
        <w:rPr>
          <w:rFonts w:eastAsia="Times New Roman"/>
          <w:sz w:val="28"/>
          <w:szCs w:val="28"/>
          <w:bdr w:val="none" w:sz="0" w:space="0" w:color="auto" w:frame="1"/>
          <w:lang w:val="es-ES_tradnl" w:eastAsia="es-ES"/>
        </w:rPr>
        <w:t>.</w:t>
      </w:r>
    </w:p>
    <w:p w:rsidR="008B7BCD" w:rsidRPr="0078289D" w:rsidRDefault="008B7BCD"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ES_tradnl" w:eastAsia="es-ES"/>
        </w:rPr>
      </w:pPr>
    </w:p>
    <w:p w:rsidR="00654D29" w:rsidRPr="0078289D" w:rsidRDefault="00CE62FB"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CO" w:eastAsia="es-ES"/>
        </w:rPr>
      </w:pPr>
      <w:r w:rsidRPr="0078289D">
        <w:rPr>
          <w:rFonts w:eastAsia="Times New Roman"/>
          <w:sz w:val="28"/>
          <w:szCs w:val="28"/>
          <w:bdr w:val="none" w:sz="0" w:space="0" w:color="auto" w:frame="1"/>
          <w:lang w:val="es-CO" w:eastAsia="es-ES"/>
        </w:rPr>
        <w:t>Por otra parte</w:t>
      </w:r>
      <w:r w:rsidR="00654D29" w:rsidRPr="0078289D">
        <w:rPr>
          <w:rFonts w:eastAsia="Times New Roman"/>
          <w:sz w:val="28"/>
          <w:szCs w:val="28"/>
          <w:bdr w:val="none" w:sz="0" w:space="0" w:color="auto" w:frame="1"/>
          <w:lang w:val="es-CO" w:eastAsia="es-ES"/>
        </w:rPr>
        <w:t>, </w:t>
      </w:r>
      <w:r w:rsidR="00654D29" w:rsidRPr="0078289D">
        <w:rPr>
          <w:rFonts w:eastAsia="Times New Roman"/>
          <w:sz w:val="28"/>
          <w:szCs w:val="28"/>
          <w:bdr w:val="none" w:sz="0" w:space="0" w:color="auto" w:frame="1"/>
          <w:lang w:val="uz-Cyrl-UZ" w:eastAsia="es-ES"/>
        </w:rPr>
        <w:t>los demandantes </w:t>
      </w:r>
      <w:r w:rsidR="00654D29" w:rsidRPr="0078289D">
        <w:rPr>
          <w:rFonts w:eastAsia="Times New Roman"/>
          <w:sz w:val="28"/>
          <w:szCs w:val="28"/>
          <w:bdr w:val="none" w:sz="0" w:space="0" w:color="auto" w:frame="1"/>
          <w:lang w:val="es-CO" w:eastAsia="es-ES"/>
        </w:rPr>
        <w:t xml:space="preserve">no aportan </w:t>
      </w:r>
      <w:r w:rsidR="005D4BAF" w:rsidRPr="0078289D">
        <w:rPr>
          <w:rFonts w:eastAsia="Times New Roman"/>
          <w:sz w:val="28"/>
          <w:szCs w:val="28"/>
          <w:bdr w:val="none" w:sz="0" w:space="0" w:color="auto" w:frame="1"/>
          <w:lang w:val="es-CO" w:eastAsia="es-ES"/>
        </w:rPr>
        <w:t xml:space="preserve">un </w:t>
      </w:r>
      <w:r w:rsidR="00654D29" w:rsidRPr="0078289D">
        <w:rPr>
          <w:rFonts w:eastAsia="Times New Roman"/>
          <w:sz w:val="28"/>
          <w:szCs w:val="28"/>
          <w:bdr w:val="none" w:sz="0" w:space="0" w:color="auto" w:frame="1"/>
          <w:lang w:val="es-CO" w:eastAsia="es-ES"/>
        </w:rPr>
        <w:t xml:space="preserve">sustento empírico que indique que existe una correlación </w:t>
      </w:r>
      <w:r w:rsidR="000B65B9" w:rsidRPr="0078289D">
        <w:rPr>
          <w:rFonts w:eastAsia="Times New Roman"/>
          <w:sz w:val="28"/>
          <w:szCs w:val="28"/>
          <w:bdr w:val="none" w:sz="0" w:space="0" w:color="auto" w:frame="1"/>
          <w:lang w:val="es-CO" w:eastAsia="es-ES"/>
        </w:rPr>
        <w:t xml:space="preserve">fuerte </w:t>
      </w:r>
      <w:r w:rsidR="00654D29" w:rsidRPr="0078289D">
        <w:rPr>
          <w:rFonts w:eastAsia="Times New Roman"/>
          <w:sz w:val="28"/>
          <w:szCs w:val="28"/>
          <w:bdr w:val="none" w:sz="0" w:space="0" w:color="auto" w:frame="1"/>
          <w:lang w:val="es-CO" w:eastAsia="es-ES"/>
        </w:rPr>
        <w:t xml:space="preserve">entre la </w:t>
      </w:r>
      <w:r w:rsidR="008B7BCD" w:rsidRPr="0078289D">
        <w:rPr>
          <w:rFonts w:eastAsia="Times New Roman"/>
          <w:sz w:val="28"/>
          <w:szCs w:val="28"/>
          <w:bdr w:val="none" w:sz="0" w:space="0" w:color="auto" w:frame="1"/>
          <w:lang w:val="es-CO" w:eastAsia="es-ES"/>
        </w:rPr>
        <w:t>disposición</w:t>
      </w:r>
      <w:r w:rsidR="00654D29" w:rsidRPr="0078289D">
        <w:rPr>
          <w:rFonts w:eastAsia="Times New Roman"/>
          <w:sz w:val="28"/>
          <w:szCs w:val="28"/>
          <w:bdr w:val="none" w:sz="0" w:space="0" w:color="auto" w:frame="1"/>
          <w:lang w:val="es-CO" w:eastAsia="es-ES"/>
        </w:rPr>
        <w:t xml:space="preserve"> demandada y </w:t>
      </w:r>
      <w:r w:rsidR="00047954" w:rsidRPr="0078289D">
        <w:rPr>
          <w:rFonts w:eastAsia="Times New Roman"/>
          <w:sz w:val="28"/>
          <w:szCs w:val="28"/>
          <w:bdr w:val="none" w:sz="0" w:space="0" w:color="auto" w:frame="1"/>
          <w:lang w:val="es-CO" w:eastAsia="es-ES"/>
        </w:rPr>
        <w:t>l</w:t>
      </w:r>
      <w:r w:rsidR="000131AA" w:rsidRPr="0078289D">
        <w:rPr>
          <w:rFonts w:eastAsia="Times New Roman"/>
          <w:sz w:val="28"/>
          <w:szCs w:val="28"/>
          <w:bdr w:val="none" w:sz="0" w:space="0" w:color="auto" w:frame="1"/>
          <w:lang w:val="es-CO" w:eastAsia="es-ES"/>
        </w:rPr>
        <w:t xml:space="preserve">a </w:t>
      </w:r>
      <w:r w:rsidR="008B7BCD" w:rsidRPr="0078289D">
        <w:rPr>
          <w:rFonts w:eastAsia="Times New Roman"/>
          <w:sz w:val="28"/>
          <w:szCs w:val="28"/>
          <w:bdr w:val="none" w:sz="0" w:space="0" w:color="auto" w:frame="1"/>
          <w:lang w:val="es-CO" w:eastAsia="es-ES"/>
        </w:rPr>
        <w:t>“</w:t>
      </w:r>
      <w:r w:rsidR="000131AA" w:rsidRPr="0078289D">
        <w:rPr>
          <w:rFonts w:eastAsia="Times New Roman"/>
          <w:sz w:val="28"/>
          <w:szCs w:val="28"/>
          <w:bdr w:val="none" w:sz="0" w:space="0" w:color="auto" w:frame="1"/>
          <w:lang w:val="es-CO" w:eastAsia="es-ES"/>
        </w:rPr>
        <w:t>desaparición</w:t>
      </w:r>
      <w:r w:rsidR="008B7BCD" w:rsidRPr="0078289D">
        <w:rPr>
          <w:rFonts w:eastAsia="Times New Roman"/>
          <w:sz w:val="28"/>
          <w:szCs w:val="28"/>
          <w:bdr w:val="none" w:sz="0" w:space="0" w:color="auto" w:frame="1"/>
          <w:lang w:val="es-CO" w:eastAsia="es-ES"/>
        </w:rPr>
        <w:t>”</w:t>
      </w:r>
      <w:r w:rsidR="000131AA" w:rsidRPr="0078289D">
        <w:rPr>
          <w:rFonts w:eastAsia="Times New Roman"/>
          <w:sz w:val="28"/>
          <w:szCs w:val="28"/>
          <w:bdr w:val="none" w:sz="0" w:space="0" w:color="auto" w:frame="1"/>
          <w:lang w:val="es-CO" w:eastAsia="es-ES"/>
        </w:rPr>
        <w:t xml:space="preserve"> de la agricultura </w:t>
      </w:r>
      <w:r w:rsidR="008B7BCD" w:rsidRPr="0078289D">
        <w:rPr>
          <w:rFonts w:eastAsia="Times New Roman"/>
          <w:sz w:val="28"/>
          <w:szCs w:val="28"/>
          <w:bdr w:val="none" w:sz="0" w:space="0" w:color="auto" w:frame="1"/>
          <w:lang w:val="es-CO" w:eastAsia="es-ES"/>
        </w:rPr>
        <w:t>o la afectación del medio ambiente</w:t>
      </w:r>
      <w:r w:rsidR="000B65B9" w:rsidRPr="0078289D">
        <w:rPr>
          <w:rFonts w:eastAsia="Times New Roman"/>
          <w:sz w:val="28"/>
          <w:szCs w:val="28"/>
          <w:bdr w:val="none" w:sz="0" w:space="0" w:color="auto" w:frame="1"/>
          <w:lang w:val="es-CO" w:eastAsia="es-ES"/>
        </w:rPr>
        <w:t xml:space="preserve"> que, ellos alegan</w:t>
      </w:r>
      <w:r w:rsidR="008B7BCD" w:rsidRPr="0078289D">
        <w:rPr>
          <w:rFonts w:eastAsia="Times New Roman"/>
          <w:sz w:val="28"/>
          <w:szCs w:val="28"/>
          <w:bdr w:val="none" w:sz="0" w:space="0" w:color="auto" w:frame="1"/>
          <w:lang w:val="es-CO" w:eastAsia="es-ES"/>
        </w:rPr>
        <w:t xml:space="preserve">, </w:t>
      </w:r>
      <w:r w:rsidR="000B65B9" w:rsidRPr="0078289D">
        <w:rPr>
          <w:rFonts w:eastAsia="Times New Roman"/>
          <w:sz w:val="28"/>
          <w:szCs w:val="28"/>
          <w:bdr w:val="none" w:sz="0" w:space="0" w:color="auto" w:frame="1"/>
          <w:lang w:val="es-CO" w:eastAsia="es-ES"/>
        </w:rPr>
        <w:t xml:space="preserve">se producen </w:t>
      </w:r>
      <w:r w:rsidR="000131AA" w:rsidRPr="0078289D">
        <w:rPr>
          <w:rFonts w:eastAsia="Times New Roman"/>
          <w:sz w:val="28"/>
          <w:szCs w:val="28"/>
          <w:bdr w:val="none" w:sz="0" w:space="0" w:color="auto" w:frame="1"/>
          <w:lang w:val="es-CO" w:eastAsia="es-ES"/>
        </w:rPr>
        <w:t xml:space="preserve">como consecuencia de la disposición demandada. </w:t>
      </w:r>
      <w:r w:rsidR="00654D29" w:rsidRPr="0078289D">
        <w:rPr>
          <w:rFonts w:eastAsia="Times New Roman"/>
          <w:sz w:val="28"/>
          <w:szCs w:val="28"/>
          <w:bdr w:val="none" w:sz="0" w:space="0" w:color="auto" w:frame="1"/>
          <w:lang w:val="es-CO" w:eastAsia="es-ES"/>
        </w:rPr>
        <w:t>En esa medida, resulta difícil que la Corte tenga algún indicio de </w:t>
      </w:r>
      <w:r w:rsidR="00654D29" w:rsidRPr="0078289D">
        <w:rPr>
          <w:rFonts w:eastAsia="Times New Roman"/>
          <w:sz w:val="28"/>
          <w:szCs w:val="28"/>
          <w:bdr w:val="none" w:sz="0" w:space="0" w:color="auto" w:frame="1"/>
          <w:lang w:val="uz-Cyrl-UZ" w:eastAsia="es-ES"/>
        </w:rPr>
        <w:t>que existe </w:t>
      </w:r>
      <w:r w:rsidR="00654D29" w:rsidRPr="0078289D">
        <w:rPr>
          <w:rFonts w:eastAsia="Times New Roman"/>
          <w:sz w:val="28"/>
          <w:szCs w:val="28"/>
          <w:bdr w:val="none" w:sz="0" w:space="0" w:color="auto" w:frame="1"/>
          <w:lang w:val="es-CO" w:eastAsia="es-ES"/>
        </w:rPr>
        <w:t xml:space="preserve">una relación de causalidad que justifique adelantar un juicio de constitucionalidad abstracto con base en la vulneración de </w:t>
      </w:r>
      <w:r w:rsidR="00654D29" w:rsidRPr="0078289D">
        <w:rPr>
          <w:rFonts w:eastAsia="Times New Roman"/>
          <w:bCs/>
          <w:sz w:val="28"/>
          <w:szCs w:val="28"/>
          <w:lang w:val="es-ES" w:eastAsia="es-ES"/>
        </w:rPr>
        <w:t xml:space="preserve">los mandatos constitucionales de </w:t>
      </w:r>
      <w:r w:rsidR="00654D29" w:rsidRPr="0078289D">
        <w:rPr>
          <w:rFonts w:eastAsia="Times New Roman"/>
          <w:bCs/>
          <w:sz w:val="28"/>
          <w:szCs w:val="28"/>
          <w:lang w:val="es-ES" w:eastAsia="es-ES"/>
        </w:rPr>
        <w:lastRenderedPageBreak/>
        <w:t>protección de los trabajadores y de la producción agropecuaria,</w:t>
      </w:r>
      <w:r w:rsidR="008B2D23" w:rsidRPr="0078289D">
        <w:rPr>
          <w:rFonts w:eastAsia="Times New Roman"/>
          <w:bCs/>
          <w:sz w:val="28"/>
          <w:szCs w:val="28"/>
          <w:lang w:val="es-ES" w:eastAsia="es-ES"/>
        </w:rPr>
        <w:t xml:space="preserve"> del desarrollo sostenible o un desconocimiento del deber de protección del medio ambiente</w:t>
      </w:r>
      <w:r w:rsidR="00654D29" w:rsidRPr="0078289D">
        <w:rPr>
          <w:rFonts w:eastAsia="Times New Roman"/>
          <w:bCs/>
          <w:sz w:val="28"/>
          <w:szCs w:val="28"/>
          <w:lang w:val="es-ES" w:eastAsia="es-ES"/>
        </w:rPr>
        <w:t>.</w:t>
      </w:r>
      <w:r w:rsidR="008B2D23" w:rsidRPr="0078289D">
        <w:rPr>
          <w:rFonts w:eastAsia="Times New Roman"/>
          <w:bCs/>
          <w:sz w:val="28"/>
          <w:szCs w:val="28"/>
          <w:lang w:val="es-ES" w:eastAsia="es-ES"/>
        </w:rPr>
        <w:t xml:space="preserve"> </w:t>
      </w:r>
      <w:r w:rsidR="00BE6546" w:rsidRPr="0078289D">
        <w:rPr>
          <w:rFonts w:eastAsia="Times New Roman"/>
          <w:bCs/>
          <w:sz w:val="28"/>
          <w:szCs w:val="28"/>
          <w:lang w:val="es-ES" w:eastAsia="es-ES"/>
        </w:rPr>
        <w:t>Por tal motivo</w:t>
      </w:r>
      <w:r w:rsidR="008B2D23" w:rsidRPr="0078289D">
        <w:rPr>
          <w:rFonts w:eastAsia="Times New Roman"/>
          <w:bCs/>
          <w:sz w:val="28"/>
          <w:szCs w:val="28"/>
          <w:lang w:val="es-ES" w:eastAsia="es-ES"/>
        </w:rPr>
        <w:t xml:space="preserve">, los cargos por </w:t>
      </w:r>
      <w:r w:rsidR="00933AB3" w:rsidRPr="0078289D">
        <w:rPr>
          <w:rFonts w:eastAsia="Times New Roman"/>
          <w:bCs/>
          <w:sz w:val="28"/>
          <w:szCs w:val="28"/>
          <w:lang w:val="es-ES" w:eastAsia="es-ES"/>
        </w:rPr>
        <w:t>violación</w:t>
      </w:r>
      <w:r w:rsidR="00913E6B" w:rsidRPr="0078289D">
        <w:rPr>
          <w:rFonts w:eastAsia="Times New Roman"/>
          <w:bCs/>
          <w:sz w:val="28"/>
          <w:szCs w:val="28"/>
          <w:lang w:val="es-ES" w:eastAsia="es-ES"/>
        </w:rPr>
        <w:t xml:space="preserve"> del principio de desarrollo sosteni</w:t>
      </w:r>
      <w:r w:rsidR="00957499" w:rsidRPr="0078289D">
        <w:rPr>
          <w:rFonts w:eastAsia="Times New Roman"/>
          <w:bCs/>
          <w:sz w:val="28"/>
          <w:szCs w:val="28"/>
          <w:lang w:val="es-ES" w:eastAsia="es-ES"/>
        </w:rPr>
        <w:t>b</w:t>
      </w:r>
      <w:r w:rsidR="00913E6B" w:rsidRPr="0078289D">
        <w:rPr>
          <w:rFonts w:eastAsia="Times New Roman"/>
          <w:bCs/>
          <w:sz w:val="28"/>
          <w:szCs w:val="28"/>
          <w:lang w:val="es-ES" w:eastAsia="es-ES"/>
        </w:rPr>
        <w:t>le</w:t>
      </w:r>
      <w:r w:rsidR="00957499" w:rsidRPr="0078289D">
        <w:rPr>
          <w:rFonts w:eastAsia="Times New Roman"/>
          <w:bCs/>
          <w:sz w:val="28"/>
          <w:szCs w:val="28"/>
          <w:lang w:val="es-ES" w:eastAsia="es-ES"/>
        </w:rPr>
        <w:t>,</w:t>
      </w:r>
      <w:r w:rsidR="00913E6B" w:rsidRPr="0078289D">
        <w:rPr>
          <w:rFonts w:eastAsia="Times New Roman"/>
          <w:bCs/>
          <w:sz w:val="28"/>
          <w:szCs w:val="28"/>
          <w:lang w:val="es-ES" w:eastAsia="es-ES"/>
        </w:rPr>
        <w:t xml:space="preserve"> y </w:t>
      </w:r>
      <w:r w:rsidR="00957499" w:rsidRPr="0078289D">
        <w:rPr>
          <w:rFonts w:eastAsia="Times New Roman"/>
          <w:bCs/>
          <w:sz w:val="28"/>
          <w:szCs w:val="28"/>
          <w:lang w:val="es-ES" w:eastAsia="es-ES"/>
        </w:rPr>
        <w:t xml:space="preserve">por desconocimiento </w:t>
      </w:r>
      <w:r w:rsidR="00913E6B" w:rsidRPr="0078289D">
        <w:rPr>
          <w:rFonts w:eastAsia="Times New Roman"/>
          <w:bCs/>
          <w:sz w:val="28"/>
          <w:szCs w:val="28"/>
          <w:lang w:val="es-ES" w:eastAsia="es-ES"/>
        </w:rPr>
        <w:t>del deber de conservación de los recursos natu</w:t>
      </w:r>
      <w:r w:rsidR="00957499" w:rsidRPr="0078289D">
        <w:rPr>
          <w:rFonts w:eastAsia="Times New Roman"/>
          <w:bCs/>
          <w:sz w:val="28"/>
          <w:szCs w:val="28"/>
          <w:lang w:val="es-ES" w:eastAsia="es-ES"/>
        </w:rPr>
        <w:t>r</w:t>
      </w:r>
      <w:r w:rsidR="00913E6B" w:rsidRPr="0078289D">
        <w:rPr>
          <w:rFonts w:eastAsia="Times New Roman"/>
          <w:bCs/>
          <w:sz w:val="28"/>
          <w:szCs w:val="28"/>
          <w:lang w:val="es-ES" w:eastAsia="es-ES"/>
        </w:rPr>
        <w:t>ales</w:t>
      </w:r>
      <w:r w:rsidR="00BE6546" w:rsidRPr="0078289D">
        <w:rPr>
          <w:rFonts w:eastAsia="Times New Roman"/>
          <w:bCs/>
          <w:sz w:val="28"/>
          <w:szCs w:val="28"/>
          <w:lang w:val="es-ES" w:eastAsia="es-ES"/>
        </w:rPr>
        <w:t>,</w:t>
      </w:r>
      <w:r w:rsidR="00957499" w:rsidRPr="0078289D">
        <w:rPr>
          <w:rFonts w:eastAsia="Times New Roman"/>
          <w:bCs/>
          <w:sz w:val="28"/>
          <w:szCs w:val="28"/>
          <w:lang w:val="es-ES" w:eastAsia="es-ES"/>
        </w:rPr>
        <w:t xml:space="preserve"> carecen del sustento empírico necesario, por lo cual son insuficientes</w:t>
      </w:r>
      <w:r w:rsidR="00BE6546" w:rsidRPr="0078289D">
        <w:rPr>
          <w:rFonts w:eastAsia="Times New Roman"/>
          <w:bCs/>
          <w:sz w:val="28"/>
          <w:szCs w:val="28"/>
          <w:lang w:val="es-ES" w:eastAsia="es-ES"/>
        </w:rPr>
        <w:t xml:space="preserve"> para que la Corte profiera una decisión de f</w:t>
      </w:r>
      <w:r w:rsidR="00633BE9" w:rsidRPr="0078289D">
        <w:rPr>
          <w:rFonts w:eastAsia="Times New Roman"/>
          <w:bCs/>
          <w:sz w:val="28"/>
          <w:szCs w:val="28"/>
          <w:lang w:val="es-ES" w:eastAsia="es-ES"/>
        </w:rPr>
        <w:t>o</w:t>
      </w:r>
      <w:r w:rsidR="00BE6546" w:rsidRPr="0078289D">
        <w:rPr>
          <w:rFonts w:eastAsia="Times New Roman"/>
          <w:bCs/>
          <w:sz w:val="28"/>
          <w:szCs w:val="28"/>
          <w:lang w:val="es-ES" w:eastAsia="es-ES"/>
        </w:rPr>
        <w:t>ndo</w:t>
      </w:r>
      <w:r w:rsidR="00633BE9" w:rsidRPr="0078289D">
        <w:rPr>
          <w:rFonts w:eastAsia="Times New Roman"/>
          <w:bCs/>
          <w:sz w:val="28"/>
          <w:szCs w:val="28"/>
          <w:lang w:val="es-ES" w:eastAsia="es-ES"/>
        </w:rPr>
        <w:t xml:space="preserve"> por dicho cargo,</w:t>
      </w:r>
      <w:r w:rsidR="00BE6546" w:rsidRPr="0078289D">
        <w:rPr>
          <w:rFonts w:eastAsia="Times New Roman"/>
          <w:bCs/>
          <w:sz w:val="28"/>
          <w:szCs w:val="28"/>
          <w:lang w:val="es-ES" w:eastAsia="es-ES"/>
        </w:rPr>
        <w:t xml:space="preserve"> en relación con la norma demandada</w:t>
      </w:r>
      <w:r w:rsidR="00957499" w:rsidRPr="0078289D">
        <w:rPr>
          <w:rFonts w:eastAsia="Times New Roman"/>
          <w:bCs/>
          <w:sz w:val="28"/>
          <w:szCs w:val="28"/>
          <w:lang w:val="es-ES" w:eastAsia="es-ES"/>
        </w:rPr>
        <w:t xml:space="preserve">. En esa medida, la Corte también se inhibirá de emitir un pronunciamiento de fondo </w:t>
      </w:r>
      <w:r w:rsidR="001046D6" w:rsidRPr="0078289D">
        <w:rPr>
          <w:rFonts w:eastAsia="Times New Roman"/>
          <w:bCs/>
          <w:sz w:val="28"/>
          <w:szCs w:val="28"/>
          <w:lang w:val="es-ES" w:eastAsia="es-ES"/>
        </w:rPr>
        <w:t>en relación con dicho cargo.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color w:val="000000"/>
          <w:sz w:val="28"/>
          <w:szCs w:val="28"/>
          <w:bdr w:val="none" w:sz="0" w:space="0" w:color="auto" w:frame="1"/>
          <w:lang w:val="es-ES_tradnl" w:eastAsia="es-ES"/>
        </w:rPr>
      </w:pPr>
      <w:r w:rsidRPr="0078289D">
        <w:rPr>
          <w:rFonts w:eastAsia="Times New Roman"/>
          <w:color w:val="000000"/>
          <w:sz w:val="28"/>
          <w:szCs w:val="28"/>
          <w:bdr w:val="none" w:sz="0" w:space="0" w:color="auto" w:frame="1"/>
          <w:lang w:val="es-ES_tradnl" w:eastAsia="es-ES"/>
        </w:rPr>
        <w:t> </w:t>
      </w:r>
    </w:p>
    <w:p w:rsidR="003E02CB"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shd w:val="clear" w:color="auto" w:fill="FFFFFF"/>
          <w:lang w:val="es-ES"/>
        </w:rPr>
        <w:t xml:space="preserve">17. De esta manera, la Corte concluye que los demandantes expusieron una serie de consideraciones que no permiten identificar una posible contradicción entre el texto demandado y las normas jurídicas que consideran violadas. En consecuencia, por tratarse de argumentos que no cumplen con </w:t>
      </w:r>
      <w:r w:rsidR="001046D6" w:rsidRPr="0078289D">
        <w:rPr>
          <w:rFonts w:eastAsia="Times New Roman"/>
          <w:sz w:val="28"/>
          <w:szCs w:val="28"/>
          <w:shd w:val="clear" w:color="auto" w:fill="FFFFFF"/>
          <w:lang w:val="es-ES"/>
        </w:rPr>
        <w:t>los</w:t>
      </w:r>
      <w:r w:rsidRPr="0078289D">
        <w:rPr>
          <w:rFonts w:eastAsia="Times New Roman"/>
          <w:sz w:val="28"/>
          <w:szCs w:val="28"/>
          <w:shd w:val="clear" w:color="auto" w:fill="FFFFFF"/>
          <w:lang w:val="es-ES"/>
        </w:rPr>
        <w:t xml:space="preserve"> requisito</w:t>
      </w:r>
      <w:r w:rsidR="001046D6" w:rsidRPr="0078289D">
        <w:rPr>
          <w:rFonts w:eastAsia="Times New Roman"/>
          <w:sz w:val="28"/>
          <w:szCs w:val="28"/>
          <w:shd w:val="clear" w:color="auto" w:fill="FFFFFF"/>
          <w:lang w:val="es-ES"/>
        </w:rPr>
        <w:t>s</w:t>
      </w:r>
      <w:r w:rsidRPr="0078289D">
        <w:rPr>
          <w:rFonts w:eastAsia="Times New Roman"/>
          <w:sz w:val="28"/>
          <w:szCs w:val="28"/>
          <w:shd w:val="clear" w:color="auto" w:fill="FFFFFF"/>
          <w:lang w:val="es-ES"/>
        </w:rPr>
        <w:t xml:space="preserve"> de certeza</w:t>
      </w:r>
      <w:r w:rsidR="001046D6" w:rsidRPr="0078289D">
        <w:rPr>
          <w:rFonts w:eastAsia="Times New Roman"/>
          <w:sz w:val="28"/>
          <w:szCs w:val="28"/>
          <w:shd w:val="clear" w:color="auto" w:fill="FFFFFF"/>
          <w:lang w:val="es-ES"/>
        </w:rPr>
        <w:t xml:space="preserve"> y suficiencia</w:t>
      </w:r>
      <w:r w:rsidRPr="0078289D">
        <w:rPr>
          <w:rFonts w:eastAsia="Times New Roman"/>
          <w:sz w:val="28"/>
          <w:szCs w:val="28"/>
          <w:shd w:val="clear" w:color="auto" w:fill="FFFFFF"/>
          <w:lang w:val="es-ES"/>
        </w:rPr>
        <w:t xml:space="preserve">, la Corte Constitucional se inhibirá de proferir fallo de fondo frente a </w:t>
      </w:r>
      <w:r w:rsidR="00047954" w:rsidRPr="0078289D">
        <w:rPr>
          <w:rFonts w:eastAsia="Times New Roman"/>
          <w:sz w:val="28"/>
          <w:szCs w:val="28"/>
          <w:shd w:val="clear" w:color="auto" w:fill="FFFFFF"/>
          <w:lang w:val="es-ES"/>
        </w:rPr>
        <w:t>e</w:t>
      </w:r>
      <w:r w:rsidRPr="0078289D">
        <w:rPr>
          <w:rFonts w:eastAsia="Times New Roman"/>
          <w:sz w:val="28"/>
          <w:szCs w:val="28"/>
          <w:shd w:val="clear" w:color="auto" w:fill="FFFFFF"/>
          <w:lang w:val="es-ES"/>
        </w:rPr>
        <w:t>st</w:t>
      </w:r>
      <w:r w:rsidR="001046D6" w:rsidRPr="0078289D">
        <w:rPr>
          <w:rFonts w:eastAsia="Times New Roman"/>
          <w:sz w:val="28"/>
          <w:szCs w:val="28"/>
          <w:shd w:val="clear" w:color="auto" w:fill="FFFFFF"/>
          <w:lang w:val="es-ES"/>
        </w:rPr>
        <w:t>os</w:t>
      </w:r>
      <w:r w:rsidR="00047954" w:rsidRPr="0078289D">
        <w:rPr>
          <w:rFonts w:eastAsia="Times New Roman"/>
          <w:sz w:val="28"/>
          <w:szCs w:val="28"/>
          <w:shd w:val="clear" w:color="auto" w:fill="FFFFFF"/>
          <w:lang w:val="es-ES"/>
        </w:rPr>
        <w:t xml:space="preserve"> cargo</w:t>
      </w:r>
      <w:r w:rsidR="001046D6" w:rsidRPr="0078289D">
        <w:rPr>
          <w:rFonts w:eastAsia="Times New Roman"/>
          <w:sz w:val="28"/>
          <w:szCs w:val="28"/>
          <w:shd w:val="clear" w:color="auto" w:fill="FFFFFF"/>
          <w:lang w:val="es-ES"/>
        </w:rPr>
        <w:t>s</w:t>
      </w:r>
      <w:r w:rsidRPr="0078289D">
        <w:rPr>
          <w:rFonts w:eastAsia="Times New Roman"/>
          <w:sz w:val="28"/>
          <w:szCs w:val="28"/>
          <w:shd w:val="clear" w:color="auto" w:fill="FFFFFF"/>
          <w:lang w:val="es-ES"/>
        </w:rPr>
        <w:t>.</w:t>
      </w:r>
      <w:r w:rsidR="008E6CE5" w:rsidRPr="0078289D">
        <w:rPr>
          <w:rFonts w:eastAsia="Times New Roman"/>
          <w:sz w:val="28"/>
          <w:szCs w:val="28"/>
          <w:shd w:val="clear" w:color="auto" w:fill="FFFFFF"/>
          <w:lang w:val="es-ES"/>
        </w:rPr>
        <w:t xml:space="preserve"> </w:t>
      </w:r>
    </w:p>
    <w:p w:rsidR="003E02CB" w:rsidRPr="0078289D" w:rsidRDefault="003E02CB"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p>
    <w:p w:rsidR="00654D29" w:rsidRPr="0078289D" w:rsidRDefault="008E6CE5"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ES_tradnl" w:eastAsia="es-ES"/>
        </w:rPr>
      </w:pPr>
      <w:r w:rsidRPr="0078289D">
        <w:rPr>
          <w:rFonts w:eastAsia="Times New Roman"/>
          <w:sz w:val="28"/>
          <w:szCs w:val="28"/>
          <w:shd w:val="clear" w:color="auto" w:fill="FFFFFF"/>
          <w:lang w:val="es-ES"/>
        </w:rPr>
        <w:t xml:space="preserve">Teniendo en cuenta que no existe un reproche sobre la aptitud de los demás cargos planteados, </w:t>
      </w:r>
      <w:r w:rsidR="003E02CB" w:rsidRPr="0078289D">
        <w:rPr>
          <w:rFonts w:eastAsia="Times New Roman"/>
          <w:sz w:val="28"/>
          <w:szCs w:val="28"/>
          <w:shd w:val="clear" w:color="auto" w:fill="FFFFFF"/>
          <w:lang w:val="es-ES"/>
        </w:rPr>
        <w:t>y que</w:t>
      </w:r>
      <w:r w:rsidR="00500ED6" w:rsidRPr="0078289D">
        <w:rPr>
          <w:rFonts w:eastAsia="Times New Roman"/>
          <w:sz w:val="28"/>
          <w:szCs w:val="28"/>
          <w:shd w:val="clear" w:color="auto" w:fill="FFFFFF"/>
          <w:lang w:val="es-ES"/>
        </w:rPr>
        <w:t xml:space="preserve"> en principio </w:t>
      </w:r>
      <w:r w:rsidR="009B1D61" w:rsidRPr="0078289D">
        <w:rPr>
          <w:rFonts w:eastAsia="Times New Roman"/>
          <w:sz w:val="28"/>
          <w:szCs w:val="28"/>
          <w:shd w:val="clear" w:color="auto" w:fill="FFFFFF"/>
          <w:lang w:val="es-ES"/>
        </w:rPr>
        <w:t xml:space="preserve">estos </w:t>
      </w:r>
      <w:r w:rsidR="00500ED6" w:rsidRPr="0078289D">
        <w:rPr>
          <w:rFonts w:eastAsia="Times New Roman"/>
          <w:sz w:val="28"/>
          <w:szCs w:val="28"/>
          <w:shd w:val="clear" w:color="auto" w:fill="FFFFFF"/>
          <w:lang w:val="es-ES"/>
        </w:rPr>
        <w:t xml:space="preserve">cumplen con los requisitos establecidos en el artículo 2º del Decreto 2067 de 1991, tal y como han sido desarrollado por la jurisprudencia constitucional, </w:t>
      </w:r>
      <w:r w:rsidRPr="0078289D">
        <w:rPr>
          <w:rFonts w:eastAsia="Times New Roman"/>
          <w:sz w:val="28"/>
          <w:szCs w:val="28"/>
          <w:shd w:val="clear" w:color="auto" w:fill="FFFFFF"/>
          <w:lang w:val="es-ES"/>
        </w:rPr>
        <w:t xml:space="preserve">la Sala entra a estudiarlos de fondo.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color w:val="000000"/>
          <w:sz w:val="28"/>
          <w:szCs w:val="28"/>
          <w:bdr w:val="none" w:sz="0" w:space="0" w:color="auto" w:frame="1"/>
          <w:lang w:val="es-ES_tradnl" w:eastAsia="es-ES"/>
        </w:rPr>
      </w:pPr>
    </w:p>
    <w:p w:rsidR="00A561D8" w:rsidRPr="0078289D" w:rsidRDefault="00A561D8"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b/>
          <w:i/>
          <w:sz w:val="28"/>
          <w:szCs w:val="28"/>
          <w:lang w:val="es-ES" w:eastAsia="es-ES"/>
        </w:rPr>
      </w:pPr>
      <w:r w:rsidRPr="0078289D">
        <w:rPr>
          <w:rFonts w:eastAsia="Times New Roman"/>
          <w:b/>
          <w:i/>
          <w:sz w:val="28"/>
          <w:szCs w:val="28"/>
          <w:u w:color="000000"/>
          <w:lang w:val="es-CO" w:eastAsia="es-ES"/>
        </w:rPr>
        <w:t>Análisis de los cargo</w:t>
      </w:r>
      <w:r w:rsidR="00FD63FB" w:rsidRPr="0078289D">
        <w:rPr>
          <w:rFonts w:eastAsia="Times New Roman"/>
          <w:b/>
          <w:i/>
          <w:sz w:val="28"/>
          <w:szCs w:val="28"/>
          <w:u w:color="000000"/>
          <w:lang w:val="es-CO" w:eastAsia="es-ES"/>
        </w:rPr>
        <w:t>s</w:t>
      </w:r>
      <w:r w:rsidRPr="0078289D">
        <w:rPr>
          <w:rFonts w:eastAsia="Times New Roman"/>
          <w:b/>
          <w:i/>
          <w:sz w:val="28"/>
          <w:szCs w:val="28"/>
          <w:u w:color="000000"/>
          <w:lang w:val="es-CO" w:eastAsia="es-ES"/>
        </w:rPr>
        <w:t xml:space="preserve"> </w:t>
      </w:r>
      <w:r w:rsidR="00654D29" w:rsidRPr="0078289D">
        <w:rPr>
          <w:rFonts w:eastAsia="Times New Roman"/>
          <w:b/>
          <w:i/>
          <w:sz w:val="28"/>
          <w:szCs w:val="28"/>
          <w:u w:color="000000"/>
          <w:lang w:val="es-CO" w:eastAsia="es-ES"/>
        </w:rPr>
        <w:t>segundo y tercer</w:t>
      </w:r>
      <w:r w:rsidR="000460C3" w:rsidRPr="0078289D">
        <w:rPr>
          <w:rFonts w:eastAsia="Times New Roman"/>
          <w:b/>
          <w:i/>
          <w:sz w:val="28"/>
          <w:szCs w:val="28"/>
          <w:u w:color="000000"/>
          <w:lang w:val="es-CO" w:eastAsia="es-ES"/>
        </w:rPr>
        <w:t>o</w:t>
      </w:r>
      <w:r w:rsidR="00654D29" w:rsidRPr="0078289D">
        <w:rPr>
          <w:rFonts w:eastAsia="Times New Roman"/>
          <w:b/>
          <w:i/>
          <w:sz w:val="28"/>
          <w:szCs w:val="28"/>
          <w:u w:color="000000"/>
          <w:lang w:val="es-CO" w:eastAsia="es-ES"/>
        </w:rPr>
        <w:t xml:space="preserve"> de la primera sección de la demand</w:t>
      </w:r>
      <w:r w:rsidR="000460C3" w:rsidRPr="0078289D">
        <w:rPr>
          <w:rFonts w:eastAsia="Times New Roman"/>
          <w:b/>
          <w:i/>
          <w:sz w:val="28"/>
          <w:szCs w:val="28"/>
          <w:u w:color="000000"/>
          <w:lang w:val="es-CO" w:eastAsia="es-ES"/>
        </w:rPr>
        <w:t>a</w:t>
      </w:r>
      <w:r w:rsidRPr="0078289D">
        <w:rPr>
          <w:rFonts w:eastAsia="Times New Roman"/>
          <w:b/>
          <w:i/>
          <w:sz w:val="28"/>
          <w:szCs w:val="28"/>
          <w:u w:color="000000"/>
          <w:lang w:val="es-CO" w:eastAsia="es-ES"/>
        </w:rPr>
        <w:t xml:space="preserve">: </w:t>
      </w:r>
      <w:r w:rsidR="000460C3" w:rsidRPr="0078289D">
        <w:rPr>
          <w:rFonts w:eastAsia="Times New Roman"/>
          <w:b/>
          <w:i/>
          <w:sz w:val="28"/>
          <w:szCs w:val="28"/>
          <w:u w:color="000000"/>
          <w:lang w:val="es-CO" w:eastAsia="es-ES"/>
        </w:rPr>
        <w:t xml:space="preserve">la </w:t>
      </w:r>
      <w:r w:rsidR="00DD4C4D" w:rsidRPr="0078289D">
        <w:rPr>
          <w:rFonts w:eastAsia="Times New Roman"/>
          <w:b/>
          <w:i/>
          <w:sz w:val="28"/>
          <w:szCs w:val="28"/>
          <w:u w:color="000000"/>
          <w:lang w:val="es-CO" w:eastAsia="es-ES"/>
        </w:rPr>
        <w:t>autonomía</w:t>
      </w:r>
      <w:r w:rsidRPr="0078289D">
        <w:rPr>
          <w:rFonts w:eastAsia="Times New Roman"/>
          <w:b/>
          <w:i/>
          <w:sz w:val="28"/>
          <w:szCs w:val="28"/>
          <w:shd w:val="clear" w:color="auto" w:fill="FFFFFF"/>
          <w:lang w:val="es-ES" w:eastAsia="es-ES"/>
        </w:rPr>
        <w:t xml:space="preserve"> de las entidades territoriales y el </w:t>
      </w:r>
      <w:r w:rsidR="000460C3" w:rsidRPr="0078289D">
        <w:rPr>
          <w:rFonts w:eastAsia="Times New Roman"/>
          <w:b/>
          <w:i/>
          <w:sz w:val="28"/>
          <w:szCs w:val="28"/>
          <w:shd w:val="clear" w:color="auto" w:fill="FFFFFF"/>
          <w:lang w:val="es-ES" w:eastAsia="es-ES"/>
        </w:rPr>
        <w:t>carácter unitario</w:t>
      </w:r>
      <w:r w:rsidRPr="0078289D">
        <w:rPr>
          <w:rFonts w:eastAsia="Times New Roman"/>
          <w:b/>
          <w:i/>
          <w:sz w:val="28"/>
          <w:szCs w:val="28"/>
          <w:shd w:val="clear" w:color="auto" w:fill="FFFFFF"/>
          <w:lang w:val="es-ES" w:eastAsia="es-ES"/>
        </w:rPr>
        <w:t xml:space="preserve"> de</w:t>
      </w:r>
      <w:r w:rsidR="000460C3" w:rsidRPr="0078289D">
        <w:rPr>
          <w:rFonts w:eastAsia="Times New Roman"/>
          <w:b/>
          <w:i/>
          <w:sz w:val="28"/>
          <w:szCs w:val="28"/>
          <w:shd w:val="clear" w:color="auto" w:fill="FFFFFF"/>
          <w:lang w:val="es-ES" w:eastAsia="es-ES"/>
        </w:rPr>
        <w:t>l</w:t>
      </w:r>
      <w:r w:rsidRPr="0078289D">
        <w:rPr>
          <w:rFonts w:eastAsia="Times New Roman"/>
          <w:b/>
          <w:i/>
          <w:sz w:val="28"/>
          <w:szCs w:val="28"/>
          <w:shd w:val="clear" w:color="auto" w:fill="FFFFFF"/>
          <w:lang w:val="es-ES" w:eastAsia="es-ES"/>
        </w:rPr>
        <w:t xml:space="preserve"> Estado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
          <w:sz w:val="28"/>
          <w:szCs w:val="28"/>
          <w:u w:color="000000"/>
          <w:lang w:val="es-CO" w:eastAsia="es-ES"/>
        </w:rPr>
      </w:pPr>
    </w:p>
    <w:p w:rsidR="00C27DD1" w:rsidRPr="0078289D" w:rsidRDefault="00654D29"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bCs/>
          <w:sz w:val="28"/>
          <w:szCs w:val="28"/>
          <w:lang w:val="es-ES" w:eastAsia="es-ES"/>
        </w:rPr>
      </w:pPr>
      <w:r w:rsidRPr="0078289D">
        <w:rPr>
          <w:rFonts w:eastAsia="Times New Roman"/>
          <w:bCs/>
          <w:sz w:val="28"/>
          <w:szCs w:val="28"/>
          <w:lang w:val="es-ES" w:eastAsia="es-ES"/>
        </w:rPr>
        <w:t xml:space="preserve">18. </w:t>
      </w:r>
      <w:r w:rsidR="00FC5D07" w:rsidRPr="0078289D">
        <w:rPr>
          <w:rFonts w:eastAsia="Times New Roman"/>
          <w:bCs/>
          <w:sz w:val="28"/>
          <w:szCs w:val="28"/>
          <w:lang w:val="es-ES" w:eastAsia="es-ES"/>
        </w:rPr>
        <w:t xml:space="preserve">Una vez resuelto lo atinente al cargo por violación de los artículos </w:t>
      </w:r>
      <w:r w:rsidR="00E36C44" w:rsidRPr="0078289D">
        <w:rPr>
          <w:rFonts w:eastAsia="Times New Roman"/>
          <w:bCs/>
          <w:sz w:val="28"/>
          <w:szCs w:val="28"/>
          <w:lang w:val="es-ES" w:eastAsia="es-ES"/>
        </w:rPr>
        <w:t xml:space="preserve">64, 65 y 66 de la Constitución, es necesario que la Corte establezca si la atribución de la competencia para crear las AEM limita </w:t>
      </w:r>
      <w:r w:rsidR="00BB2BF9" w:rsidRPr="0078289D">
        <w:rPr>
          <w:rFonts w:eastAsia="Times New Roman"/>
          <w:bCs/>
          <w:sz w:val="28"/>
          <w:szCs w:val="28"/>
          <w:lang w:val="es-ES" w:eastAsia="es-ES"/>
        </w:rPr>
        <w:t xml:space="preserve">la autonomía de las entidades territoriales </w:t>
      </w:r>
      <w:r w:rsidR="0088754B" w:rsidRPr="0078289D">
        <w:rPr>
          <w:rFonts w:eastAsia="Times New Roman"/>
          <w:bCs/>
          <w:sz w:val="28"/>
          <w:szCs w:val="28"/>
          <w:lang w:val="es-ES" w:eastAsia="es-ES"/>
        </w:rPr>
        <w:t xml:space="preserve">(C.P. arts. 287 y 288) </w:t>
      </w:r>
      <w:r w:rsidR="00BB2BF9" w:rsidRPr="0078289D">
        <w:rPr>
          <w:rFonts w:eastAsia="Times New Roman"/>
          <w:bCs/>
          <w:sz w:val="28"/>
          <w:szCs w:val="28"/>
          <w:lang w:val="es-ES" w:eastAsia="es-ES"/>
        </w:rPr>
        <w:t>y las competencias atribuidas a los concejos municipales otorgadas por la Constitución</w:t>
      </w:r>
      <w:r w:rsidR="0088754B" w:rsidRPr="0078289D">
        <w:rPr>
          <w:rFonts w:eastAsia="Times New Roman"/>
          <w:bCs/>
          <w:sz w:val="28"/>
          <w:szCs w:val="28"/>
          <w:lang w:val="es-ES" w:eastAsia="es-ES"/>
        </w:rPr>
        <w:t xml:space="preserve"> (C.P. art</w:t>
      </w:r>
      <w:r w:rsidR="006F3213" w:rsidRPr="0078289D">
        <w:rPr>
          <w:rFonts w:eastAsia="Times New Roman"/>
          <w:bCs/>
          <w:sz w:val="28"/>
          <w:szCs w:val="28"/>
          <w:lang w:val="es-ES" w:eastAsia="es-ES"/>
        </w:rPr>
        <w:t>s</w:t>
      </w:r>
      <w:r w:rsidR="0088754B" w:rsidRPr="0078289D">
        <w:rPr>
          <w:rFonts w:eastAsia="Times New Roman"/>
          <w:bCs/>
          <w:sz w:val="28"/>
          <w:szCs w:val="28"/>
          <w:lang w:val="es-ES" w:eastAsia="es-ES"/>
        </w:rPr>
        <w:t xml:space="preserve">. </w:t>
      </w:r>
      <w:r w:rsidR="006F3213" w:rsidRPr="0078289D">
        <w:rPr>
          <w:rFonts w:eastAsia="Times New Roman"/>
          <w:bCs/>
          <w:sz w:val="28"/>
          <w:szCs w:val="28"/>
          <w:lang w:val="es-ES" w:eastAsia="es-ES"/>
        </w:rPr>
        <w:t xml:space="preserve">311 y </w:t>
      </w:r>
      <w:r w:rsidR="0088754B" w:rsidRPr="0078289D">
        <w:rPr>
          <w:rFonts w:eastAsia="Times New Roman"/>
          <w:bCs/>
          <w:sz w:val="28"/>
          <w:szCs w:val="28"/>
          <w:lang w:val="es-ES" w:eastAsia="es-ES"/>
        </w:rPr>
        <w:t>313)</w:t>
      </w:r>
      <w:r w:rsidR="00BB2BF9" w:rsidRPr="0078289D">
        <w:rPr>
          <w:rFonts w:eastAsia="Times New Roman"/>
          <w:bCs/>
          <w:sz w:val="28"/>
          <w:szCs w:val="28"/>
          <w:lang w:val="es-ES" w:eastAsia="es-ES"/>
        </w:rPr>
        <w:t xml:space="preserve">. </w:t>
      </w:r>
      <w:r w:rsidR="001050FD" w:rsidRPr="0078289D">
        <w:rPr>
          <w:rFonts w:eastAsia="Times New Roman"/>
          <w:bCs/>
          <w:sz w:val="28"/>
          <w:szCs w:val="28"/>
          <w:lang w:val="es-ES" w:eastAsia="es-ES"/>
        </w:rPr>
        <w:t xml:space="preserve">Teniendo en cuenta </w:t>
      </w:r>
      <w:r w:rsidR="00BB2BF9" w:rsidRPr="0078289D">
        <w:rPr>
          <w:rFonts w:eastAsia="Times New Roman"/>
          <w:bCs/>
          <w:sz w:val="28"/>
          <w:szCs w:val="28"/>
          <w:lang w:val="es-ES" w:eastAsia="es-ES"/>
        </w:rPr>
        <w:t>los cargos planteados en la demanda y las intervenciones</w:t>
      </w:r>
      <w:r w:rsidR="001050FD" w:rsidRPr="0078289D">
        <w:rPr>
          <w:rFonts w:eastAsia="Times New Roman"/>
          <w:bCs/>
          <w:sz w:val="28"/>
          <w:szCs w:val="28"/>
          <w:lang w:val="es-ES" w:eastAsia="es-ES"/>
        </w:rPr>
        <w:t xml:space="preserve">, el problema </w:t>
      </w:r>
      <w:r w:rsidR="00DB722D" w:rsidRPr="0078289D">
        <w:rPr>
          <w:rFonts w:eastAsia="Times New Roman"/>
          <w:bCs/>
          <w:sz w:val="28"/>
          <w:szCs w:val="28"/>
          <w:lang w:val="es-ES" w:eastAsia="es-ES"/>
        </w:rPr>
        <w:t xml:space="preserve">jurídico </w:t>
      </w:r>
      <w:r w:rsidR="001050FD" w:rsidRPr="0078289D">
        <w:rPr>
          <w:rFonts w:eastAsia="Times New Roman"/>
          <w:bCs/>
          <w:sz w:val="28"/>
          <w:szCs w:val="28"/>
          <w:lang w:val="es-ES" w:eastAsia="es-ES"/>
        </w:rPr>
        <w:t>que le corresponde resolv</w:t>
      </w:r>
      <w:r w:rsidR="00DB722D" w:rsidRPr="0078289D">
        <w:rPr>
          <w:rFonts w:eastAsia="Times New Roman"/>
          <w:bCs/>
          <w:sz w:val="28"/>
          <w:szCs w:val="28"/>
          <w:lang w:val="es-ES" w:eastAsia="es-ES"/>
        </w:rPr>
        <w:t>er a la Corte es</w:t>
      </w:r>
      <w:r w:rsidR="001050FD" w:rsidRPr="0078289D">
        <w:rPr>
          <w:rFonts w:eastAsia="Times New Roman"/>
          <w:bCs/>
          <w:sz w:val="28"/>
          <w:szCs w:val="28"/>
          <w:lang w:val="es-ES" w:eastAsia="es-ES"/>
        </w:rPr>
        <w:t xml:space="preserve">: </w:t>
      </w:r>
    </w:p>
    <w:p w:rsidR="00C27DD1" w:rsidRPr="0078289D" w:rsidRDefault="00C27DD1"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bCs/>
          <w:sz w:val="28"/>
          <w:szCs w:val="28"/>
          <w:lang w:val="es-ES"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CO"/>
        </w:rPr>
      </w:pPr>
      <w:r w:rsidRPr="0078289D">
        <w:rPr>
          <w:rFonts w:eastAsia="Times New Roman"/>
          <w:bCs/>
          <w:sz w:val="28"/>
          <w:szCs w:val="28"/>
          <w:lang w:val="es-ES" w:eastAsia="es-ES"/>
        </w:rPr>
        <w:t>¿</w:t>
      </w:r>
      <w:r w:rsidR="0061203A" w:rsidRPr="0078289D">
        <w:rPr>
          <w:rFonts w:eastAsia="Times New Roman"/>
          <w:bCs/>
          <w:sz w:val="28"/>
          <w:szCs w:val="28"/>
          <w:lang w:val="es-ES" w:eastAsia="es-ES"/>
        </w:rPr>
        <w:t>Al facultar a</w:t>
      </w:r>
      <w:r w:rsidRPr="0078289D">
        <w:rPr>
          <w:rFonts w:eastAsia="Times New Roman"/>
          <w:bCs/>
          <w:sz w:val="28"/>
          <w:szCs w:val="28"/>
          <w:lang w:val="es-ES" w:eastAsia="es-ES"/>
        </w:rPr>
        <w:t xml:space="preserve"> </w:t>
      </w:r>
      <w:r w:rsidR="0061203A" w:rsidRPr="0078289D">
        <w:rPr>
          <w:rFonts w:eastAsia="Times New Roman"/>
          <w:bCs/>
          <w:sz w:val="28"/>
          <w:szCs w:val="28"/>
          <w:lang w:val="es-ES" w:eastAsia="es-ES"/>
        </w:rPr>
        <w:t>una entidad del orden nacional</w:t>
      </w:r>
      <w:r w:rsidRPr="0078289D">
        <w:rPr>
          <w:rFonts w:eastAsia="Times New Roman"/>
          <w:bCs/>
          <w:sz w:val="28"/>
          <w:szCs w:val="28"/>
          <w:lang w:val="es-ES" w:eastAsia="es-ES"/>
        </w:rPr>
        <w:t xml:space="preserve"> para </w:t>
      </w:r>
      <w:r w:rsidR="0061203A" w:rsidRPr="0078289D">
        <w:rPr>
          <w:rFonts w:eastAsia="Times New Roman"/>
          <w:bCs/>
          <w:sz w:val="28"/>
          <w:szCs w:val="28"/>
          <w:lang w:val="es-ES" w:eastAsia="es-ES"/>
        </w:rPr>
        <w:t>delimitar</w:t>
      </w:r>
      <w:r w:rsidRPr="0078289D">
        <w:rPr>
          <w:rFonts w:eastAsia="Times New Roman"/>
          <w:bCs/>
          <w:sz w:val="28"/>
          <w:szCs w:val="28"/>
          <w:lang w:val="es-ES" w:eastAsia="es-ES"/>
        </w:rPr>
        <w:t xml:space="preserve"> las Áreas de Reserva Estratégica Minera,</w:t>
      </w:r>
      <w:r w:rsidRPr="0078289D">
        <w:rPr>
          <w:rFonts w:eastAsia="Times New Roman"/>
          <w:sz w:val="28"/>
          <w:szCs w:val="28"/>
          <w:bdr w:val="none" w:sz="0" w:space="0" w:color="auto" w:frame="1"/>
          <w:lang w:val="es-CO" w:eastAsia="es-ES"/>
        </w:rPr>
        <w:t xml:space="preserve"> se </w:t>
      </w:r>
      <w:r w:rsidR="003B009A" w:rsidRPr="0078289D">
        <w:rPr>
          <w:rFonts w:eastAsia="Times New Roman"/>
          <w:sz w:val="28"/>
          <w:szCs w:val="28"/>
          <w:lang w:val="es-CO"/>
        </w:rPr>
        <w:t>restringe</w:t>
      </w:r>
      <w:r w:rsidRPr="0078289D">
        <w:rPr>
          <w:rFonts w:eastAsia="Times New Roman"/>
          <w:sz w:val="28"/>
          <w:szCs w:val="28"/>
          <w:lang w:val="es-CO"/>
        </w:rPr>
        <w:t xml:space="preserve"> la </w:t>
      </w:r>
      <w:r w:rsidR="003B009A" w:rsidRPr="0078289D">
        <w:rPr>
          <w:rFonts w:eastAsia="Times New Roman"/>
          <w:sz w:val="28"/>
          <w:szCs w:val="28"/>
          <w:lang w:val="es-CO"/>
        </w:rPr>
        <w:t>autonomía</w:t>
      </w:r>
      <w:r w:rsidRPr="0078289D">
        <w:rPr>
          <w:rFonts w:eastAsia="Times New Roman"/>
          <w:sz w:val="28"/>
          <w:szCs w:val="28"/>
          <w:lang w:val="es-CO"/>
        </w:rPr>
        <w:t xml:space="preserve"> </w:t>
      </w:r>
      <w:r w:rsidR="003B009A" w:rsidRPr="0078289D">
        <w:rPr>
          <w:rFonts w:eastAsia="Times New Roman"/>
          <w:sz w:val="28"/>
          <w:szCs w:val="28"/>
          <w:lang w:val="es-CO"/>
        </w:rPr>
        <w:t>constitucional de la</w:t>
      </w:r>
      <w:r w:rsidR="0064743C" w:rsidRPr="0078289D">
        <w:rPr>
          <w:rFonts w:eastAsia="Times New Roman"/>
          <w:sz w:val="28"/>
          <w:szCs w:val="28"/>
          <w:lang w:val="es-CO"/>
        </w:rPr>
        <w:t xml:space="preserve">s </w:t>
      </w:r>
      <w:r w:rsidR="003B009A" w:rsidRPr="0078289D">
        <w:rPr>
          <w:rFonts w:eastAsia="Times New Roman"/>
          <w:sz w:val="28"/>
          <w:szCs w:val="28"/>
          <w:lang w:val="es-CO"/>
        </w:rPr>
        <w:t>entidades territoriales</w:t>
      </w:r>
      <w:r w:rsidR="00CD4813" w:rsidRPr="0078289D">
        <w:rPr>
          <w:rFonts w:eastAsia="Times New Roman"/>
          <w:sz w:val="28"/>
          <w:szCs w:val="28"/>
          <w:lang w:val="es-CO"/>
        </w:rPr>
        <w:t>?</w:t>
      </w:r>
      <w:r w:rsidR="0064743C" w:rsidRPr="0078289D">
        <w:rPr>
          <w:rFonts w:eastAsia="Times New Roman"/>
          <w:sz w:val="28"/>
          <w:szCs w:val="28"/>
          <w:lang w:val="es-CO"/>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ES_tradnl" w:eastAsia="es-ES"/>
        </w:rPr>
      </w:pPr>
      <w:r w:rsidRPr="0078289D">
        <w:rPr>
          <w:rFonts w:eastAsia="Times New Roman"/>
          <w:sz w:val="28"/>
          <w:szCs w:val="28"/>
          <w:lang w:val="es-CO" w:eastAsia="es-ES"/>
        </w:rPr>
        <w:t>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19. La jurisprudencia constitucional </w:t>
      </w:r>
      <w:r w:rsidR="00806765" w:rsidRPr="0078289D">
        <w:rPr>
          <w:rFonts w:eastAsia="Times New Roman"/>
          <w:sz w:val="28"/>
          <w:szCs w:val="28"/>
          <w:lang w:val="es-ES"/>
        </w:rPr>
        <w:t>se ha ocupado reiteradamente</w:t>
      </w:r>
      <w:r w:rsidRPr="0078289D">
        <w:rPr>
          <w:rFonts w:eastAsia="Times New Roman"/>
          <w:sz w:val="28"/>
          <w:szCs w:val="28"/>
          <w:lang w:val="es-ES"/>
        </w:rPr>
        <w:t xml:space="preserve"> del grado de autonomía de las entidades territoriales y su relación con la preservación del principio de Estado unitario.  Por tanto, la Sala identificar</w:t>
      </w:r>
      <w:r w:rsidR="00806765" w:rsidRPr="0078289D">
        <w:rPr>
          <w:rFonts w:eastAsia="Times New Roman"/>
          <w:sz w:val="28"/>
          <w:szCs w:val="28"/>
          <w:lang w:val="es-ES"/>
        </w:rPr>
        <w:t>á</w:t>
      </w:r>
      <w:r w:rsidRPr="0078289D">
        <w:rPr>
          <w:rFonts w:eastAsia="Times New Roman"/>
          <w:sz w:val="28"/>
          <w:szCs w:val="28"/>
          <w:lang w:val="es-ES"/>
        </w:rPr>
        <w:t xml:space="preserve"> las reglas jurisprudenciales pertinentes para resolver el problema jurídico planteado en precedencia.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20. La Constitución Política, al definir el modelo de Estado (art. 1° superior) parte de dos supuestos. En primer término, se concibe a Colombia como un Estado organizado en forma de República unitaria. En términos de esta Corporación, </w:t>
      </w:r>
      <w:r w:rsidRPr="0078289D">
        <w:rPr>
          <w:rFonts w:eastAsia="Times New Roman"/>
          <w:i/>
          <w:sz w:val="28"/>
          <w:szCs w:val="28"/>
          <w:lang w:val="es-ES"/>
        </w:rPr>
        <w:t xml:space="preserve">“…la naturaleza del Estado unitario presupone la </w:t>
      </w:r>
      <w:r w:rsidRPr="0078289D">
        <w:rPr>
          <w:rFonts w:eastAsia="Times New Roman"/>
          <w:i/>
          <w:sz w:val="28"/>
          <w:szCs w:val="28"/>
          <w:lang w:val="es-ES"/>
        </w:rPr>
        <w:lastRenderedPageBreak/>
        <w:t>centralización política, lo cual, por un lado, exige unidad en todos los ramos de la legislación, exigencia que se traduce en la existencia de parámetros uniformes del orden nacional y de unas competencias subordinadas a la ley en el nivel territorial y, por otro, la existencia de competencias centralizadas para la formulación de decisiones de política que tengan vigencia para todo el territorio nacional</w:t>
      </w:r>
      <w:r w:rsidRPr="0078289D">
        <w:rPr>
          <w:rFonts w:eastAsia="Times New Roman"/>
          <w:i/>
          <w:sz w:val="28"/>
          <w:szCs w:val="28"/>
          <w:vertAlign w:val="superscript"/>
          <w:lang w:val="es-ES"/>
        </w:rPr>
        <w:footnoteReference w:id="25"/>
      </w:r>
      <w:r w:rsidRPr="0078289D">
        <w:rPr>
          <w:rFonts w:eastAsia="Times New Roman"/>
          <w:i/>
          <w:sz w:val="28"/>
          <w:szCs w:val="28"/>
          <w:lang w:val="es-ES"/>
        </w:rPr>
        <w:t>. Del principio unitario también se desprende la posibilidad de intervenciones puntuales, que desplacen, incluso, a las entidades territoriales en asuntos que de ordinario se desenvuelven en la órbita de sus competencias, pero en relación con los cuales existe un interés nacional de superior entidad.”</w:t>
      </w:r>
      <w:r w:rsidRPr="0078289D">
        <w:rPr>
          <w:rFonts w:eastAsia="Times New Roman"/>
          <w:i/>
          <w:sz w:val="28"/>
          <w:szCs w:val="28"/>
          <w:vertAlign w:val="superscript"/>
          <w:lang w:val="es-ES"/>
        </w:rPr>
        <w:footnoteReference w:id="26"/>
      </w:r>
    </w:p>
    <w:p w:rsidR="003A3155" w:rsidRPr="0078289D" w:rsidRDefault="003A3155"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En segundo </w:t>
      </w:r>
      <w:r w:rsidR="00CD4813" w:rsidRPr="0078289D">
        <w:rPr>
          <w:rFonts w:eastAsia="Times New Roman"/>
          <w:sz w:val="28"/>
          <w:szCs w:val="28"/>
          <w:lang w:val="es-ES"/>
        </w:rPr>
        <w:t>lugar</w:t>
      </w:r>
      <w:r w:rsidRPr="0078289D">
        <w:rPr>
          <w:rFonts w:eastAsia="Times New Roman"/>
          <w:sz w:val="28"/>
          <w:szCs w:val="28"/>
          <w:lang w:val="es-ES"/>
        </w:rPr>
        <w:t>, la misma definición reconoce que el modelo de organización política es descentr</w:t>
      </w:r>
      <w:r w:rsidR="002E245F" w:rsidRPr="0078289D">
        <w:rPr>
          <w:rFonts w:eastAsia="Times New Roman"/>
          <w:sz w:val="28"/>
          <w:szCs w:val="28"/>
          <w:lang w:val="es-ES"/>
        </w:rPr>
        <w:t>alizado,</w:t>
      </w:r>
      <w:r w:rsidRPr="0078289D">
        <w:rPr>
          <w:rFonts w:eastAsia="Times New Roman"/>
          <w:sz w:val="28"/>
          <w:szCs w:val="28"/>
          <w:lang w:val="es-ES"/>
        </w:rPr>
        <w:t xml:space="preserve"> con autonomía de sus entidades territoriales.  En ese sentido, al descartar la organización política federal, la Carta Política ha optado por la asignación de un grado de autonomía a favor de las entidades territoriales, la cual define, a su vez, un arreglo institucional de competencias también específico. De esa manera, existen instrumentos que, desde la Constitución</w:t>
      </w:r>
      <w:r w:rsidR="00AF070E" w:rsidRPr="0078289D">
        <w:rPr>
          <w:rFonts w:eastAsia="Times New Roman"/>
          <w:sz w:val="28"/>
          <w:szCs w:val="28"/>
          <w:lang w:val="es-ES"/>
        </w:rPr>
        <w:t>,</w:t>
      </w:r>
      <w:r w:rsidRPr="0078289D">
        <w:rPr>
          <w:rFonts w:eastAsia="Times New Roman"/>
          <w:sz w:val="28"/>
          <w:szCs w:val="28"/>
          <w:lang w:val="es-ES"/>
        </w:rPr>
        <w:t xml:space="preserve"> concilian el principio de Estado unitario y el grado de aut</w:t>
      </w:r>
      <w:r w:rsidR="00A20C4C" w:rsidRPr="0078289D">
        <w:rPr>
          <w:rFonts w:eastAsia="Times New Roman"/>
          <w:sz w:val="28"/>
          <w:szCs w:val="28"/>
          <w:lang w:val="es-ES"/>
        </w:rPr>
        <w:t>onomía referido, a saber: (i) la</w:t>
      </w:r>
      <w:r w:rsidRPr="0078289D">
        <w:rPr>
          <w:rFonts w:eastAsia="Times New Roman"/>
          <w:sz w:val="28"/>
          <w:szCs w:val="28"/>
          <w:lang w:val="es-ES"/>
        </w:rPr>
        <w:t xml:space="preserve">s </w:t>
      </w:r>
      <w:r w:rsidR="00A20C4C" w:rsidRPr="0078289D">
        <w:rPr>
          <w:rFonts w:eastAsia="Times New Roman"/>
          <w:sz w:val="28"/>
          <w:szCs w:val="28"/>
          <w:lang w:val="es-ES"/>
        </w:rPr>
        <w:t>facultades</w:t>
      </w:r>
      <w:r w:rsidRPr="0078289D">
        <w:rPr>
          <w:rFonts w:eastAsia="Times New Roman"/>
          <w:sz w:val="28"/>
          <w:szCs w:val="28"/>
          <w:lang w:val="es-ES"/>
        </w:rPr>
        <w:t xml:space="preserve"> de las entidades territoriales, (ii) la asignación de competencia al </w:t>
      </w:r>
      <w:r w:rsidR="00A20C4C" w:rsidRPr="0078289D">
        <w:rPr>
          <w:rFonts w:eastAsia="Times New Roman"/>
          <w:sz w:val="28"/>
          <w:szCs w:val="28"/>
          <w:lang w:val="es-ES"/>
        </w:rPr>
        <w:t>Congreso</w:t>
      </w:r>
      <w:r w:rsidRPr="0078289D">
        <w:rPr>
          <w:rFonts w:eastAsia="Times New Roman"/>
          <w:sz w:val="28"/>
          <w:szCs w:val="28"/>
          <w:lang w:val="es-ES"/>
        </w:rPr>
        <w:t xml:space="preserve"> para regular el grado de autonomía de las entidades territoriales, y (iii) los principios de coordinación, concurrencia y subsidiariedad entre la Nación y los entes territoriales.</w:t>
      </w:r>
      <w:r w:rsidRPr="0078289D">
        <w:rPr>
          <w:rFonts w:eastAsia="Times New Roman"/>
          <w:sz w:val="28"/>
          <w:szCs w:val="28"/>
          <w:vertAlign w:val="superscript"/>
          <w:lang w:val="es-ES"/>
        </w:rPr>
        <w:footnoteReference w:id="27"/>
      </w:r>
    </w:p>
    <w:p w:rsidR="003A3155" w:rsidRPr="0078289D" w:rsidRDefault="003A3155"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21.  En cuanto al primer instrumento, el artículo 287 superior, al desarrollar </w:t>
      </w:r>
      <w:r w:rsidR="00587B27" w:rsidRPr="0078289D">
        <w:rPr>
          <w:rFonts w:eastAsia="Times New Roman"/>
          <w:sz w:val="28"/>
          <w:szCs w:val="28"/>
          <w:lang w:val="es-ES"/>
        </w:rPr>
        <w:t>los</w:t>
      </w:r>
      <w:r w:rsidRPr="0078289D">
        <w:rPr>
          <w:rFonts w:eastAsia="Times New Roman"/>
          <w:sz w:val="28"/>
          <w:szCs w:val="28"/>
          <w:lang w:val="es-ES"/>
        </w:rPr>
        <w:t xml:space="preserve"> concepto</w:t>
      </w:r>
      <w:r w:rsidR="00587B27" w:rsidRPr="0078289D">
        <w:rPr>
          <w:rFonts w:eastAsia="Times New Roman"/>
          <w:sz w:val="28"/>
          <w:szCs w:val="28"/>
          <w:lang w:val="es-ES"/>
        </w:rPr>
        <w:t>s</w:t>
      </w:r>
      <w:r w:rsidRPr="0078289D">
        <w:rPr>
          <w:rFonts w:eastAsia="Times New Roman"/>
          <w:sz w:val="28"/>
          <w:szCs w:val="28"/>
          <w:lang w:val="es-ES"/>
        </w:rPr>
        <w:t xml:space="preserve"> de descentralización y </w:t>
      </w:r>
      <w:r w:rsidR="00A20C4C" w:rsidRPr="0078289D">
        <w:rPr>
          <w:rFonts w:eastAsia="Times New Roman"/>
          <w:sz w:val="28"/>
          <w:szCs w:val="28"/>
          <w:lang w:val="es-ES"/>
        </w:rPr>
        <w:t xml:space="preserve">la </w:t>
      </w:r>
      <w:r w:rsidRPr="0078289D">
        <w:rPr>
          <w:rFonts w:eastAsia="Times New Roman"/>
          <w:sz w:val="28"/>
          <w:szCs w:val="28"/>
          <w:lang w:val="es-ES"/>
        </w:rPr>
        <w:t>autonomía reconocid</w:t>
      </w:r>
      <w:r w:rsidR="00B80435" w:rsidRPr="0078289D">
        <w:rPr>
          <w:rFonts w:eastAsia="Times New Roman"/>
          <w:sz w:val="28"/>
          <w:szCs w:val="28"/>
          <w:lang w:val="es-ES"/>
        </w:rPr>
        <w:t>a</w:t>
      </w:r>
      <w:r w:rsidRPr="0078289D">
        <w:rPr>
          <w:rFonts w:eastAsia="Times New Roman"/>
          <w:sz w:val="28"/>
          <w:szCs w:val="28"/>
          <w:lang w:val="es-ES"/>
        </w:rPr>
        <w:t xml:space="preserve"> a las entidades territoriales en la Carta, señala que </w:t>
      </w:r>
      <w:r w:rsidR="00CD0FA6" w:rsidRPr="0078289D">
        <w:rPr>
          <w:rFonts w:eastAsia="Times New Roman"/>
          <w:sz w:val="28"/>
          <w:szCs w:val="28"/>
          <w:lang w:val="es-ES"/>
        </w:rPr>
        <w:t xml:space="preserve">estas entidades pueden gestionar sus propios intereses </w:t>
      </w:r>
      <w:r w:rsidRPr="0078289D">
        <w:rPr>
          <w:rFonts w:eastAsia="Times New Roman"/>
          <w:sz w:val="28"/>
          <w:szCs w:val="28"/>
          <w:lang w:val="es-ES"/>
        </w:rPr>
        <w:t>dentro de los límites que</w:t>
      </w:r>
      <w:r w:rsidR="00CD0FA6" w:rsidRPr="0078289D">
        <w:rPr>
          <w:rFonts w:eastAsia="Times New Roman"/>
          <w:sz w:val="28"/>
          <w:szCs w:val="28"/>
          <w:lang w:val="es-ES"/>
        </w:rPr>
        <w:t xml:space="preserve"> fije la Constitución y la ley</w:t>
      </w:r>
      <w:r w:rsidRPr="0078289D">
        <w:rPr>
          <w:rFonts w:eastAsia="Times New Roman"/>
          <w:sz w:val="28"/>
          <w:szCs w:val="28"/>
          <w:lang w:val="es-ES"/>
        </w:rPr>
        <w:t>, lo cual les confiere</w:t>
      </w:r>
      <w:r w:rsidR="009E2766" w:rsidRPr="0078289D">
        <w:rPr>
          <w:rFonts w:eastAsia="Times New Roman"/>
          <w:sz w:val="28"/>
          <w:szCs w:val="28"/>
          <w:lang w:val="es-ES"/>
        </w:rPr>
        <w:t xml:space="preserve"> </w:t>
      </w:r>
      <w:r w:rsidR="009E2766" w:rsidRPr="0078289D">
        <w:rPr>
          <w:rFonts w:eastAsia="Times New Roman"/>
          <w:i/>
          <w:sz w:val="28"/>
          <w:szCs w:val="28"/>
          <w:lang w:val="es-ES"/>
        </w:rPr>
        <w:t xml:space="preserve">potestades </w:t>
      </w:r>
      <w:r w:rsidR="009E2766" w:rsidRPr="0078289D">
        <w:rPr>
          <w:rFonts w:eastAsia="Times New Roman"/>
          <w:sz w:val="28"/>
          <w:szCs w:val="28"/>
          <w:lang w:val="es-ES"/>
        </w:rPr>
        <w:t>para</w:t>
      </w:r>
      <w:r w:rsidRPr="0078289D">
        <w:rPr>
          <w:rFonts w:eastAsia="Times New Roman"/>
          <w:sz w:val="28"/>
          <w:szCs w:val="28"/>
          <w:lang w:val="es-ES"/>
        </w:rPr>
        <w:t xml:space="preserve">: i) </w:t>
      </w:r>
      <w:r w:rsidR="009E2766" w:rsidRPr="0078289D">
        <w:rPr>
          <w:rFonts w:eastAsia="Times New Roman"/>
          <w:sz w:val="28"/>
          <w:szCs w:val="28"/>
          <w:lang w:val="es-ES"/>
        </w:rPr>
        <w:t>gobernarse</w:t>
      </w:r>
      <w:r w:rsidRPr="0078289D">
        <w:rPr>
          <w:rFonts w:eastAsia="Times New Roman"/>
          <w:sz w:val="28"/>
          <w:szCs w:val="28"/>
          <w:lang w:val="es-ES"/>
        </w:rPr>
        <w:t xml:space="preserve"> por autoridades propias; ii) </w:t>
      </w:r>
      <w:r w:rsidR="009E2766" w:rsidRPr="0078289D">
        <w:rPr>
          <w:rFonts w:eastAsia="Times New Roman"/>
          <w:sz w:val="28"/>
          <w:szCs w:val="28"/>
          <w:lang w:val="es-ES"/>
        </w:rPr>
        <w:t>ejercer</w:t>
      </w:r>
      <w:r w:rsidRPr="0078289D">
        <w:rPr>
          <w:rFonts w:eastAsia="Times New Roman"/>
          <w:sz w:val="28"/>
          <w:szCs w:val="28"/>
          <w:lang w:val="es-ES"/>
        </w:rPr>
        <w:t xml:space="preserve"> las competencias que le</w:t>
      </w:r>
      <w:r w:rsidR="009E2766" w:rsidRPr="0078289D">
        <w:rPr>
          <w:rFonts w:eastAsia="Times New Roman"/>
          <w:sz w:val="28"/>
          <w:szCs w:val="28"/>
          <w:lang w:val="es-ES"/>
        </w:rPr>
        <w:t>s correspondan; iii) administrar sus recursos y establecer</w:t>
      </w:r>
      <w:r w:rsidRPr="0078289D">
        <w:rPr>
          <w:rFonts w:eastAsia="Times New Roman"/>
          <w:sz w:val="28"/>
          <w:szCs w:val="28"/>
          <w:lang w:val="es-ES"/>
        </w:rPr>
        <w:t xml:space="preserve"> los tributos que permitan el cumplimiento de sus funciones; y iv) parti</w:t>
      </w:r>
      <w:r w:rsidR="009E2766" w:rsidRPr="0078289D">
        <w:rPr>
          <w:rFonts w:eastAsia="Times New Roman"/>
          <w:sz w:val="28"/>
          <w:szCs w:val="28"/>
          <w:lang w:val="es-ES"/>
        </w:rPr>
        <w:t>cipar</w:t>
      </w:r>
      <w:r w:rsidR="00FB7AD8" w:rsidRPr="0078289D">
        <w:rPr>
          <w:rFonts w:eastAsia="Times New Roman"/>
          <w:sz w:val="28"/>
          <w:szCs w:val="28"/>
          <w:lang w:val="es-ES"/>
        </w:rPr>
        <w:t xml:space="preserve"> en las rentas nacionales.</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De esa manera, la jurisprudencia de esta Corte ha considerado que </w:t>
      </w:r>
      <w:r w:rsidR="00CD0FA6" w:rsidRPr="0078289D">
        <w:rPr>
          <w:rFonts w:eastAsia="Times New Roman"/>
          <w:sz w:val="28"/>
          <w:szCs w:val="28"/>
          <w:lang w:val="es-ES"/>
        </w:rPr>
        <w:t>tales</w:t>
      </w:r>
      <w:r w:rsidR="009E2766" w:rsidRPr="0078289D">
        <w:rPr>
          <w:rFonts w:eastAsia="Times New Roman"/>
          <w:sz w:val="28"/>
          <w:szCs w:val="28"/>
          <w:lang w:val="es-ES"/>
        </w:rPr>
        <w:t xml:space="preserve"> potestades, en ocasiones </w:t>
      </w:r>
      <w:r w:rsidR="00685EBD" w:rsidRPr="0078289D">
        <w:rPr>
          <w:rFonts w:eastAsia="Times New Roman"/>
          <w:sz w:val="28"/>
          <w:szCs w:val="28"/>
          <w:lang w:val="es-ES"/>
        </w:rPr>
        <w:t>denotadas analógicamente como</w:t>
      </w:r>
      <w:r w:rsidR="009E2766" w:rsidRPr="0078289D">
        <w:rPr>
          <w:rFonts w:eastAsia="Times New Roman"/>
          <w:sz w:val="28"/>
          <w:szCs w:val="28"/>
          <w:lang w:val="es-ES"/>
        </w:rPr>
        <w:t xml:space="preserve"> “</w:t>
      </w:r>
      <w:r w:rsidRPr="0078289D">
        <w:rPr>
          <w:rFonts w:eastAsia="Times New Roman"/>
          <w:sz w:val="28"/>
          <w:szCs w:val="28"/>
          <w:lang w:val="es-ES"/>
        </w:rPr>
        <w:t>derechos</w:t>
      </w:r>
      <w:r w:rsidR="009E2766" w:rsidRPr="0078289D">
        <w:rPr>
          <w:rFonts w:eastAsia="Times New Roman"/>
          <w:sz w:val="28"/>
          <w:szCs w:val="28"/>
          <w:lang w:val="es-ES"/>
        </w:rPr>
        <w:t>”</w:t>
      </w:r>
      <w:r w:rsidRPr="0078289D">
        <w:rPr>
          <w:rFonts w:eastAsia="Times New Roman"/>
          <w:sz w:val="28"/>
          <w:szCs w:val="28"/>
          <w:lang w:val="es-ES"/>
        </w:rPr>
        <w:t xml:space="preserve"> </w:t>
      </w:r>
      <w:r w:rsidR="00CD0FA6" w:rsidRPr="0078289D">
        <w:rPr>
          <w:rFonts w:eastAsia="Times New Roman"/>
          <w:sz w:val="28"/>
          <w:szCs w:val="28"/>
          <w:lang w:val="es-ES"/>
        </w:rPr>
        <w:t xml:space="preserve">de las entidades territoriales, </w:t>
      </w:r>
      <w:r w:rsidRPr="0078289D">
        <w:rPr>
          <w:rFonts w:eastAsia="Times New Roman"/>
          <w:sz w:val="28"/>
          <w:szCs w:val="28"/>
          <w:lang w:val="es-ES"/>
        </w:rPr>
        <w:t xml:space="preserve">son exigibles judicialmente, entre otros mecanismos a través de la acción pública de inconstitucionalidad, ya que los mismos conforman </w:t>
      </w:r>
      <w:r w:rsidR="00685EBD" w:rsidRPr="0078289D">
        <w:rPr>
          <w:rFonts w:eastAsia="Times New Roman"/>
          <w:sz w:val="28"/>
          <w:szCs w:val="28"/>
          <w:lang w:val="es-ES"/>
        </w:rPr>
        <w:t xml:space="preserve">lo que </w:t>
      </w:r>
      <w:r w:rsidR="000E4970" w:rsidRPr="0078289D">
        <w:rPr>
          <w:rFonts w:eastAsia="Times New Roman"/>
          <w:sz w:val="28"/>
          <w:szCs w:val="28"/>
          <w:lang w:val="es-ES"/>
        </w:rPr>
        <w:t>equivaldría</w:t>
      </w:r>
      <w:r w:rsidR="00685EBD" w:rsidRPr="0078289D">
        <w:rPr>
          <w:rFonts w:eastAsia="Times New Roman"/>
          <w:sz w:val="28"/>
          <w:szCs w:val="28"/>
          <w:lang w:val="es-ES"/>
        </w:rPr>
        <w:t xml:space="preserve"> </w:t>
      </w:r>
      <w:r w:rsidR="000E4970" w:rsidRPr="0078289D">
        <w:rPr>
          <w:rFonts w:eastAsia="Times New Roman"/>
          <w:sz w:val="28"/>
          <w:szCs w:val="28"/>
          <w:lang w:val="es-ES"/>
        </w:rPr>
        <w:t>a</w:t>
      </w:r>
      <w:r w:rsidRPr="0078289D">
        <w:rPr>
          <w:rFonts w:eastAsia="Times New Roman"/>
          <w:sz w:val="28"/>
          <w:szCs w:val="28"/>
          <w:lang w:val="es-ES"/>
        </w:rPr>
        <w:t xml:space="preserve">l </w:t>
      </w:r>
      <w:r w:rsidRPr="0078289D">
        <w:rPr>
          <w:rFonts w:eastAsia="Times New Roman"/>
          <w:i/>
          <w:sz w:val="28"/>
          <w:szCs w:val="28"/>
          <w:lang w:val="es-ES"/>
        </w:rPr>
        <w:t xml:space="preserve">núcleo esencial </w:t>
      </w:r>
      <w:r w:rsidRPr="0078289D">
        <w:rPr>
          <w:rFonts w:eastAsia="Times New Roman"/>
          <w:sz w:val="28"/>
          <w:szCs w:val="28"/>
          <w:lang w:val="es-ES"/>
        </w:rPr>
        <w:t>de</w:t>
      </w:r>
      <w:r w:rsidR="00685EBD" w:rsidRPr="0078289D">
        <w:rPr>
          <w:rFonts w:eastAsia="Times New Roman"/>
          <w:sz w:val="28"/>
          <w:szCs w:val="28"/>
          <w:lang w:val="es-ES"/>
        </w:rPr>
        <w:t xml:space="preserve"> la</w:t>
      </w:r>
      <w:r w:rsidRPr="0078289D">
        <w:rPr>
          <w:rFonts w:eastAsia="Times New Roman"/>
          <w:sz w:val="28"/>
          <w:szCs w:val="28"/>
          <w:lang w:val="es-ES"/>
        </w:rPr>
        <w:t xml:space="preserve"> autonomía de los entes territoriales.</w:t>
      </w:r>
    </w:p>
    <w:p w:rsidR="004A22F8"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i/>
          <w:sz w:val="28"/>
          <w:szCs w:val="28"/>
          <w:lang w:val="es-ES"/>
        </w:rPr>
      </w:pPr>
      <w:r w:rsidRPr="0078289D">
        <w:rPr>
          <w:rFonts w:eastAsia="Times New Roman"/>
          <w:sz w:val="28"/>
          <w:szCs w:val="28"/>
          <w:lang w:val="es-ES"/>
        </w:rPr>
        <w:t xml:space="preserve">Al respecto, la Corte ha señalado que </w:t>
      </w:r>
      <w:r w:rsidRPr="0078289D">
        <w:rPr>
          <w:rFonts w:eastAsia="Times New Roman"/>
          <w:i/>
          <w:sz w:val="28"/>
          <w:szCs w:val="28"/>
          <w:lang w:val="es-ES"/>
        </w:rPr>
        <w:t xml:space="preserve">“el núcleo esencial de la autonomía está constituido en primer término, por aquellos elementos indispensables a la propia configuración del concepto, y especialmente por los poderes de acción de que gozan las entidades territoriales para poder satisfacer sus propios intereses. En segundo lugar encontramos, la inviolabilidad por parte del legislador, de la facultad de las entidades territoriales de gobernarse por </w:t>
      </w:r>
      <w:r w:rsidRPr="0078289D">
        <w:rPr>
          <w:rFonts w:eastAsia="Times New Roman"/>
          <w:i/>
          <w:sz w:val="28"/>
          <w:szCs w:val="28"/>
          <w:lang w:val="es-ES"/>
        </w:rPr>
        <w:lastRenderedPageBreak/>
        <w:t>autoridades propias. Debe protegerse el derecho de cada entidad territorial a autodirigirse en sus particularidades a través del respeto de la facultad de dirección política que ostentan.”</w:t>
      </w:r>
      <w:r w:rsidRPr="0078289D">
        <w:rPr>
          <w:rFonts w:eastAsia="Times New Roman"/>
          <w:sz w:val="28"/>
          <w:szCs w:val="28"/>
          <w:vertAlign w:val="superscript"/>
          <w:lang w:val="es-ES"/>
        </w:rPr>
        <w:footnoteReference w:id="28"/>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_tradnl"/>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_tradnl"/>
        </w:rPr>
      </w:pPr>
      <w:r w:rsidRPr="0078289D">
        <w:rPr>
          <w:rFonts w:eastAsia="Times New Roman"/>
          <w:sz w:val="28"/>
          <w:szCs w:val="28"/>
          <w:lang w:val="es-ES_tradnl"/>
        </w:rPr>
        <w:t>Así</w:t>
      </w:r>
      <w:r w:rsidR="004A22F8" w:rsidRPr="0078289D">
        <w:rPr>
          <w:rFonts w:eastAsia="Times New Roman"/>
          <w:sz w:val="28"/>
          <w:szCs w:val="28"/>
          <w:lang w:val="es-ES_tradnl"/>
        </w:rPr>
        <w:t xml:space="preserve"> </w:t>
      </w:r>
      <w:r w:rsidRPr="0078289D">
        <w:rPr>
          <w:rFonts w:eastAsia="Times New Roman"/>
          <w:sz w:val="28"/>
          <w:szCs w:val="28"/>
          <w:lang w:val="es-ES_tradnl"/>
        </w:rPr>
        <w:t xml:space="preserve">mismo, en la </w:t>
      </w:r>
      <w:r w:rsidR="00597A02" w:rsidRPr="0078289D">
        <w:rPr>
          <w:rFonts w:eastAsia="Times New Roman"/>
          <w:b/>
          <w:sz w:val="28"/>
          <w:szCs w:val="28"/>
          <w:lang w:val="es-ES_tradnl"/>
        </w:rPr>
        <w:t>Sentencia</w:t>
      </w:r>
      <w:r w:rsidRPr="0078289D">
        <w:rPr>
          <w:rFonts w:eastAsia="Times New Roman"/>
          <w:b/>
          <w:sz w:val="28"/>
          <w:szCs w:val="28"/>
          <w:lang w:val="es-ES_tradnl"/>
        </w:rPr>
        <w:t xml:space="preserve"> C-123 de 2014</w:t>
      </w:r>
      <w:r w:rsidRPr="0078289D">
        <w:rPr>
          <w:rFonts w:eastAsia="Times New Roman"/>
          <w:sz w:val="28"/>
          <w:szCs w:val="28"/>
          <w:vertAlign w:val="superscript"/>
          <w:lang w:val="es-ES_tradnl"/>
        </w:rPr>
        <w:footnoteReference w:id="29"/>
      </w:r>
      <w:r w:rsidRPr="0078289D">
        <w:rPr>
          <w:rFonts w:eastAsia="Times New Roman"/>
          <w:sz w:val="28"/>
          <w:szCs w:val="28"/>
          <w:lang w:val="es-ES_tradnl"/>
        </w:rPr>
        <w:t xml:space="preserve"> la Corte resaltó que “</w:t>
      </w:r>
      <w:r w:rsidRPr="0078289D">
        <w:rPr>
          <w:rFonts w:eastAsia="Times New Roman"/>
          <w:i/>
          <w:sz w:val="28"/>
          <w:szCs w:val="28"/>
          <w:lang w:val="es-ES_tradnl"/>
        </w:rPr>
        <w:t>no bastará con que se alegue la existencia de un interés nacional para que una disposición legal que limita el ejercicio de competencias a entidades territoriales se entienda acorde con los preceptos constitucionales; ante un conflicto entre estos principios, los órganos de la administración, el legislador y, en última instancia, el juez de la constitucionalidad deberán evaluar si dicha limitación, que tiene como fundamento el principio de organización unitaria del Estado –artículo 1º de la Constitución-, resulta excesiva respecto del otro principio constitucional que se está limitando, es decir, del principio de autonomía territorial. En este sentido, las limitaciones a la autonomía territorial son constitucionalmente aceptables, sólo cuando se concluya que éstas son razonables y proporcionadas en el caso concreto</w:t>
      </w:r>
      <w:r w:rsidRPr="0078289D">
        <w:rPr>
          <w:rFonts w:eastAsia="Times New Roman"/>
          <w:sz w:val="28"/>
          <w:szCs w:val="28"/>
          <w:lang w:val="es-ES_tradnl"/>
        </w:rPr>
        <w:t>”.</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22.  </w:t>
      </w:r>
      <w:r w:rsidR="00C8147F" w:rsidRPr="0078289D">
        <w:rPr>
          <w:rFonts w:eastAsia="Times New Roman"/>
          <w:sz w:val="28"/>
          <w:szCs w:val="28"/>
          <w:lang w:val="es-ES"/>
        </w:rPr>
        <w:t xml:space="preserve">El Estado colombiano está organizado como república unitaria. </w:t>
      </w:r>
      <w:r w:rsidRPr="0078289D">
        <w:rPr>
          <w:rFonts w:eastAsia="Times New Roman"/>
          <w:sz w:val="28"/>
          <w:szCs w:val="28"/>
          <w:lang w:val="es-ES"/>
        </w:rPr>
        <w:t xml:space="preserve">No obstante, </w:t>
      </w:r>
      <w:r w:rsidR="00C8147F" w:rsidRPr="0078289D">
        <w:rPr>
          <w:rFonts w:eastAsia="Times New Roman"/>
          <w:sz w:val="28"/>
          <w:szCs w:val="28"/>
          <w:lang w:val="es-ES"/>
        </w:rPr>
        <w:t xml:space="preserve">también está configurado conforme al principio de descentralización, </w:t>
      </w:r>
      <w:r w:rsidR="00597A02" w:rsidRPr="0078289D">
        <w:rPr>
          <w:rFonts w:eastAsia="Times New Roman"/>
          <w:sz w:val="28"/>
          <w:szCs w:val="28"/>
          <w:lang w:val="es-ES"/>
        </w:rPr>
        <w:t>lo que</w:t>
      </w:r>
      <w:r w:rsidR="00C8147F" w:rsidRPr="0078289D">
        <w:rPr>
          <w:rFonts w:eastAsia="Times New Roman"/>
          <w:sz w:val="28"/>
          <w:szCs w:val="28"/>
          <w:lang w:val="es-ES"/>
        </w:rPr>
        <w:t xml:space="preserve"> supone</w:t>
      </w:r>
      <w:r w:rsidRPr="0078289D">
        <w:rPr>
          <w:rFonts w:eastAsia="Times New Roman"/>
          <w:sz w:val="28"/>
          <w:szCs w:val="28"/>
          <w:lang w:val="es-ES"/>
        </w:rPr>
        <w:t xml:space="preserve"> unos límites </w:t>
      </w:r>
      <w:r w:rsidR="003916A1" w:rsidRPr="0078289D">
        <w:rPr>
          <w:rFonts w:eastAsia="Times New Roman"/>
          <w:sz w:val="28"/>
          <w:szCs w:val="28"/>
          <w:lang w:val="es-ES"/>
        </w:rPr>
        <w:t>al</w:t>
      </w:r>
      <w:r w:rsidR="00C8147F" w:rsidRPr="0078289D">
        <w:rPr>
          <w:rFonts w:eastAsia="Times New Roman"/>
          <w:sz w:val="28"/>
          <w:szCs w:val="28"/>
          <w:lang w:val="es-ES"/>
        </w:rPr>
        <w:t xml:space="preserve"> carácter </w:t>
      </w:r>
      <w:r w:rsidR="000E4970" w:rsidRPr="0078289D">
        <w:rPr>
          <w:rFonts w:eastAsia="Times New Roman"/>
          <w:sz w:val="28"/>
          <w:szCs w:val="28"/>
          <w:lang w:val="es-ES"/>
        </w:rPr>
        <w:t>unitario</w:t>
      </w:r>
      <w:r w:rsidR="00D63C46" w:rsidRPr="0078289D">
        <w:rPr>
          <w:rFonts w:eastAsia="Times New Roman"/>
          <w:sz w:val="28"/>
          <w:szCs w:val="28"/>
          <w:lang w:val="es-ES"/>
        </w:rPr>
        <w:t xml:space="preserve"> del Estado.  El primer límite</w:t>
      </w:r>
      <w:r w:rsidRPr="0078289D">
        <w:rPr>
          <w:rFonts w:eastAsia="Times New Roman"/>
          <w:sz w:val="28"/>
          <w:szCs w:val="28"/>
          <w:lang w:val="es-ES"/>
        </w:rPr>
        <w:t xml:space="preserve"> </w:t>
      </w:r>
      <w:r w:rsidR="00597A02" w:rsidRPr="0078289D">
        <w:rPr>
          <w:rFonts w:eastAsia="Times New Roman"/>
          <w:sz w:val="28"/>
          <w:szCs w:val="28"/>
          <w:lang w:val="es-ES"/>
        </w:rPr>
        <w:t>implica</w:t>
      </w:r>
      <w:r w:rsidR="0071323A" w:rsidRPr="0078289D">
        <w:rPr>
          <w:rFonts w:eastAsia="Times New Roman"/>
          <w:sz w:val="28"/>
          <w:szCs w:val="28"/>
          <w:lang w:val="es-ES"/>
        </w:rPr>
        <w:t xml:space="preserve"> que la sola invocación del carácter unitario del Estado no es un principio de razón suficiente para justificar </w:t>
      </w:r>
      <w:r w:rsidR="00CC2646" w:rsidRPr="0078289D">
        <w:rPr>
          <w:rFonts w:eastAsia="Times New Roman"/>
          <w:sz w:val="28"/>
          <w:szCs w:val="28"/>
          <w:lang w:val="es-ES"/>
        </w:rPr>
        <w:t xml:space="preserve">el cambio </w:t>
      </w:r>
      <w:r w:rsidR="0071323A" w:rsidRPr="0078289D">
        <w:rPr>
          <w:rFonts w:eastAsia="Times New Roman"/>
          <w:sz w:val="28"/>
          <w:szCs w:val="28"/>
          <w:lang w:val="es-ES"/>
        </w:rPr>
        <w:t>de una competencia regional o local a una entidad nacional.</w:t>
      </w:r>
      <w:r w:rsidR="006C5412" w:rsidRPr="0078289D">
        <w:rPr>
          <w:rFonts w:eastAsia="Times New Roman"/>
          <w:sz w:val="28"/>
          <w:szCs w:val="28"/>
          <w:lang w:val="es-ES"/>
        </w:rPr>
        <w:t xml:space="preserve"> Es necesario que exista un interés constitucional superior que lo justifique. </w:t>
      </w:r>
      <w:r w:rsidRPr="0078289D">
        <w:rPr>
          <w:rFonts w:eastAsia="Times New Roman"/>
          <w:sz w:val="28"/>
          <w:szCs w:val="28"/>
          <w:lang w:val="es-ES"/>
        </w:rPr>
        <w:t xml:space="preserve"> </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Sobre el referido punto, la Corte indicó que: “</w:t>
      </w:r>
      <w:r w:rsidRPr="0078289D">
        <w:rPr>
          <w:rFonts w:eastAsia="Times New Roman"/>
          <w:i/>
          <w:sz w:val="28"/>
          <w:szCs w:val="28"/>
          <w:lang w:val="es-ES"/>
        </w:rPr>
        <w:t xml:space="preserve">… la autonomía actúa como un principio jurídico en materia de organización competencial, lo que significa que se debe realizar en la mayor medida posible, teniendo en cuenta la importancia de los bienes jurídicos que justifiquen su limitación en cada caso concreto. De tal modo, puntualizó la Corte, lo que le está vedado al Congreso es sujetar por completo a las entidades que gozan de autonomía, a los imperativos y determinaciones adoptados desde el centro. Dentro de esa línea jurisprudencial se ha fijado el criterio conforme al cual las limitaciones a la autonomía de las entidades territoriales y regionales en materias en las cuales exista concurrencia de competencias de entidades de distinto orden, deben estar justificadas en la existencia de un interés superior, y que la sola invocación del carácter unitario del Estado no justifica que se le otorgue a una autoridad nacional, el conocimiento de uno de tales asuntos en ámbitos que no trasciendan el contexto local o regional, según sea el caso. Para la Corte, ello equivale a decir que las limitaciones a la autonomía resultan constitucionalmente aceptables, cuando son razonables y proporcionadas.” </w:t>
      </w:r>
      <w:r w:rsidRPr="0078289D">
        <w:rPr>
          <w:rFonts w:eastAsia="Times New Roman"/>
          <w:sz w:val="28"/>
          <w:szCs w:val="28"/>
          <w:lang w:val="es-ES"/>
        </w:rPr>
        <w:t xml:space="preserve"> </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145B26"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El segundo límite está constituido por el conjunto de competencias y facultades otorgad</w:t>
      </w:r>
      <w:r w:rsidR="007A03D1" w:rsidRPr="0078289D">
        <w:rPr>
          <w:rFonts w:eastAsia="Times New Roman"/>
          <w:sz w:val="28"/>
          <w:szCs w:val="28"/>
          <w:lang w:val="es-ES"/>
        </w:rPr>
        <w:t>a</w:t>
      </w:r>
      <w:r w:rsidRPr="0078289D">
        <w:rPr>
          <w:rFonts w:eastAsia="Times New Roman"/>
          <w:sz w:val="28"/>
          <w:szCs w:val="28"/>
          <w:lang w:val="es-ES"/>
        </w:rPr>
        <w:t>s</w:t>
      </w:r>
      <w:r w:rsidR="00654D29" w:rsidRPr="0078289D">
        <w:rPr>
          <w:rFonts w:eastAsia="Times New Roman"/>
          <w:sz w:val="28"/>
          <w:szCs w:val="28"/>
          <w:lang w:val="es-ES"/>
        </w:rPr>
        <w:t xml:space="preserve"> </w:t>
      </w:r>
      <w:r w:rsidRPr="0078289D">
        <w:rPr>
          <w:rFonts w:eastAsia="Times New Roman"/>
          <w:sz w:val="28"/>
          <w:szCs w:val="28"/>
          <w:lang w:val="es-ES"/>
        </w:rPr>
        <w:t>por</w:t>
      </w:r>
      <w:r w:rsidR="00AA49C4" w:rsidRPr="0078289D">
        <w:rPr>
          <w:rFonts w:eastAsia="Times New Roman"/>
          <w:sz w:val="28"/>
          <w:szCs w:val="28"/>
          <w:lang w:val="es-ES"/>
        </w:rPr>
        <w:t xml:space="preserve"> el artículo 287 superior.</w:t>
      </w:r>
      <w:r w:rsidR="00654D29" w:rsidRPr="0078289D">
        <w:rPr>
          <w:rFonts w:eastAsia="Times New Roman"/>
          <w:sz w:val="28"/>
          <w:szCs w:val="28"/>
          <w:lang w:val="es-ES"/>
        </w:rPr>
        <w:t xml:space="preserve"> </w:t>
      </w:r>
      <w:r w:rsidR="00AA49C4" w:rsidRPr="0078289D">
        <w:rPr>
          <w:rFonts w:eastAsia="Times New Roman"/>
          <w:sz w:val="28"/>
          <w:szCs w:val="28"/>
          <w:lang w:val="es-ES"/>
        </w:rPr>
        <w:t>D</w:t>
      </w:r>
      <w:r w:rsidR="00654D29" w:rsidRPr="0078289D">
        <w:rPr>
          <w:rFonts w:eastAsia="Times New Roman"/>
          <w:sz w:val="28"/>
          <w:szCs w:val="28"/>
          <w:lang w:val="es-ES"/>
        </w:rPr>
        <w:t xml:space="preserve">e </w:t>
      </w:r>
      <w:r w:rsidR="00AA49C4" w:rsidRPr="0078289D">
        <w:rPr>
          <w:rFonts w:eastAsia="Times New Roman"/>
          <w:sz w:val="28"/>
          <w:szCs w:val="28"/>
          <w:lang w:val="es-ES"/>
        </w:rPr>
        <w:t>conformidad con este artículo</w:t>
      </w:r>
      <w:r w:rsidR="00654D29" w:rsidRPr="0078289D">
        <w:rPr>
          <w:rFonts w:eastAsia="Times New Roman"/>
          <w:sz w:val="28"/>
          <w:szCs w:val="28"/>
          <w:lang w:val="es-ES"/>
        </w:rPr>
        <w:t xml:space="preserve"> el </w:t>
      </w:r>
      <w:r w:rsidR="00B2770B" w:rsidRPr="0078289D">
        <w:rPr>
          <w:rFonts w:eastAsia="Times New Roman"/>
          <w:sz w:val="28"/>
          <w:szCs w:val="28"/>
          <w:lang w:val="es-ES"/>
        </w:rPr>
        <w:t>Congreso</w:t>
      </w:r>
      <w:r w:rsidR="00654D29" w:rsidRPr="0078289D">
        <w:rPr>
          <w:rFonts w:eastAsia="Times New Roman"/>
          <w:sz w:val="28"/>
          <w:szCs w:val="28"/>
          <w:lang w:val="es-ES"/>
        </w:rPr>
        <w:t xml:space="preserve"> </w:t>
      </w:r>
      <w:r w:rsidR="007A2B72" w:rsidRPr="0078289D">
        <w:rPr>
          <w:rFonts w:eastAsia="Times New Roman"/>
          <w:sz w:val="28"/>
          <w:szCs w:val="28"/>
          <w:lang w:val="es-ES"/>
        </w:rPr>
        <w:t xml:space="preserve">no puede proferir normas que impidan el ejercicio </w:t>
      </w:r>
      <w:r w:rsidR="007A2B72" w:rsidRPr="0078289D">
        <w:rPr>
          <w:rFonts w:eastAsia="Times New Roman"/>
          <w:sz w:val="28"/>
          <w:szCs w:val="28"/>
          <w:lang w:val="es-ES"/>
        </w:rPr>
        <w:lastRenderedPageBreak/>
        <w:t xml:space="preserve">efectivo de las </w:t>
      </w:r>
      <w:r w:rsidR="00AA49C4" w:rsidRPr="0078289D">
        <w:rPr>
          <w:rFonts w:eastAsia="Times New Roman"/>
          <w:sz w:val="28"/>
          <w:szCs w:val="28"/>
          <w:lang w:val="es-ES"/>
        </w:rPr>
        <w:t>competencias de las entidades territoriales</w:t>
      </w:r>
      <w:r w:rsidR="00654D29" w:rsidRPr="0078289D">
        <w:rPr>
          <w:rFonts w:eastAsia="Times New Roman"/>
          <w:sz w:val="28"/>
          <w:szCs w:val="28"/>
          <w:lang w:val="es-ES"/>
        </w:rPr>
        <w:t xml:space="preserve">, </w:t>
      </w:r>
      <w:r w:rsidR="007A2B72" w:rsidRPr="0078289D">
        <w:rPr>
          <w:rFonts w:eastAsia="Times New Roman"/>
          <w:sz w:val="28"/>
          <w:szCs w:val="28"/>
          <w:lang w:val="es-ES"/>
        </w:rPr>
        <w:t xml:space="preserve">so pena de </w:t>
      </w:r>
      <w:r w:rsidR="00145395" w:rsidRPr="0078289D">
        <w:rPr>
          <w:rFonts w:eastAsia="Times New Roman"/>
          <w:sz w:val="28"/>
          <w:szCs w:val="28"/>
          <w:lang w:val="es-ES"/>
        </w:rPr>
        <w:t xml:space="preserve">que </w:t>
      </w:r>
      <w:r w:rsidR="00AA49C4" w:rsidRPr="0078289D">
        <w:rPr>
          <w:rFonts w:eastAsia="Times New Roman"/>
          <w:sz w:val="28"/>
          <w:szCs w:val="28"/>
          <w:lang w:val="es-ES"/>
        </w:rPr>
        <w:t xml:space="preserve">tales normas </w:t>
      </w:r>
      <w:r w:rsidR="00145395" w:rsidRPr="0078289D">
        <w:rPr>
          <w:rFonts w:eastAsia="Times New Roman"/>
          <w:sz w:val="28"/>
          <w:szCs w:val="28"/>
          <w:lang w:val="es-ES"/>
        </w:rPr>
        <w:t xml:space="preserve">sean declaradas inconstitucionales. </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Como lo ha señalado la Corte en su jurisprudencia, </w:t>
      </w:r>
      <w:r w:rsidRPr="0078289D">
        <w:rPr>
          <w:rFonts w:eastAsia="Times New Roman"/>
          <w:i/>
          <w:sz w:val="28"/>
          <w:szCs w:val="28"/>
          <w:lang w:val="es-ES"/>
        </w:rPr>
        <w:t>“el núcleo esencial de la autonomía es indisponible por parte del Legislador y que su preservación es necesaria para el mantenimiento de la identidad  misma de la Carta, dado que es expresión de dos principios constitucionales de la mayor significación, como son la consagración del municipio como la entidad fundamental del ordenamiento territorial y el ejercicio de las competencias asignadas conforme a los principios de coordinación, concurrencia y subsidiaridad (CP arts 288 y 311).</w:t>
      </w:r>
      <w:r w:rsidRPr="0078289D">
        <w:rPr>
          <w:rFonts w:eastAsia="Times New Roman"/>
          <w:i/>
          <w:sz w:val="28"/>
          <w:szCs w:val="28"/>
          <w:vertAlign w:val="superscript"/>
          <w:lang w:val="es-ES"/>
        </w:rPr>
        <w:footnoteReference w:id="30"/>
      </w:r>
      <w:r w:rsidRPr="0078289D">
        <w:rPr>
          <w:rFonts w:eastAsia="Times New Roman"/>
          <w:i/>
          <w:sz w:val="28"/>
          <w:szCs w:val="28"/>
          <w:lang w:val="es-ES"/>
        </w:rPr>
        <w:t xml:space="preserve">  Por esa razón, la jurisprudencia ha puntualizado que la Constitución ha establecido una garantía institucional para la autonomía de las entidades territoriales por virtud de la cual se fija en la materia un núcleo o reducto indisponible por parte del legislador.</w:t>
      </w:r>
      <w:r w:rsidRPr="0078289D">
        <w:rPr>
          <w:rFonts w:eastAsia="Times New Roman"/>
          <w:i/>
          <w:sz w:val="28"/>
          <w:szCs w:val="28"/>
          <w:vertAlign w:val="superscript"/>
          <w:lang w:val="es-ES"/>
        </w:rPr>
        <w:footnoteReference w:id="31"/>
      </w:r>
      <w:r w:rsidRPr="0078289D">
        <w:rPr>
          <w:rFonts w:eastAsia="Times New Roman"/>
          <w:i/>
          <w:sz w:val="28"/>
          <w:szCs w:val="28"/>
          <w:lang w:val="es-ES"/>
        </w:rPr>
        <w:t xml:space="preserve"> Así, ha dicho la Corte, “… si bien la autonomía territorial puede estar regulada en cierto margen por la ley, que podrá establecer las condiciones básicas de la misma, en aras de salvaguardar el interés nacional y el principio unitario, la Constitución garantiza que el núcleo esencial de la autonomía será siempre respetado.”</w:t>
      </w:r>
      <w:r w:rsidRPr="0078289D">
        <w:rPr>
          <w:rFonts w:eastAsia="Times New Roman"/>
          <w:i/>
          <w:sz w:val="28"/>
          <w:szCs w:val="28"/>
          <w:vertAlign w:val="superscript"/>
          <w:lang w:val="es-ES"/>
        </w:rPr>
        <w:footnoteReference w:id="32"/>
      </w:r>
      <w:r w:rsidRPr="0078289D">
        <w:rPr>
          <w:rFonts w:eastAsia="Times New Roman"/>
          <w:i/>
          <w:sz w:val="28"/>
          <w:szCs w:val="28"/>
          <w:lang w:val="es-ES"/>
        </w:rPr>
        <w:t>”</w:t>
      </w:r>
      <w:r w:rsidRPr="0078289D">
        <w:rPr>
          <w:rFonts w:eastAsia="Times New Roman"/>
          <w:i/>
          <w:sz w:val="28"/>
          <w:szCs w:val="28"/>
          <w:vertAlign w:val="superscript"/>
          <w:lang w:val="es-ES"/>
        </w:rPr>
        <w:footnoteReference w:id="33"/>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 xml:space="preserve">23. El último </w:t>
      </w:r>
      <w:r w:rsidR="00707A28" w:rsidRPr="0078289D">
        <w:rPr>
          <w:rFonts w:eastAsia="Times New Roman"/>
          <w:sz w:val="28"/>
          <w:szCs w:val="28"/>
          <w:lang w:val="es-ES"/>
        </w:rPr>
        <w:t>límite</w:t>
      </w:r>
      <w:r w:rsidRPr="0078289D">
        <w:rPr>
          <w:rFonts w:eastAsia="Times New Roman"/>
          <w:sz w:val="28"/>
          <w:szCs w:val="28"/>
          <w:lang w:val="es-ES"/>
        </w:rPr>
        <w:t xml:space="preserve"> </w:t>
      </w:r>
      <w:r w:rsidR="00C801D2" w:rsidRPr="0078289D">
        <w:rPr>
          <w:rFonts w:eastAsia="Times New Roman"/>
          <w:sz w:val="28"/>
          <w:szCs w:val="28"/>
          <w:lang w:val="es-ES"/>
        </w:rPr>
        <w:t xml:space="preserve">al carácter unitario del Estado </w:t>
      </w:r>
      <w:r w:rsidRPr="0078289D">
        <w:rPr>
          <w:rFonts w:eastAsia="Times New Roman"/>
          <w:sz w:val="28"/>
          <w:szCs w:val="28"/>
          <w:lang w:val="es-ES"/>
        </w:rPr>
        <w:t xml:space="preserve">se refiere a los principios de coordinación, concurrencia y subsidiariedad, previstos </w:t>
      </w:r>
      <w:r w:rsidR="007A03D1" w:rsidRPr="0078289D">
        <w:rPr>
          <w:rFonts w:eastAsia="Times New Roman"/>
          <w:sz w:val="28"/>
          <w:szCs w:val="28"/>
          <w:lang w:val="es-ES"/>
        </w:rPr>
        <w:t>en</w:t>
      </w:r>
      <w:r w:rsidRPr="0078289D">
        <w:rPr>
          <w:rFonts w:eastAsia="Times New Roman"/>
          <w:sz w:val="28"/>
          <w:szCs w:val="28"/>
          <w:lang w:val="es-ES"/>
        </w:rPr>
        <w:t xml:space="preserve"> el </w:t>
      </w:r>
      <w:r w:rsidR="00C801D2" w:rsidRPr="0078289D">
        <w:rPr>
          <w:rFonts w:eastAsia="Times New Roman"/>
          <w:sz w:val="28"/>
          <w:szCs w:val="28"/>
          <w:lang w:val="es-ES"/>
        </w:rPr>
        <w:t>artículo 288 superior.</w:t>
      </w:r>
      <w:r w:rsidRPr="0078289D">
        <w:rPr>
          <w:rFonts w:eastAsia="Times New Roman"/>
          <w:sz w:val="28"/>
          <w:szCs w:val="28"/>
          <w:lang w:val="es-ES"/>
        </w:rPr>
        <w:t xml:space="preserve"> </w:t>
      </w:r>
      <w:r w:rsidR="00C801D2" w:rsidRPr="0078289D">
        <w:rPr>
          <w:rFonts w:eastAsia="Times New Roman"/>
          <w:sz w:val="28"/>
          <w:szCs w:val="28"/>
          <w:lang w:val="es-ES"/>
        </w:rPr>
        <w:t>Estos principios</w:t>
      </w:r>
      <w:r w:rsidRPr="0078289D">
        <w:rPr>
          <w:rFonts w:eastAsia="Times New Roman"/>
          <w:sz w:val="28"/>
          <w:szCs w:val="28"/>
          <w:lang w:val="es-ES"/>
        </w:rPr>
        <w:t xml:space="preserve"> articulan </w:t>
      </w:r>
      <w:r w:rsidR="00BD3E3B" w:rsidRPr="0078289D">
        <w:rPr>
          <w:rFonts w:eastAsia="Times New Roman"/>
          <w:sz w:val="28"/>
          <w:szCs w:val="28"/>
          <w:lang w:val="es-ES"/>
        </w:rPr>
        <w:t xml:space="preserve">la forma como el legislador debe distribuir </w:t>
      </w:r>
      <w:r w:rsidRPr="0078289D">
        <w:rPr>
          <w:rFonts w:eastAsia="Times New Roman"/>
          <w:sz w:val="28"/>
          <w:szCs w:val="28"/>
          <w:lang w:val="es-ES"/>
        </w:rPr>
        <w:t>el ejercicio de las competencias</w:t>
      </w:r>
      <w:r w:rsidR="00BD3E3B" w:rsidRPr="0078289D">
        <w:rPr>
          <w:rFonts w:eastAsia="Times New Roman"/>
          <w:sz w:val="28"/>
          <w:szCs w:val="28"/>
          <w:lang w:val="es-ES"/>
        </w:rPr>
        <w:t xml:space="preserve"> adscritas al poder central</w:t>
      </w:r>
      <w:r w:rsidRPr="0078289D">
        <w:rPr>
          <w:rFonts w:eastAsia="Times New Roman"/>
          <w:sz w:val="28"/>
          <w:szCs w:val="28"/>
          <w:lang w:val="es-ES"/>
        </w:rPr>
        <w:t xml:space="preserve"> y a las autoridades territoriales. Específicamente, el principio de coordinación parte de </w:t>
      </w:r>
      <w:r w:rsidR="00325FD5" w:rsidRPr="0078289D">
        <w:rPr>
          <w:rFonts w:eastAsia="Times New Roman"/>
          <w:sz w:val="28"/>
          <w:szCs w:val="28"/>
          <w:lang w:val="es-ES"/>
        </w:rPr>
        <w:t xml:space="preserve">que </w:t>
      </w:r>
      <w:r w:rsidR="000F2221" w:rsidRPr="0078289D">
        <w:rPr>
          <w:rFonts w:eastAsia="Times New Roman"/>
          <w:sz w:val="28"/>
          <w:szCs w:val="28"/>
          <w:lang w:val="es-ES"/>
        </w:rPr>
        <w:t xml:space="preserve">el objetivo de la descentralización territorial </w:t>
      </w:r>
      <w:r w:rsidR="00F52D1D" w:rsidRPr="0078289D">
        <w:rPr>
          <w:rFonts w:eastAsia="Times New Roman"/>
          <w:sz w:val="28"/>
          <w:szCs w:val="28"/>
          <w:lang w:val="es-ES"/>
        </w:rPr>
        <w:t>es garantizar la eficiencia en la prestación de los servicios públicos</w:t>
      </w:r>
      <w:r w:rsidR="00634278" w:rsidRPr="0078289D">
        <w:rPr>
          <w:rFonts w:eastAsia="Times New Roman"/>
          <w:sz w:val="28"/>
          <w:szCs w:val="28"/>
          <w:lang w:val="es-ES"/>
        </w:rPr>
        <w:t xml:space="preserve"> en el territorio nacional</w:t>
      </w:r>
      <w:r w:rsidR="00E4187E" w:rsidRPr="0078289D">
        <w:rPr>
          <w:rFonts w:eastAsia="Times New Roman"/>
          <w:sz w:val="28"/>
          <w:szCs w:val="28"/>
          <w:lang w:val="es-ES"/>
        </w:rPr>
        <w:t>,</w:t>
      </w:r>
      <w:r w:rsidR="00F52D1D" w:rsidRPr="0078289D">
        <w:rPr>
          <w:rFonts w:eastAsia="Times New Roman"/>
          <w:sz w:val="28"/>
          <w:szCs w:val="28"/>
          <w:lang w:val="es-ES"/>
        </w:rPr>
        <w:t xml:space="preserve"> y </w:t>
      </w:r>
      <w:r w:rsidR="00E4187E" w:rsidRPr="0078289D">
        <w:rPr>
          <w:rFonts w:eastAsia="Times New Roman"/>
          <w:sz w:val="28"/>
          <w:szCs w:val="28"/>
          <w:lang w:val="es-ES"/>
        </w:rPr>
        <w:t xml:space="preserve">que por lo tanto, </w:t>
      </w:r>
      <w:r w:rsidR="000F2221" w:rsidRPr="0078289D">
        <w:rPr>
          <w:rFonts w:eastAsia="Times New Roman"/>
          <w:sz w:val="28"/>
          <w:szCs w:val="28"/>
          <w:lang w:val="es-ES"/>
        </w:rPr>
        <w:t xml:space="preserve">la acción del Estado </w:t>
      </w:r>
      <w:r w:rsidR="001D0C2A" w:rsidRPr="0078289D">
        <w:rPr>
          <w:rFonts w:eastAsia="Times New Roman"/>
          <w:sz w:val="28"/>
          <w:szCs w:val="28"/>
          <w:lang w:val="es-ES"/>
        </w:rPr>
        <w:t xml:space="preserve">en sus distintos órdenes </w:t>
      </w:r>
      <w:r w:rsidR="00E4187E" w:rsidRPr="0078289D">
        <w:rPr>
          <w:rFonts w:eastAsia="Times New Roman"/>
          <w:sz w:val="28"/>
          <w:szCs w:val="28"/>
          <w:lang w:val="es-ES"/>
        </w:rPr>
        <w:t xml:space="preserve">debe </w:t>
      </w:r>
      <w:r w:rsidR="001D0C2A" w:rsidRPr="0078289D">
        <w:rPr>
          <w:rFonts w:eastAsia="Times New Roman"/>
          <w:sz w:val="28"/>
          <w:szCs w:val="28"/>
          <w:lang w:val="es-ES"/>
        </w:rPr>
        <w:t>estar exenta de redundancias o contradicciones que terminen frustrando el logro de los fines del Estado</w:t>
      </w:r>
      <w:r w:rsidR="007551BA" w:rsidRPr="0078289D">
        <w:rPr>
          <w:rFonts w:eastAsia="Times New Roman"/>
          <w:sz w:val="28"/>
          <w:szCs w:val="28"/>
          <w:lang w:val="es-ES"/>
        </w:rPr>
        <w:t>.</w:t>
      </w:r>
      <w:r w:rsidRPr="0078289D">
        <w:rPr>
          <w:rFonts w:eastAsia="Times New Roman"/>
          <w:sz w:val="28"/>
          <w:szCs w:val="28"/>
          <w:lang w:val="es-ES"/>
        </w:rPr>
        <w:t xml:space="preserve"> </w:t>
      </w:r>
      <w:r w:rsidR="003E5436" w:rsidRPr="0078289D">
        <w:rPr>
          <w:rFonts w:eastAsia="Times New Roman"/>
          <w:sz w:val="28"/>
          <w:szCs w:val="28"/>
          <w:lang w:val="es-ES"/>
        </w:rPr>
        <w:t>Para garantizar el principio de</w:t>
      </w:r>
      <w:r w:rsidR="00E31762" w:rsidRPr="0078289D">
        <w:rPr>
          <w:rFonts w:eastAsia="Times New Roman"/>
          <w:sz w:val="28"/>
          <w:szCs w:val="28"/>
          <w:lang w:val="es-ES"/>
        </w:rPr>
        <w:t xml:space="preserve"> colaboración armónica entre las entidades del orden nacional y las del orden</w:t>
      </w:r>
      <w:r w:rsidR="003E5436" w:rsidRPr="0078289D">
        <w:rPr>
          <w:rFonts w:eastAsia="Times New Roman"/>
          <w:sz w:val="28"/>
          <w:szCs w:val="28"/>
          <w:lang w:val="es-ES"/>
        </w:rPr>
        <w:t xml:space="preserve"> territorial</w:t>
      </w:r>
      <w:r w:rsidR="00E31762" w:rsidRPr="0078289D">
        <w:rPr>
          <w:rFonts w:eastAsia="Times New Roman"/>
          <w:sz w:val="28"/>
          <w:szCs w:val="28"/>
          <w:lang w:val="es-ES"/>
        </w:rPr>
        <w:t xml:space="preserve"> es</w:t>
      </w:r>
      <w:r w:rsidRPr="0078289D">
        <w:rPr>
          <w:rFonts w:eastAsia="Times New Roman"/>
          <w:sz w:val="28"/>
          <w:szCs w:val="28"/>
          <w:lang w:val="es-ES"/>
        </w:rPr>
        <w:t xml:space="preserve"> </w:t>
      </w:r>
      <w:r w:rsidR="00E31762" w:rsidRPr="0078289D">
        <w:rPr>
          <w:rFonts w:eastAsia="Times New Roman"/>
          <w:sz w:val="28"/>
          <w:szCs w:val="28"/>
          <w:lang w:val="es-ES"/>
        </w:rPr>
        <w:t xml:space="preserve">fundamental </w:t>
      </w:r>
      <w:r w:rsidRPr="0078289D">
        <w:rPr>
          <w:rFonts w:eastAsia="Times New Roman"/>
          <w:sz w:val="28"/>
          <w:szCs w:val="28"/>
          <w:lang w:val="es-ES"/>
        </w:rPr>
        <w:t xml:space="preserve">que la acción de los distintos órganos resulte complementaria y conducente al logro de los fines </w:t>
      </w:r>
      <w:r w:rsidR="00E31762" w:rsidRPr="0078289D">
        <w:rPr>
          <w:rFonts w:eastAsia="Times New Roman"/>
          <w:sz w:val="28"/>
          <w:szCs w:val="28"/>
          <w:lang w:val="es-ES"/>
        </w:rPr>
        <w:t>del Estado</w:t>
      </w:r>
      <w:r w:rsidRPr="0078289D">
        <w:rPr>
          <w:rFonts w:eastAsia="Times New Roman"/>
          <w:sz w:val="28"/>
          <w:szCs w:val="28"/>
          <w:lang w:val="es-ES"/>
        </w:rPr>
        <w:t>.</w:t>
      </w:r>
      <w:r w:rsidR="0001042D" w:rsidRPr="0078289D">
        <w:rPr>
          <w:rFonts w:eastAsia="Times New Roman"/>
          <w:sz w:val="28"/>
          <w:szCs w:val="28"/>
          <w:lang w:val="es-ES"/>
        </w:rPr>
        <w:t xml:space="preserve"> Ello presupone</w:t>
      </w:r>
      <w:r w:rsidR="0054126B" w:rsidRPr="0078289D">
        <w:rPr>
          <w:rFonts w:eastAsia="Times New Roman"/>
          <w:sz w:val="28"/>
          <w:szCs w:val="28"/>
          <w:lang w:val="es-ES"/>
        </w:rPr>
        <w:t xml:space="preserve"> </w:t>
      </w:r>
      <w:r w:rsidR="0001042D" w:rsidRPr="0078289D">
        <w:rPr>
          <w:rFonts w:eastAsia="Times New Roman"/>
          <w:sz w:val="28"/>
          <w:szCs w:val="28"/>
          <w:lang w:val="es-ES"/>
        </w:rPr>
        <w:t>que la ac</w:t>
      </w:r>
      <w:r w:rsidR="0054126B" w:rsidRPr="0078289D">
        <w:rPr>
          <w:rFonts w:eastAsia="Times New Roman"/>
          <w:sz w:val="28"/>
          <w:szCs w:val="28"/>
          <w:lang w:val="es-ES"/>
        </w:rPr>
        <w:t xml:space="preserve">ción de estas autoridades </w:t>
      </w:r>
      <w:r w:rsidR="003A6905" w:rsidRPr="0078289D">
        <w:rPr>
          <w:rFonts w:eastAsia="Times New Roman"/>
          <w:sz w:val="28"/>
          <w:szCs w:val="28"/>
          <w:lang w:val="es-ES"/>
        </w:rPr>
        <w:t>debe estar</w:t>
      </w:r>
      <w:r w:rsidR="0054126B" w:rsidRPr="0078289D">
        <w:rPr>
          <w:rFonts w:eastAsia="Times New Roman"/>
          <w:sz w:val="28"/>
          <w:szCs w:val="28"/>
          <w:lang w:val="es-ES"/>
        </w:rPr>
        <w:t xml:space="preserve"> encaminada a lograr una serie de objetivos comunes, </w:t>
      </w:r>
      <w:r w:rsidR="00775226" w:rsidRPr="0078289D">
        <w:rPr>
          <w:rFonts w:eastAsia="Times New Roman"/>
          <w:sz w:val="28"/>
          <w:szCs w:val="28"/>
          <w:lang w:val="es-ES"/>
        </w:rPr>
        <w:t xml:space="preserve">complementarios, </w:t>
      </w:r>
      <w:r w:rsidR="001A05C1" w:rsidRPr="0078289D">
        <w:rPr>
          <w:rFonts w:eastAsia="Times New Roman"/>
          <w:sz w:val="28"/>
          <w:szCs w:val="28"/>
          <w:lang w:val="es-ES"/>
        </w:rPr>
        <w:t xml:space="preserve">o </w:t>
      </w:r>
      <w:r w:rsidR="007D6278" w:rsidRPr="0078289D">
        <w:rPr>
          <w:rFonts w:eastAsia="Times New Roman"/>
          <w:sz w:val="28"/>
          <w:szCs w:val="28"/>
          <w:lang w:val="es-ES"/>
        </w:rPr>
        <w:t>que</w:t>
      </w:r>
      <w:r w:rsidR="00CB15B6" w:rsidRPr="0078289D">
        <w:rPr>
          <w:rFonts w:eastAsia="Times New Roman"/>
          <w:sz w:val="28"/>
          <w:szCs w:val="28"/>
          <w:lang w:val="es-ES"/>
        </w:rPr>
        <w:t xml:space="preserve"> </w:t>
      </w:r>
      <w:r w:rsidR="007D6278" w:rsidRPr="0078289D">
        <w:rPr>
          <w:rFonts w:eastAsia="Times New Roman"/>
          <w:sz w:val="28"/>
          <w:szCs w:val="28"/>
          <w:lang w:val="es-ES"/>
        </w:rPr>
        <w:t>al menos</w:t>
      </w:r>
      <w:r w:rsidR="001A05C1" w:rsidRPr="0078289D">
        <w:rPr>
          <w:rFonts w:eastAsia="Times New Roman"/>
          <w:sz w:val="28"/>
          <w:szCs w:val="28"/>
          <w:lang w:val="es-ES"/>
        </w:rPr>
        <w:t xml:space="preserve"> no </w:t>
      </w:r>
      <w:r w:rsidR="007D6278" w:rsidRPr="0078289D">
        <w:rPr>
          <w:rFonts w:eastAsia="Times New Roman"/>
          <w:sz w:val="28"/>
          <w:szCs w:val="28"/>
          <w:lang w:val="es-ES"/>
        </w:rPr>
        <w:t>resulten</w:t>
      </w:r>
      <w:r w:rsidR="001A05C1" w:rsidRPr="0078289D">
        <w:rPr>
          <w:rFonts w:eastAsia="Times New Roman"/>
          <w:sz w:val="28"/>
          <w:szCs w:val="28"/>
          <w:lang w:val="es-ES"/>
        </w:rPr>
        <w:t xml:space="preserve"> </w:t>
      </w:r>
      <w:r w:rsidR="00CB7837" w:rsidRPr="0078289D">
        <w:rPr>
          <w:rFonts w:eastAsia="Times New Roman"/>
          <w:sz w:val="28"/>
          <w:szCs w:val="28"/>
          <w:lang w:val="es-ES"/>
        </w:rPr>
        <w:t xml:space="preserve">incompatibles. </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Por su parte, el principio de concurrencia implica que</w:t>
      </w:r>
      <w:r w:rsidR="00C42513" w:rsidRPr="0078289D">
        <w:rPr>
          <w:rFonts w:eastAsia="Times New Roman"/>
          <w:sz w:val="28"/>
          <w:szCs w:val="28"/>
          <w:lang w:val="es-ES"/>
        </w:rPr>
        <w:t xml:space="preserve"> existen una serie de fines del Estado cuya realización requiere de la participación tanto de las autoridades del Estado a nivel nacional, como de las entidades del nivel territorial. Para garantizar el principio de colaboración</w:t>
      </w:r>
      <w:r w:rsidRPr="0078289D">
        <w:rPr>
          <w:rFonts w:eastAsia="Times New Roman"/>
          <w:sz w:val="28"/>
          <w:szCs w:val="28"/>
          <w:lang w:val="es-ES"/>
        </w:rPr>
        <w:t xml:space="preserve">, en determinadas materias, la actividad del Estado debe cumplirse con la participación de los distintos niveles de la Administración. Ello implica, </w:t>
      </w:r>
      <w:r w:rsidR="00183DDE" w:rsidRPr="0078289D">
        <w:rPr>
          <w:rFonts w:eastAsia="Times New Roman"/>
          <w:sz w:val="28"/>
          <w:szCs w:val="28"/>
          <w:lang w:val="es-ES"/>
        </w:rPr>
        <w:t xml:space="preserve">que el Legislador debe distribuir las competencias de las entidades </w:t>
      </w:r>
      <w:r w:rsidR="00877343" w:rsidRPr="0078289D">
        <w:rPr>
          <w:rFonts w:eastAsia="Times New Roman"/>
          <w:sz w:val="28"/>
          <w:szCs w:val="28"/>
          <w:lang w:val="es-ES"/>
        </w:rPr>
        <w:t xml:space="preserve">nacionales y </w:t>
      </w:r>
      <w:r w:rsidR="00183DDE" w:rsidRPr="0078289D">
        <w:rPr>
          <w:rFonts w:eastAsia="Times New Roman"/>
          <w:sz w:val="28"/>
          <w:szCs w:val="28"/>
          <w:lang w:val="es-ES"/>
        </w:rPr>
        <w:t xml:space="preserve">territoriales </w:t>
      </w:r>
      <w:r w:rsidR="00CB15B6" w:rsidRPr="0078289D">
        <w:rPr>
          <w:rFonts w:eastAsia="Times New Roman"/>
          <w:sz w:val="28"/>
          <w:szCs w:val="28"/>
          <w:lang w:val="es-ES"/>
        </w:rPr>
        <w:t>garantizando a cada or</w:t>
      </w:r>
      <w:r w:rsidR="007D6278" w:rsidRPr="0078289D">
        <w:rPr>
          <w:rFonts w:eastAsia="Times New Roman"/>
          <w:sz w:val="28"/>
          <w:szCs w:val="28"/>
          <w:lang w:val="es-ES"/>
        </w:rPr>
        <w:t>den el ámbito de su autonomía co</w:t>
      </w:r>
      <w:r w:rsidR="00CB15B6" w:rsidRPr="0078289D">
        <w:rPr>
          <w:rFonts w:eastAsia="Times New Roman"/>
          <w:sz w:val="28"/>
          <w:szCs w:val="28"/>
          <w:lang w:val="es-ES"/>
        </w:rPr>
        <w:t>nstitucional.</w:t>
      </w:r>
      <w:r w:rsidR="00DB502C" w:rsidRPr="0078289D">
        <w:rPr>
          <w:rFonts w:eastAsia="Times New Roman"/>
          <w:sz w:val="28"/>
          <w:szCs w:val="28"/>
          <w:lang w:val="es-ES"/>
        </w:rPr>
        <w:t xml:space="preserve"> </w:t>
      </w:r>
      <w:r w:rsidR="00E56E7A" w:rsidRPr="0078289D">
        <w:rPr>
          <w:rFonts w:eastAsia="Times New Roman"/>
          <w:sz w:val="28"/>
          <w:szCs w:val="28"/>
          <w:lang w:val="es-ES"/>
        </w:rPr>
        <w:t xml:space="preserve">Para </w:t>
      </w:r>
      <w:r w:rsidR="00E56E7A" w:rsidRPr="0078289D">
        <w:rPr>
          <w:rFonts w:eastAsia="Times New Roman"/>
          <w:sz w:val="28"/>
          <w:szCs w:val="28"/>
          <w:lang w:val="es-ES"/>
        </w:rPr>
        <w:lastRenderedPageBreak/>
        <w:t>preservar la eficacia del principio de coordinación es necesario que la ley garantice que el ejercicio de las facultades legales otorgadas a unas autoridades no termine por impedir el ejercicio de las facultades y competencias constitucionales de la otra.</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C1E7F"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E</w:t>
      </w:r>
      <w:r w:rsidR="00654D29" w:rsidRPr="0078289D">
        <w:rPr>
          <w:rFonts w:eastAsia="Times New Roman"/>
          <w:sz w:val="28"/>
          <w:szCs w:val="28"/>
          <w:lang w:val="es-ES"/>
        </w:rPr>
        <w:t xml:space="preserve">l principio de subsidiariedad </w:t>
      </w:r>
      <w:r w:rsidRPr="0078289D">
        <w:rPr>
          <w:rFonts w:eastAsia="Times New Roman"/>
          <w:sz w:val="28"/>
          <w:szCs w:val="28"/>
          <w:lang w:val="es-ES"/>
        </w:rPr>
        <w:t xml:space="preserve">es un corolario del </w:t>
      </w:r>
      <w:r w:rsidR="00337CEA" w:rsidRPr="0078289D">
        <w:rPr>
          <w:rFonts w:eastAsia="Times New Roman"/>
          <w:sz w:val="28"/>
          <w:szCs w:val="28"/>
          <w:lang w:val="es-ES"/>
        </w:rPr>
        <w:t>carácter</w:t>
      </w:r>
      <w:r w:rsidRPr="0078289D">
        <w:rPr>
          <w:rFonts w:eastAsia="Times New Roman"/>
          <w:sz w:val="28"/>
          <w:szCs w:val="28"/>
          <w:lang w:val="es-ES"/>
        </w:rPr>
        <w:t xml:space="preserve"> democrático</w:t>
      </w:r>
      <w:r w:rsidR="00337CEA" w:rsidRPr="0078289D">
        <w:rPr>
          <w:rFonts w:eastAsia="Times New Roman"/>
          <w:sz w:val="28"/>
          <w:szCs w:val="28"/>
          <w:lang w:val="es-ES"/>
        </w:rPr>
        <w:t xml:space="preserve"> del Estado</w:t>
      </w:r>
      <w:r w:rsidR="00D44575" w:rsidRPr="0078289D">
        <w:rPr>
          <w:rFonts w:eastAsia="Times New Roman"/>
          <w:sz w:val="28"/>
          <w:szCs w:val="28"/>
          <w:lang w:val="es-ES"/>
        </w:rPr>
        <w:t>.</w:t>
      </w:r>
      <w:r w:rsidRPr="0078289D">
        <w:rPr>
          <w:rFonts w:eastAsia="Times New Roman"/>
          <w:sz w:val="28"/>
          <w:szCs w:val="28"/>
          <w:lang w:val="es-ES"/>
        </w:rPr>
        <w:t xml:space="preserve"> </w:t>
      </w:r>
      <w:r w:rsidR="00D44575" w:rsidRPr="0078289D">
        <w:rPr>
          <w:rFonts w:eastAsia="Times New Roman"/>
          <w:sz w:val="28"/>
          <w:szCs w:val="28"/>
          <w:lang w:val="es-ES"/>
        </w:rPr>
        <w:t>En su dimensión positiva, s</w:t>
      </w:r>
      <w:r w:rsidR="00337CEA" w:rsidRPr="0078289D">
        <w:rPr>
          <w:rFonts w:eastAsia="Times New Roman"/>
          <w:sz w:val="28"/>
          <w:szCs w:val="28"/>
          <w:lang w:val="es-ES"/>
        </w:rPr>
        <w:t>ignifica</w:t>
      </w:r>
      <w:r w:rsidRPr="0078289D">
        <w:rPr>
          <w:rFonts w:eastAsia="Times New Roman"/>
          <w:sz w:val="28"/>
          <w:szCs w:val="28"/>
          <w:lang w:val="es-ES"/>
        </w:rPr>
        <w:t xml:space="preserve"> </w:t>
      </w:r>
      <w:r w:rsidR="007431AB" w:rsidRPr="0078289D">
        <w:rPr>
          <w:rFonts w:eastAsia="Times New Roman"/>
          <w:sz w:val="28"/>
          <w:szCs w:val="28"/>
          <w:lang w:val="es-ES"/>
        </w:rPr>
        <w:t xml:space="preserve">que </w:t>
      </w:r>
      <w:r w:rsidR="00550DDA" w:rsidRPr="0078289D">
        <w:rPr>
          <w:rFonts w:eastAsia="Times New Roman"/>
          <w:sz w:val="28"/>
          <w:szCs w:val="28"/>
          <w:lang w:val="es-ES"/>
        </w:rPr>
        <w:t>el legislador debe</w:t>
      </w:r>
      <w:r w:rsidRPr="0078289D">
        <w:rPr>
          <w:rFonts w:eastAsia="Times New Roman"/>
          <w:sz w:val="28"/>
          <w:szCs w:val="28"/>
          <w:lang w:val="es-ES"/>
        </w:rPr>
        <w:t xml:space="preserve"> </w:t>
      </w:r>
      <w:r w:rsidR="00550DDA" w:rsidRPr="0078289D">
        <w:rPr>
          <w:rFonts w:eastAsia="Times New Roman"/>
          <w:sz w:val="28"/>
          <w:szCs w:val="28"/>
          <w:lang w:val="es-ES"/>
        </w:rPr>
        <w:t xml:space="preserve">distribuir las </w:t>
      </w:r>
      <w:r w:rsidRPr="0078289D">
        <w:rPr>
          <w:rFonts w:eastAsia="Times New Roman"/>
          <w:sz w:val="28"/>
          <w:szCs w:val="28"/>
          <w:lang w:val="es-ES"/>
        </w:rPr>
        <w:t>competencias</w:t>
      </w:r>
      <w:r w:rsidR="00954EDB" w:rsidRPr="0078289D">
        <w:rPr>
          <w:rFonts w:eastAsia="Times New Roman"/>
          <w:sz w:val="28"/>
          <w:szCs w:val="28"/>
          <w:lang w:val="es-ES"/>
        </w:rPr>
        <w:t xml:space="preserve"> </w:t>
      </w:r>
      <w:r w:rsidR="00550DDA" w:rsidRPr="0078289D">
        <w:rPr>
          <w:rFonts w:eastAsia="Times New Roman"/>
          <w:sz w:val="28"/>
          <w:szCs w:val="28"/>
          <w:lang w:val="es-ES"/>
        </w:rPr>
        <w:t>privilegiando</w:t>
      </w:r>
      <w:r w:rsidR="00654D29" w:rsidRPr="0078289D">
        <w:rPr>
          <w:rFonts w:eastAsia="Times New Roman"/>
          <w:sz w:val="28"/>
          <w:szCs w:val="28"/>
          <w:lang w:val="es-ES"/>
        </w:rPr>
        <w:t xml:space="preserve"> el</w:t>
      </w:r>
      <w:r w:rsidR="007D6278" w:rsidRPr="0078289D">
        <w:rPr>
          <w:rFonts w:eastAsia="Times New Roman"/>
          <w:sz w:val="28"/>
          <w:szCs w:val="28"/>
          <w:lang w:val="es-ES"/>
        </w:rPr>
        <w:t xml:space="preserve"> nivel más próximo al ciudadano.</w:t>
      </w:r>
      <w:r w:rsidR="00654D29" w:rsidRPr="0078289D">
        <w:rPr>
          <w:rFonts w:eastAsia="Times New Roman"/>
          <w:sz w:val="28"/>
          <w:szCs w:val="28"/>
          <w:lang w:val="es-ES"/>
        </w:rPr>
        <w:t xml:space="preserve"> </w:t>
      </w:r>
      <w:r w:rsidR="00D94092" w:rsidRPr="0078289D">
        <w:rPr>
          <w:rFonts w:eastAsia="Times New Roman"/>
          <w:sz w:val="28"/>
          <w:szCs w:val="28"/>
          <w:lang w:val="es-ES"/>
        </w:rPr>
        <w:t>Con todo, e</w:t>
      </w:r>
      <w:r w:rsidR="007D6278" w:rsidRPr="0078289D">
        <w:rPr>
          <w:rFonts w:eastAsia="Times New Roman"/>
          <w:sz w:val="28"/>
          <w:szCs w:val="28"/>
          <w:lang w:val="es-ES"/>
        </w:rPr>
        <w:t>ste principio</w:t>
      </w:r>
      <w:r w:rsidR="00654D29" w:rsidRPr="0078289D">
        <w:rPr>
          <w:rFonts w:eastAsia="Times New Roman"/>
          <w:sz w:val="28"/>
          <w:szCs w:val="28"/>
          <w:lang w:val="es-ES"/>
        </w:rPr>
        <w:t xml:space="preserve"> es </w:t>
      </w:r>
      <w:r w:rsidR="002F35F4" w:rsidRPr="0078289D">
        <w:rPr>
          <w:rFonts w:eastAsia="Times New Roman"/>
          <w:sz w:val="28"/>
          <w:szCs w:val="28"/>
          <w:lang w:val="es-ES"/>
        </w:rPr>
        <w:t xml:space="preserve">también </w:t>
      </w:r>
      <w:r w:rsidR="00654D29" w:rsidRPr="0078289D">
        <w:rPr>
          <w:rFonts w:eastAsia="Times New Roman"/>
          <w:sz w:val="28"/>
          <w:szCs w:val="28"/>
          <w:lang w:val="es-ES"/>
        </w:rPr>
        <w:t xml:space="preserve">expresión del </w:t>
      </w:r>
      <w:r w:rsidR="002F35F4" w:rsidRPr="0078289D">
        <w:rPr>
          <w:rFonts w:eastAsia="Times New Roman"/>
          <w:sz w:val="28"/>
          <w:szCs w:val="28"/>
          <w:lang w:val="es-ES"/>
        </w:rPr>
        <w:t>principio de eficiencia</w:t>
      </w:r>
      <w:r w:rsidR="00654D29" w:rsidRPr="0078289D">
        <w:rPr>
          <w:rFonts w:eastAsia="Times New Roman"/>
          <w:sz w:val="28"/>
          <w:szCs w:val="28"/>
          <w:lang w:val="es-ES"/>
        </w:rPr>
        <w:t xml:space="preserve"> administrativa, en la medida en que</w:t>
      </w:r>
      <w:r w:rsidR="00D44575" w:rsidRPr="0078289D">
        <w:rPr>
          <w:rFonts w:eastAsia="Times New Roman"/>
          <w:sz w:val="28"/>
          <w:szCs w:val="28"/>
          <w:lang w:val="es-ES"/>
        </w:rPr>
        <w:t>, comparativamente,</w:t>
      </w:r>
      <w:r w:rsidR="00654D29" w:rsidRPr="0078289D">
        <w:rPr>
          <w:rFonts w:eastAsia="Times New Roman"/>
          <w:sz w:val="28"/>
          <w:szCs w:val="28"/>
          <w:lang w:val="es-ES"/>
        </w:rPr>
        <w:t xml:space="preserve"> </w:t>
      </w:r>
      <w:r w:rsidR="00A81E43" w:rsidRPr="0078289D">
        <w:rPr>
          <w:rFonts w:eastAsia="Times New Roman"/>
          <w:sz w:val="28"/>
          <w:szCs w:val="28"/>
          <w:lang w:val="es-ES"/>
        </w:rPr>
        <w:t>l</w:t>
      </w:r>
      <w:r w:rsidR="00654D29" w:rsidRPr="0078289D">
        <w:rPr>
          <w:rFonts w:eastAsia="Times New Roman"/>
          <w:sz w:val="28"/>
          <w:szCs w:val="28"/>
          <w:lang w:val="es-ES"/>
        </w:rPr>
        <w:t xml:space="preserve">as autoridades </w:t>
      </w:r>
      <w:r w:rsidR="00D11701" w:rsidRPr="0078289D">
        <w:rPr>
          <w:rFonts w:eastAsia="Times New Roman"/>
          <w:sz w:val="28"/>
          <w:szCs w:val="28"/>
          <w:lang w:val="es-ES"/>
        </w:rPr>
        <w:t xml:space="preserve">territoriales suelen estar </w:t>
      </w:r>
      <w:r w:rsidR="002F35F4" w:rsidRPr="0078289D">
        <w:rPr>
          <w:rFonts w:eastAsia="Times New Roman"/>
          <w:sz w:val="28"/>
          <w:szCs w:val="28"/>
          <w:lang w:val="es-ES"/>
        </w:rPr>
        <w:t xml:space="preserve">en una </w:t>
      </w:r>
      <w:r w:rsidR="00D11701" w:rsidRPr="0078289D">
        <w:rPr>
          <w:rFonts w:eastAsia="Times New Roman"/>
          <w:sz w:val="28"/>
          <w:szCs w:val="28"/>
          <w:lang w:val="es-ES"/>
        </w:rPr>
        <w:t xml:space="preserve">mejor </w:t>
      </w:r>
      <w:r w:rsidR="00654D29" w:rsidRPr="0078289D">
        <w:rPr>
          <w:rFonts w:eastAsia="Times New Roman"/>
          <w:sz w:val="28"/>
          <w:szCs w:val="28"/>
          <w:lang w:val="es-ES"/>
        </w:rPr>
        <w:t xml:space="preserve"> </w:t>
      </w:r>
      <w:r w:rsidR="002F35F4" w:rsidRPr="0078289D">
        <w:rPr>
          <w:rFonts w:eastAsia="Times New Roman"/>
          <w:sz w:val="28"/>
          <w:szCs w:val="28"/>
          <w:lang w:val="es-ES"/>
        </w:rPr>
        <w:t xml:space="preserve">situación </w:t>
      </w:r>
      <w:r w:rsidR="003A74A2" w:rsidRPr="0078289D">
        <w:rPr>
          <w:rFonts w:eastAsia="Times New Roman"/>
          <w:sz w:val="28"/>
          <w:szCs w:val="28"/>
          <w:lang w:val="es-ES"/>
        </w:rPr>
        <w:t xml:space="preserve">operativa </w:t>
      </w:r>
      <w:r w:rsidR="00D44575" w:rsidRPr="0078289D">
        <w:rPr>
          <w:rFonts w:eastAsia="Times New Roman"/>
          <w:sz w:val="28"/>
          <w:szCs w:val="28"/>
          <w:lang w:val="es-ES"/>
        </w:rPr>
        <w:t xml:space="preserve">para satisfacer las necesidades </w:t>
      </w:r>
      <w:r w:rsidR="003A74A2" w:rsidRPr="0078289D">
        <w:rPr>
          <w:rFonts w:eastAsia="Times New Roman"/>
          <w:sz w:val="28"/>
          <w:szCs w:val="28"/>
          <w:lang w:val="es-ES"/>
        </w:rPr>
        <w:t xml:space="preserve">ordinarias </w:t>
      </w:r>
      <w:r w:rsidR="00D44575" w:rsidRPr="0078289D">
        <w:rPr>
          <w:rFonts w:eastAsia="Times New Roman"/>
          <w:sz w:val="28"/>
          <w:szCs w:val="28"/>
          <w:lang w:val="es-ES"/>
        </w:rPr>
        <w:t xml:space="preserve">de los </w:t>
      </w:r>
      <w:r w:rsidR="00654D29" w:rsidRPr="0078289D">
        <w:rPr>
          <w:rFonts w:eastAsia="Times New Roman"/>
          <w:sz w:val="28"/>
          <w:szCs w:val="28"/>
          <w:lang w:val="es-ES"/>
        </w:rPr>
        <w:t>ciudadanos</w:t>
      </w:r>
      <w:r w:rsidR="00D94092" w:rsidRPr="0078289D">
        <w:rPr>
          <w:rFonts w:eastAsia="Times New Roman"/>
          <w:sz w:val="28"/>
          <w:szCs w:val="28"/>
          <w:lang w:val="es-ES"/>
        </w:rPr>
        <w:t xml:space="preserve"> dentro de su territorio</w:t>
      </w:r>
      <w:r w:rsidR="00654D29" w:rsidRPr="0078289D">
        <w:rPr>
          <w:rFonts w:eastAsia="Times New Roman"/>
          <w:sz w:val="28"/>
          <w:szCs w:val="28"/>
          <w:lang w:val="es-ES"/>
        </w:rPr>
        <w:t>. A su vez, en su dimensión negativa, el principio de subsidiariedad</w:t>
      </w:r>
      <w:r w:rsidR="00634BFB" w:rsidRPr="0078289D">
        <w:rPr>
          <w:rFonts w:eastAsia="Times New Roman"/>
          <w:sz w:val="28"/>
          <w:szCs w:val="28"/>
          <w:lang w:val="es-ES"/>
        </w:rPr>
        <w:t xml:space="preserve"> implica que las autoridades nacionales y departamentales </w:t>
      </w:r>
      <w:r w:rsidR="00654D29" w:rsidRPr="0078289D">
        <w:rPr>
          <w:rFonts w:eastAsia="Times New Roman"/>
          <w:sz w:val="28"/>
          <w:szCs w:val="28"/>
          <w:lang w:val="es-ES"/>
        </w:rPr>
        <w:t xml:space="preserve">sólo pueden intervenir en los asuntos </w:t>
      </w:r>
      <w:r w:rsidR="00634BFB" w:rsidRPr="0078289D">
        <w:rPr>
          <w:rFonts w:eastAsia="Times New Roman"/>
          <w:sz w:val="28"/>
          <w:szCs w:val="28"/>
          <w:lang w:val="es-ES"/>
        </w:rPr>
        <w:t>que hacen parte de las competencias</w:t>
      </w:r>
      <w:r w:rsidR="00654D29" w:rsidRPr="0078289D">
        <w:rPr>
          <w:rFonts w:eastAsia="Times New Roman"/>
          <w:sz w:val="28"/>
          <w:szCs w:val="28"/>
          <w:lang w:val="es-ES"/>
        </w:rPr>
        <w:t xml:space="preserve"> de </w:t>
      </w:r>
      <w:r w:rsidR="00D51340" w:rsidRPr="0078289D">
        <w:rPr>
          <w:rFonts w:eastAsia="Times New Roman"/>
          <w:sz w:val="28"/>
          <w:szCs w:val="28"/>
          <w:lang w:val="es-ES"/>
        </w:rPr>
        <w:t>las entidades municipales</w:t>
      </w:r>
      <w:r w:rsidR="00654D29" w:rsidRPr="0078289D">
        <w:rPr>
          <w:rFonts w:eastAsia="Times New Roman"/>
          <w:sz w:val="28"/>
          <w:szCs w:val="28"/>
          <w:lang w:val="es-ES"/>
        </w:rPr>
        <w:t xml:space="preserve"> cuando éstas </w:t>
      </w:r>
      <w:r w:rsidR="00D51340" w:rsidRPr="0078289D">
        <w:rPr>
          <w:rFonts w:eastAsia="Times New Roman"/>
          <w:sz w:val="28"/>
          <w:szCs w:val="28"/>
          <w:lang w:val="es-ES"/>
        </w:rPr>
        <w:t>sean</w:t>
      </w:r>
      <w:r w:rsidR="00654D29" w:rsidRPr="0078289D">
        <w:rPr>
          <w:rFonts w:eastAsia="Times New Roman"/>
          <w:sz w:val="28"/>
          <w:szCs w:val="28"/>
          <w:lang w:val="es-ES"/>
        </w:rPr>
        <w:t xml:space="preserve"> incapaces o ineficientes </w:t>
      </w:r>
      <w:r w:rsidR="00D51340" w:rsidRPr="0078289D">
        <w:rPr>
          <w:rFonts w:eastAsia="Times New Roman"/>
          <w:sz w:val="28"/>
          <w:szCs w:val="28"/>
          <w:lang w:val="es-ES"/>
        </w:rPr>
        <w:t>en la gestión de</w:t>
      </w:r>
      <w:r w:rsidR="00654D29" w:rsidRPr="0078289D">
        <w:rPr>
          <w:rFonts w:eastAsia="Times New Roman"/>
          <w:sz w:val="28"/>
          <w:szCs w:val="28"/>
          <w:lang w:val="es-ES"/>
        </w:rPr>
        <w:t xml:space="preserve"> sus responsabilidades</w:t>
      </w:r>
      <w:r w:rsidR="00654D29" w:rsidRPr="0078289D">
        <w:rPr>
          <w:rFonts w:eastAsia="Times New Roman"/>
          <w:sz w:val="28"/>
          <w:szCs w:val="28"/>
          <w:vertAlign w:val="superscript"/>
          <w:lang w:val="es-ES"/>
        </w:rPr>
        <w:footnoteReference w:id="34"/>
      </w:r>
      <w:r w:rsidR="00654D29" w:rsidRPr="0078289D">
        <w:rPr>
          <w:rFonts w:eastAsia="Times New Roman"/>
          <w:sz w:val="28"/>
          <w:szCs w:val="28"/>
          <w:lang w:val="es-ES"/>
        </w:rPr>
        <w:t>.</w:t>
      </w:r>
    </w:p>
    <w:p w:rsidR="004A22F8" w:rsidRPr="0078289D" w:rsidRDefault="004A22F8"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CO" w:eastAsia="es-ES"/>
        </w:rPr>
      </w:pPr>
    </w:p>
    <w:p w:rsidR="0073262D"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ES_tradnl" w:eastAsia="es-CO"/>
        </w:rPr>
      </w:pPr>
      <w:r w:rsidRPr="0078289D">
        <w:rPr>
          <w:rFonts w:eastAsia="Times New Roman"/>
          <w:sz w:val="28"/>
          <w:szCs w:val="28"/>
          <w:lang w:val="es-CO" w:eastAsia="es-ES"/>
        </w:rPr>
        <w:t xml:space="preserve">24. En conclusión, </w:t>
      </w:r>
      <w:r w:rsidR="005C6FCE" w:rsidRPr="0078289D">
        <w:rPr>
          <w:rFonts w:eastAsia="Times New Roman"/>
          <w:sz w:val="28"/>
          <w:szCs w:val="28"/>
          <w:lang w:val="es-CO" w:eastAsia="es-ES"/>
        </w:rPr>
        <w:t xml:space="preserve">en virtud de los principios anteriormente mencionados, </w:t>
      </w:r>
      <w:r w:rsidRPr="0078289D">
        <w:rPr>
          <w:rFonts w:eastAsia="Times New Roman"/>
          <w:sz w:val="28"/>
          <w:szCs w:val="28"/>
          <w:lang w:val="es-ES_tradnl" w:eastAsia="es-CO"/>
        </w:rPr>
        <w:t>el carácter unitario del Estado colombiano</w:t>
      </w:r>
      <w:r w:rsidR="004E1351" w:rsidRPr="0078289D">
        <w:rPr>
          <w:rFonts w:eastAsia="Times New Roman"/>
          <w:sz w:val="28"/>
          <w:szCs w:val="28"/>
          <w:lang w:val="es-ES_tradnl" w:eastAsia="es-CO"/>
        </w:rPr>
        <w:t xml:space="preserve"> </w:t>
      </w:r>
      <w:r w:rsidRPr="0078289D">
        <w:rPr>
          <w:rFonts w:eastAsia="Times New Roman"/>
          <w:sz w:val="28"/>
          <w:szCs w:val="28"/>
          <w:lang w:val="es-ES_tradnl" w:eastAsia="es-CO"/>
        </w:rPr>
        <w:t xml:space="preserve">no </w:t>
      </w:r>
      <w:r w:rsidR="00F93984" w:rsidRPr="0078289D">
        <w:rPr>
          <w:rFonts w:eastAsia="Times New Roman"/>
          <w:sz w:val="28"/>
          <w:szCs w:val="28"/>
          <w:lang w:val="es-ES_tradnl" w:eastAsia="es-CO"/>
        </w:rPr>
        <w:t>constituye un fundamento suficiente</w:t>
      </w:r>
      <w:r w:rsidRPr="0078289D">
        <w:rPr>
          <w:rFonts w:eastAsia="Times New Roman"/>
          <w:sz w:val="28"/>
          <w:szCs w:val="28"/>
          <w:lang w:val="es-ES_tradnl" w:eastAsia="es-CO"/>
        </w:rPr>
        <w:t xml:space="preserve"> para desconocer la capacidad de autogestión </w:t>
      </w:r>
      <w:r w:rsidR="004E1351" w:rsidRPr="0078289D">
        <w:rPr>
          <w:rFonts w:eastAsia="Times New Roman"/>
          <w:sz w:val="28"/>
          <w:szCs w:val="28"/>
          <w:lang w:val="es-ES_tradnl" w:eastAsia="es-CO"/>
        </w:rPr>
        <w:t>que la Constitución les otorga a</w:t>
      </w:r>
      <w:r w:rsidRPr="0078289D">
        <w:rPr>
          <w:rFonts w:eastAsia="Times New Roman"/>
          <w:sz w:val="28"/>
          <w:szCs w:val="28"/>
          <w:lang w:val="es-ES_tradnl" w:eastAsia="es-CO"/>
        </w:rPr>
        <w:t xml:space="preserve"> </w:t>
      </w:r>
      <w:r w:rsidR="00A432BC" w:rsidRPr="0078289D">
        <w:rPr>
          <w:rFonts w:eastAsia="Times New Roman"/>
          <w:sz w:val="28"/>
          <w:szCs w:val="28"/>
          <w:lang w:val="es-ES_tradnl" w:eastAsia="es-CO"/>
        </w:rPr>
        <w:t>las entidades territoriales. A</w:t>
      </w:r>
      <w:r w:rsidRPr="0078289D">
        <w:rPr>
          <w:rFonts w:eastAsia="Times New Roman"/>
          <w:sz w:val="28"/>
          <w:szCs w:val="28"/>
          <w:lang w:val="es-ES_tradnl" w:eastAsia="es-CO"/>
        </w:rPr>
        <w:t xml:space="preserve"> su turno, la autonomía de las entidades territoriales no puede ser entendida de manera omnímoda, hasta el punto de hacer nugatorias las competencias </w:t>
      </w:r>
      <w:r w:rsidR="00F93984" w:rsidRPr="0078289D">
        <w:rPr>
          <w:rFonts w:eastAsia="Times New Roman"/>
          <w:sz w:val="28"/>
          <w:szCs w:val="28"/>
          <w:lang w:val="es-ES_tradnl" w:eastAsia="es-CO"/>
        </w:rPr>
        <w:t>constitucionales</w:t>
      </w:r>
      <w:r w:rsidRPr="0078289D">
        <w:rPr>
          <w:rFonts w:eastAsia="Times New Roman"/>
          <w:sz w:val="28"/>
          <w:szCs w:val="28"/>
          <w:lang w:val="es-ES_tradnl" w:eastAsia="es-CO"/>
        </w:rPr>
        <w:t xml:space="preserve"> de las </w:t>
      </w:r>
      <w:r w:rsidR="00F93984" w:rsidRPr="0078289D">
        <w:rPr>
          <w:rFonts w:eastAsia="Times New Roman"/>
          <w:sz w:val="28"/>
          <w:szCs w:val="28"/>
          <w:lang w:val="es-ES_tradnl" w:eastAsia="es-CO"/>
        </w:rPr>
        <w:t>autoridades</w:t>
      </w:r>
      <w:r w:rsidRPr="0078289D">
        <w:rPr>
          <w:rFonts w:eastAsia="Times New Roman"/>
          <w:sz w:val="28"/>
          <w:szCs w:val="28"/>
          <w:lang w:val="es-ES_tradnl" w:eastAsia="es-CO"/>
        </w:rPr>
        <w:t xml:space="preserve"> </w:t>
      </w:r>
      <w:r w:rsidR="0073262D" w:rsidRPr="0078289D">
        <w:rPr>
          <w:rFonts w:eastAsia="Times New Roman"/>
          <w:sz w:val="28"/>
          <w:szCs w:val="28"/>
          <w:lang w:val="es-ES_tradnl" w:eastAsia="es-CO"/>
        </w:rPr>
        <w:t>nacionales</w:t>
      </w:r>
      <w:r w:rsidRPr="0078289D">
        <w:rPr>
          <w:rFonts w:eastAsia="Times New Roman"/>
          <w:sz w:val="28"/>
          <w:szCs w:val="28"/>
          <w:vertAlign w:val="superscript"/>
          <w:lang w:val="es-ES_tradnl" w:eastAsia="es-CO"/>
        </w:rPr>
        <w:footnoteReference w:id="35"/>
      </w:r>
      <w:r w:rsidRPr="0078289D">
        <w:rPr>
          <w:rFonts w:eastAsia="Times New Roman"/>
          <w:sz w:val="28"/>
          <w:szCs w:val="28"/>
          <w:lang w:val="es-ES_tradnl" w:eastAsia="es-CO"/>
        </w:rPr>
        <w:t>.</w:t>
      </w:r>
      <w:r w:rsidR="007A03D1" w:rsidRPr="0078289D">
        <w:rPr>
          <w:rFonts w:eastAsia="Times New Roman"/>
          <w:sz w:val="28"/>
          <w:szCs w:val="28"/>
          <w:lang w:val="es-ES_tradnl" w:eastAsia="es-CO"/>
        </w:rPr>
        <w:t xml:space="preserve"> </w:t>
      </w:r>
    </w:p>
    <w:p w:rsidR="0073262D" w:rsidRPr="0078289D" w:rsidRDefault="0073262D"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ES_tradnl" w:eastAsia="es-CO"/>
        </w:rPr>
      </w:pPr>
    </w:p>
    <w:p w:rsidR="00654D29" w:rsidRPr="0078289D" w:rsidRDefault="0073262D"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ES_tradnl" w:eastAsia="es-CO"/>
        </w:rPr>
      </w:pPr>
      <w:r w:rsidRPr="0078289D">
        <w:rPr>
          <w:rFonts w:eastAsia="Times New Roman"/>
          <w:sz w:val="28"/>
          <w:szCs w:val="28"/>
          <w:lang w:val="es-ES_tradnl" w:eastAsia="es-CO"/>
        </w:rPr>
        <w:t xml:space="preserve">Ahora bien, en el presente caso el cargo planteado por los demandantes se relaciona en concreto con la facultad </w:t>
      </w:r>
      <w:r w:rsidR="00A75DBE" w:rsidRPr="0078289D">
        <w:rPr>
          <w:rFonts w:eastAsia="Times New Roman"/>
          <w:sz w:val="28"/>
          <w:szCs w:val="28"/>
          <w:lang w:val="es-ES_tradnl" w:eastAsia="es-CO"/>
        </w:rPr>
        <w:t xml:space="preserve">que tienen las entidades territoriales para planificar, ordenar y reglamentar los usos del suelo. </w:t>
      </w:r>
      <w:r w:rsidR="007A03D1" w:rsidRPr="0078289D">
        <w:rPr>
          <w:rFonts w:eastAsia="Times New Roman"/>
          <w:sz w:val="28"/>
          <w:szCs w:val="28"/>
          <w:lang w:val="es-ES_tradnl" w:eastAsia="es-CO"/>
        </w:rPr>
        <w:t xml:space="preserve">Por lo tanto, es necesario ahora establecer cuál fue el diseño </w:t>
      </w:r>
      <w:r w:rsidR="00F73169" w:rsidRPr="0078289D">
        <w:rPr>
          <w:rFonts w:eastAsia="Times New Roman"/>
          <w:sz w:val="28"/>
          <w:szCs w:val="28"/>
          <w:lang w:val="es-ES_tradnl" w:eastAsia="es-CO"/>
        </w:rPr>
        <w:t xml:space="preserve">escogido </w:t>
      </w:r>
      <w:r w:rsidR="00823172" w:rsidRPr="0078289D">
        <w:rPr>
          <w:rFonts w:eastAsia="Times New Roman"/>
          <w:sz w:val="28"/>
          <w:szCs w:val="28"/>
          <w:lang w:val="es-ES_tradnl" w:eastAsia="es-CO"/>
        </w:rPr>
        <w:t xml:space="preserve">por el constituyente </w:t>
      </w:r>
      <w:r w:rsidR="00F73169" w:rsidRPr="0078289D">
        <w:rPr>
          <w:rFonts w:eastAsia="Times New Roman"/>
          <w:sz w:val="28"/>
          <w:szCs w:val="28"/>
          <w:lang w:val="es-ES_tradnl" w:eastAsia="es-CO"/>
        </w:rPr>
        <w:t>para distribuir competencias entre el gobierno nacional y los gobiernos territoriales en relación con los usos del suelo.</w:t>
      </w:r>
    </w:p>
    <w:p w:rsidR="00847499" w:rsidRPr="0078289D" w:rsidRDefault="00847499" w:rsidP="0078289D">
      <w:pPr>
        <w:pBdr>
          <w:top w:val="none" w:sz="0" w:space="0" w:color="auto"/>
          <w:left w:val="none" w:sz="0" w:space="0" w:color="auto"/>
          <w:bottom w:val="none" w:sz="0" w:space="0" w:color="auto"/>
          <w:right w:val="none" w:sz="0" w:space="0" w:color="auto"/>
        </w:pBdr>
        <w:shd w:val="clear" w:color="auto" w:fill="FFFFFF"/>
        <w:jc w:val="both"/>
        <w:rPr>
          <w:rFonts w:eastAsia="Times New Roman"/>
          <w:sz w:val="28"/>
          <w:szCs w:val="28"/>
          <w:lang w:val="es-ES_tradnl" w:eastAsia="es-CO"/>
        </w:rPr>
      </w:pPr>
    </w:p>
    <w:p w:rsidR="00654D29" w:rsidRPr="0078289D" w:rsidRDefault="00654D29" w:rsidP="0078289D">
      <w:pPr>
        <w:pBdr>
          <w:top w:val="none" w:sz="0" w:space="0" w:color="auto"/>
          <w:left w:val="none" w:sz="0" w:space="0" w:color="auto"/>
          <w:bottom w:val="none" w:sz="0" w:space="0" w:color="auto"/>
          <w:right w:val="none" w:sz="0" w:space="0" w:color="auto"/>
        </w:pBdr>
        <w:rPr>
          <w:rFonts w:eastAsia="Times New Roman"/>
          <w:b/>
          <w:i/>
          <w:sz w:val="28"/>
          <w:szCs w:val="28"/>
          <w:lang w:val="es-ES"/>
        </w:rPr>
      </w:pPr>
      <w:r w:rsidRPr="0078289D">
        <w:rPr>
          <w:rFonts w:eastAsia="Times New Roman"/>
          <w:b/>
          <w:i/>
          <w:sz w:val="28"/>
          <w:szCs w:val="28"/>
          <w:lang w:val="es-ES"/>
        </w:rPr>
        <w:t>La distribución de competencias en materia de ordenamiento del territorio y particularmente con relación a los usos del suelo</w:t>
      </w:r>
    </w:p>
    <w:p w:rsidR="004A22F8" w:rsidRPr="0078289D" w:rsidRDefault="004A22F8" w:rsidP="0078289D">
      <w:pPr>
        <w:pBdr>
          <w:top w:val="none" w:sz="0" w:space="0" w:color="auto"/>
          <w:left w:val="none" w:sz="0" w:space="0" w:color="auto"/>
          <w:bottom w:val="none" w:sz="0" w:space="0" w:color="auto"/>
          <w:right w:val="none" w:sz="0" w:space="0" w:color="auto"/>
        </w:pBdr>
        <w:jc w:val="both"/>
        <w:rPr>
          <w:rFonts w:eastAsia="Times New Roman"/>
          <w:bCs/>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Cs/>
          <w:sz w:val="28"/>
          <w:szCs w:val="28"/>
          <w:shd w:val="clear" w:color="auto" w:fill="FFFFFF"/>
          <w:lang w:val="es-CO" w:eastAsia="es-CO"/>
        </w:rPr>
      </w:pPr>
      <w:r w:rsidRPr="0078289D">
        <w:rPr>
          <w:rFonts w:eastAsia="Times New Roman"/>
          <w:bCs/>
          <w:sz w:val="28"/>
          <w:szCs w:val="28"/>
          <w:shd w:val="clear" w:color="auto" w:fill="FFFFFF"/>
          <w:lang w:val="es-CO" w:eastAsia="es-CO"/>
        </w:rPr>
        <w:t xml:space="preserve">25. El artículo 288 superior </w:t>
      </w:r>
      <w:r w:rsidR="008226F1" w:rsidRPr="0078289D">
        <w:rPr>
          <w:rFonts w:eastAsia="Times New Roman"/>
          <w:bCs/>
          <w:sz w:val="28"/>
          <w:szCs w:val="28"/>
          <w:shd w:val="clear" w:color="auto" w:fill="FFFFFF"/>
          <w:lang w:val="es-CO" w:eastAsia="es-CO"/>
        </w:rPr>
        <w:t>prevé</w:t>
      </w:r>
      <w:r w:rsidRPr="0078289D">
        <w:rPr>
          <w:rFonts w:eastAsia="Times New Roman"/>
          <w:bCs/>
          <w:sz w:val="28"/>
          <w:szCs w:val="28"/>
          <w:shd w:val="clear" w:color="auto" w:fill="FFFFFF"/>
          <w:lang w:val="es-CO" w:eastAsia="es-CO"/>
        </w:rPr>
        <w:t xml:space="preserve"> que </w:t>
      </w:r>
      <w:r w:rsidR="00812D94" w:rsidRPr="0078289D">
        <w:rPr>
          <w:rFonts w:eastAsia="Times New Roman"/>
          <w:bCs/>
          <w:sz w:val="28"/>
          <w:szCs w:val="28"/>
          <w:shd w:val="clear" w:color="auto" w:fill="FFFFFF"/>
          <w:lang w:val="es-CO" w:eastAsia="es-CO"/>
        </w:rPr>
        <w:t>una ley orgánica de ordenamiento territorial fije la distribución de competencias entre la Nación y las entidades territoriales</w:t>
      </w:r>
      <w:r w:rsidRPr="0078289D">
        <w:rPr>
          <w:rFonts w:eastAsia="Times New Roman"/>
          <w:bCs/>
          <w:sz w:val="28"/>
          <w:szCs w:val="28"/>
          <w:shd w:val="clear" w:color="auto" w:fill="FFFFFF"/>
          <w:lang w:val="es-CO" w:eastAsia="es-CO"/>
        </w:rPr>
        <w:t xml:space="preserve">. De esa manera, el artículo 29 de la Ley Orgánica de Ordenamiento Territorial -Ley 1454 de 2011-señala que </w:t>
      </w:r>
      <w:r w:rsidRPr="0078289D">
        <w:rPr>
          <w:rFonts w:eastAsia="Times New Roman"/>
          <w:sz w:val="28"/>
          <w:szCs w:val="28"/>
          <w:lang w:val="es-CO" w:eastAsia="es-CO"/>
        </w:rPr>
        <w:t>son competencias de la Nación y de las entidades territoriales en materia de ordenamiento del territorio, las siguientes: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sz w:val="28"/>
          <w:szCs w:val="28"/>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w:t>
      </w:r>
      <w:r w:rsidRPr="0078289D">
        <w:rPr>
          <w:rFonts w:eastAsia="Times New Roman"/>
          <w:b/>
          <w:bCs/>
          <w:i/>
          <w:sz w:val="28"/>
          <w:szCs w:val="28"/>
          <w:shd w:val="clear" w:color="auto" w:fill="FFFFFF"/>
          <w:lang w:val="es-CO" w:eastAsia="es-CO"/>
        </w:rPr>
        <w:t>ARTÍCULO 29. DISTRIBUCIÓN DE COMPETENCIAS EN MATERIA DE ORDENAMIENTO DEL TERRITORIO.</w:t>
      </w:r>
      <w:r w:rsidRPr="0078289D">
        <w:rPr>
          <w:rFonts w:eastAsia="Times New Roman"/>
          <w:bCs/>
          <w:i/>
          <w:sz w:val="28"/>
          <w:szCs w:val="28"/>
          <w:shd w:val="clear" w:color="auto" w:fill="FFFFFF"/>
          <w:lang w:val="es-CO" w:eastAsia="es-CO"/>
        </w:rPr>
        <w:t xml:space="preserve"> Son competencias de la Nación y de las entidades territoriales en materia de ordenamiento del territorio, las siguientes:</w:t>
      </w:r>
    </w:p>
    <w:p w:rsidR="00141B17" w:rsidRPr="0078289D" w:rsidRDefault="00141B17"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1. De la Nación</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a) Establecer la política general de ordenamiento del territorio en los asuntos de interés nacional: áreas de parques nacionales y áreas protegidas.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b) Localización de grandes proyectos de infraestructura.</w:t>
      </w:r>
    </w:p>
    <w:p w:rsidR="00654D29" w:rsidRPr="0078289D" w:rsidRDefault="00FE2AA1"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e) Los lineamientos y criterios para garantizar la equitativa distribución de los servicios públicos e infraestructura social de forma equilibrada en las regiones.</w:t>
      </w:r>
    </w:p>
    <w:p w:rsidR="00654D29" w:rsidRPr="0078289D" w:rsidRDefault="00FE2AA1"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PARÁGRAFO. Las competencias asignadas a la Nación en los literales anteriores se adelantarán en coordinación con los entes territoriales.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2. Del Departamento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a) Establecer directrices y orientaciones para el ordenamiento de la totalidad o porciones específicas de su territorio, especialmente en áreas de conurbación con el fin de determinar los escenarios de uso y ocupación del espacio, de acuerdo con el potencial óptimo del ambiente y en función de los objetivos de desarrollo, potencialidades y limitantes biofísicos, económicos y culturales.</w:t>
      </w:r>
    </w:p>
    <w:p w:rsidR="00654D29" w:rsidRPr="0078289D" w:rsidRDefault="00FE2AA1"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c) Orientar la localización de la infraestructura física-social de manera que se aprovechen las ventajas competitivas regionales y se promueva la equidad en el desarrollo municipal.</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d) Integrar y orientar la proyección espacial de los planes sectoriales departamentales, los de sus municipios y entidades territoriales indígenas.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e) En desarrollo de sus competencias, los departamentos podrán articular sus políticas, directrices y estrategias de ordenamiento físico-territorial con los planes, programas, proyectos y actuaciones sobre el territorio, mediante la adopción de planes de ordenamiento para la totalidad o porciones específicas de su territorio.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f) La competencia para establecer las directrices y orientaciones específicas para el ordenamiento del territorio en los municipios que hacen parte de un Área Metropolitana correspondiente a estas, la cual será ejercida con observancia a los principios para el ejercicio de las competencias establecidos en la presente ley.</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g) Los departamentos y las asociaciones que estos conformen podrán implementar programas de protección especial para la conservación y recuperación del medio ambiente.</w:t>
      </w:r>
    </w:p>
    <w:p w:rsidR="00654D29" w:rsidRPr="0078289D" w:rsidRDefault="00644DF6"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lastRenderedPageBreak/>
        <w:t xml:space="preserve"> </w:t>
      </w:r>
      <w:r w:rsidR="00654D29" w:rsidRPr="0078289D">
        <w:rPr>
          <w:rFonts w:eastAsia="Times New Roman"/>
          <w:bCs/>
          <w:i/>
          <w:sz w:val="28"/>
          <w:szCs w:val="28"/>
          <w:shd w:val="clear" w:color="auto" w:fill="FFFFFF"/>
          <w:lang w:val="es-CO" w:eastAsia="es-CO"/>
        </w:rPr>
        <w:t xml:space="preserve">(…) </w:t>
      </w:r>
    </w:p>
    <w:p w:rsidR="00644DF6" w:rsidRPr="0078289D" w:rsidRDefault="00644DF6"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4. Del Municipio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a) Formular y adoptar los planes de ordenamiento del territorio.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
          <w:bCs/>
          <w:i/>
          <w:sz w:val="28"/>
          <w:szCs w:val="28"/>
          <w:shd w:val="clear" w:color="auto" w:fill="FFFFFF"/>
          <w:lang w:val="es-CO" w:eastAsia="es-CO"/>
        </w:rPr>
      </w:pPr>
      <w:r w:rsidRPr="0078289D">
        <w:rPr>
          <w:rFonts w:eastAsia="Times New Roman"/>
          <w:b/>
          <w:bCs/>
          <w:i/>
          <w:sz w:val="28"/>
          <w:szCs w:val="28"/>
          <w:shd w:val="clear" w:color="auto" w:fill="FFFFFF"/>
          <w:lang w:val="es-CO" w:eastAsia="es-CO"/>
        </w:rPr>
        <w:t>b) Reglamentar de manera específica los usos del suelo, en las áreas urbanas, de expansión y rurales, de acuerdo con las leyes.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
          <w:bCs/>
          <w:i/>
          <w:sz w:val="28"/>
          <w:szCs w:val="28"/>
          <w:shd w:val="clear" w:color="auto" w:fill="FFFFFF"/>
          <w:lang w:val="es-CO" w:eastAsia="es-CO"/>
        </w:rPr>
      </w:pPr>
      <w:r w:rsidRPr="0078289D">
        <w:rPr>
          <w:rFonts w:eastAsia="Times New Roman"/>
          <w:b/>
          <w:bCs/>
          <w:i/>
          <w:sz w:val="28"/>
          <w:szCs w:val="28"/>
          <w:shd w:val="clear" w:color="auto" w:fill="FFFFFF"/>
          <w:lang w:val="es-CO" w:eastAsia="es-CO"/>
        </w:rPr>
        <w:t>c) Optimizar los usos de las tierras disponibles y coordinar los planes sectoriales, en armonía con las políticas nacionales y los planes departamentales y metropolitanos.</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Cs/>
          <w:i/>
          <w:sz w:val="28"/>
          <w:szCs w:val="28"/>
          <w:shd w:val="clear" w:color="auto" w:fill="FFFFFF"/>
          <w:lang w:val="es-CO" w:eastAsia="es-CO"/>
        </w:rPr>
      </w:pPr>
      <w:r w:rsidRPr="0078289D">
        <w:rPr>
          <w:rFonts w:eastAsia="Times New Roman"/>
          <w:bCs/>
          <w:i/>
          <w:sz w:val="28"/>
          <w:szCs w:val="28"/>
          <w:shd w:val="clear" w:color="auto" w:fill="FFFFFF"/>
          <w:lang w:val="es-CO" w:eastAsia="es-CO"/>
        </w:rPr>
        <w:t xml:space="preserve">PARÁGRAFO 1o. La distribución de competencias que se establece en este artículo se adelantará bajo los principios de descentralización, concurrencia y complementariedad de las acciones establecidas por las entidades territoriales y en coordinación con lo dispuesto por sus autoridades respectivas en los instrumentos locales y regionales de planificación.” </w:t>
      </w:r>
      <w:r w:rsidRPr="0078289D">
        <w:rPr>
          <w:rFonts w:eastAsia="Times New Roman"/>
          <w:bCs/>
          <w:sz w:val="28"/>
          <w:szCs w:val="28"/>
          <w:shd w:val="clear" w:color="auto" w:fill="FFFFFF"/>
          <w:lang w:val="es-CO" w:eastAsia="es-CO"/>
        </w:rPr>
        <w:t>(Negrilla fuera del texto).</w:t>
      </w:r>
      <w:r w:rsidRPr="0078289D">
        <w:rPr>
          <w:rFonts w:eastAsia="Times New Roman"/>
          <w:bCs/>
          <w:i/>
          <w:sz w:val="28"/>
          <w:szCs w:val="28"/>
          <w:shd w:val="clear" w:color="auto" w:fill="FFFFFF"/>
          <w:lang w:val="es-CO" w:eastAsia="es-CO"/>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ind w:left="284"/>
        <w:jc w:val="both"/>
        <w:rPr>
          <w:rFonts w:eastAsia="Times New Roman"/>
          <w:b/>
          <w:bCs/>
          <w:sz w:val="28"/>
          <w:szCs w:val="28"/>
          <w:shd w:val="clear" w:color="auto" w:fill="FFFFFF"/>
          <w:lang w:val="es-CO" w:eastAsia="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shd w:val="clear" w:color="auto" w:fill="FFFFFF"/>
          <w:lang w:val="es-ES_tradnl" w:eastAsia="es-ES"/>
        </w:rPr>
      </w:pPr>
      <w:r w:rsidRPr="0078289D">
        <w:rPr>
          <w:rFonts w:eastAsia="Times New Roman"/>
          <w:sz w:val="28"/>
          <w:szCs w:val="28"/>
          <w:lang w:val="es-CO"/>
        </w:rPr>
        <w:t xml:space="preserve">26. Acorde con la </w:t>
      </w:r>
      <w:r w:rsidRPr="0078289D">
        <w:rPr>
          <w:rFonts w:eastAsia="Times New Roman"/>
          <w:sz w:val="28"/>
          <w:szCs w:val="28"/>
          <w:lang w:val="es-ES_tradnl"/>
        </w:rPr>
        <w:t xml:space="preserve">distribución de competencias </w:t>
      </w:r>
      <w:r w:rsidR="00A033FC" w:rsidRPr="0078289D">
        <w:rPr>
          <w:rFonts w:eastAsia="Times New Roman"/>
          <w:sz w:val="28"/>
          <w:szCs w:val="28"/>
          <w:lang w:val="es-ES_tradnl"/>
        </w:rPr>
        <w:t>referidas</w:t>
      </w:r>
      <w:r w:rsidRPr="0078289D">
        <w:rPr>
          <w:rFonts w:eastAsia="Times New Roman"/>
          <w:sz w:val="28"/>
          <w:szCs w:val="28"/>
          <w:lang w:val="es-ES_tradnl"/>
        </w:rPr>
        <w:t xml:space="preserve">, es pertinente señalar que la función de </w:t>
      </w:r>
      <w:r w:rsidR="007361E2" w:rsidRPr="0078289D">
        <w:rPr>
          <w:rFonts w:eastAsia="Times New Roman"/>
          <w:sz w:val="28"/>
          <w:szCs w:val="28"/>
          <w:lang w:val="es-ES_tradnl"/>
        </w:rPr>
        <w:t>reglamentar</w:t>
      </w:r>
      <w:r w:rsidRPr="0078289D">
        <w:rPr>
          <w:rFonts w:eastAsia="Times New Roman"/>
          <w:sz w:val="28"/>
          <w:szCs w:val="28"/>
          <w:lang w:val="es-ES_tradnl"/>
        </w:rPr>
        <w:t xml:space="preserve"> los usos del suelo asignada a los municipios, </w:t>
      </w:r>
      <w:r w:rsidRPr="0078289D">
        <w:rPr>
          <w:rFonts w:eastAsia="Times New Roman"/>
          <w:sz w:val="28"/>
          <w:szCs w:val="28"/>
          <w:shd w:val="clear" w:color="auto" w:fill="FFFFFF"/>
          <w:lang w:val="es-ES_tradnl" w:eastAsia="es-ES"/>
        </w:rPr>
        <w:t>es una expresión de la descentralización</w:t>
      </w:r>
      <w:r w:rsidR="0041068C" w:rsidRPr="0078289D">
        <w:rPr>
          <w:rFonts w:eastAsia="Times New Roman"/>
          <w:sz w:val="28"/>
          <w:szCs w:val="28"/>
          <w:shd w:val="clear" w:color="auto" w:fill="FFFFFF"/>
          <w:lang w:val="es-ES_tradnl" w:eastAsia="es-ES"/>
        </w:rPr>
        <w:t xml:space="preserve"> territorial,</w:t>
      </w:r>
      <w:r w:rsidRPr="0078289D">
        <w:rPr>
          <w:rFonts w:eastAsia="Times New Roman"/>
          <w:sz w:val="28"/>
          <w:szCs w:val="28"/>
          <w:shd w:val="clear" w:color="auto" w:fill="FFFFFF"/>
          <w:lang w:val="es-ES_tradnl" w:eastAsia="es-ES"/>
        </w:rPr>
        <w:t xml:space="preserve"> y</w:t>
      </w:r>
      <w:r w:rsidR="0041068C" w:rsidRPr="0078289D">
        <w:rPr>
          <w:rFonts w:eastAsia="Times New Roman"/>
          <w:sz w:val="28"/>
          <w:szCs w:val="28"/>
          <w:shd w:val="clear" w:color="auto" w:fill="FFFFFF"/>
          <w:lang w:val="es-ES_tradnl" w:eastAsia="es-ES"/>
        </w:rPr>
        <w:t xml:space="preserve"> un corolario de la</w:t>
      </w:r>
      <w:r w:rsidRPr="0078289D">
        <w:rPr>
          <w:rFonts w:eastAsia="Times New Roman"/>
          <w:sz w:val="28"/>
          <w:szCs w:val="28"/>
          <w:shd w:val="clear" w:color="auto" w:fill="FFFFFF"/>
          <w:lang w:val="es-ES_tradnl" w:eastAsia="es-ES"/>
        </w:rPr>
        <w:t xml:space="preserve"> autonomía </w:t>
      </w:r>
      <w:r w:rsidR="00215D6A" w:rsidRPr="0078289D">
        <w:rPr>
          <w:rFonts w:eastAsia="Times New Roman"/>
          <w:sz w:val="28"/>
          <w:szCs w:val="28"/>
          <w:shd w:val="clear" w:color="auto" w:fill="FFFFFF"/>
          <w:lang w:val="es-ES_tradnl" w:eastAsia="es-ES"/>
        </w:rPr>
        <w:t>otorgada por la Constitución a</w:t>
      </w:r>
      <w:r w:rsidRPr="0078289D">
        <w:rPr>
          <w:rFonts w:eastAsia="Times New Roman"/>
          <w:sz w:val="28"/>
          <w:szCs w:val="28"/>
          <w:shd w:val="clear" w:color="auto" w:fill="FFFFFF"/>
          <w:lang w:val="es-ES_tradnl" w:eastAsia="es-ES"/>
        </w:rPr>
        <w:t xml:space="preserve"> las entid</w:t>
      </w:r>
      <w:r w:rsidR="00215D6A" w:rsidRPr="0078289D">
        <w:rPr>
          <w:rFonts w:eastAsia="Times New Roman"/>
          <w:sz w:val="28"/>
          <w:szCs w:val="28"/>
          <w:shd w:val="clear" w:color="auto" w:fill="FFFFFF"/>
          <w:lang w:val="es-ES_tradnl" w:eastAsia="es-ES"/>
        </w:rPr>
        <w:t>ades territoriales. El ejercicio de esta facultad</w:t>
      </w:r>
      <w:r w:rsidRPr="0078289D">
        <w:rPr>
          <w:rFonts w:eastAsia="Times New Roman"/>
          <w:sz w:val="28"/>
          <w:szCs w:val="28"/>
          <w:shd w:val="clear" w:color="auto" w:fill="FFFFFF"/>
          <w:lang w:val="es-ES_tradnl" w:eastAsia="es-ES"/>
        </w:rPr>
        <w:t xml:space="preserve"> </w:t>
      </w:r>
      <w:r w:rsidR="00215D6A" w:rsidRPr="0078289D">
        <w:rPr>
          <w:rFonts w:eastAsia="Times New Roman"/>
          <w:sz w:val="28"/>
          <w:szCs w:val="28"/>
          <w:shd w:val="clear" w:color="auto" w:fill="FFFFFF"/>
          <w:lang w:val="es-ES_tradnl" w:eastAsia="es-ES"/>
        </w:rPr>
        <w:t>permite planificar</w:t>
      </w:r>
      <w:r w:rsidRPr="0078289D">
        <w:rPr>
          <w:rFonts w:eastAsia="Times New Roman"/>
          <w:sz w:val="28"/>
          <w:szCs w:val="28"/>
          <w:shd w:val="clear" w:color="auto" w:fill="FFFFFF"/>
          <w:lang w:val="es-ES_tradnl" w:eastAsia="es-ES"/>
        </w:rPr>
        <w:t xml:space="preserve"> las actividades que pueden realizarse en las distintas </w:t>
      </w:r>
      <w:r w:rsidR="00362464" w:rsidRPr="0078289D">
        <w:rPr>
          <w:rFonts w:eastAsia="Times New Roman"/>
          <w:sz w:val="28"/>
          <w:szCs w:val="28"/>
          <w:shd w:val="clear" w:color="auto" w:fill="FFFFFF"/>
          <w:lang w:val="es-ES_tradnl" w:eastAsia="es-ES"/>
        </w:rPr>
        <w:t>veredas y corregimientos</w:t>
      </w:r>
      <w:r w:rsidRPr="0078289D">
        <w:rPr>
          <w:rFonts w:eastAsia="Times New Roman"/>
          <w:sz w:val="28"/>
          <w:szCs w:val="28"/>
          <w:shd w:val="clear" w:color="auto" w:fill="FFFFFF"/>
          <w:lang w:val="es-ES_tradnl" w:eastAsia="es-ES"/>
        </w:rPr>
        <w:t xml:space="preserve"> </w:t>
      </w:r>
      <w:r w:rsidR="00362464" w:rsidRPr="0078289D">
        <w:rPr>
          <w:rFonts w:eastAsia="Times New Roman"/>
          <w:sz w:val="28"/>
          <w:szCs w:val="28"/>
          <w:shd w:val="clear" w:color="auto" w:fill="FFFFFF"/>
          <w:lang w:val="es-ES_tradnl" w:eastAsia="es-ES"/>
        </w:rPr>
        <w:t>que conforman los municipios.</w:t>
      </w:r>
      <w:r w:rsidRPr="0078289D">
        <w:rPr>
          <w:rFonts w:eastAsia="Times New Roman"/>
          <w:sz w:val="28"/>
          <w:szCs w:val="28"/>
          <w:shd w:val="clear" w:color="auto" w:fill="FFFFFF"/>
          <w:lang w:val="es-ES_tradnl" w:eastAsia="es-ES"/>
        </w:rPr>
        <w:t xml:space="preserve"> </w:t>
      </w:r>
      <w:r w:rsidR="00362464" w:rsidRPr="0078289D">
        <w:rPr>
          <w:rFonts w:eastAsia="Times New Roman"/>
          <w:sz w:val="28"/>
          <w:szCs w:val="28"/>
          <w:shd w:val="clear" w:color="auto" w:fill="FFFFFF"/>
          <w:lang w:val="es-ES_tradnl" w:eastAsia="es-ES"/>
        </w:rPr>
        <w:t xml:space="preserve">Esta labor de planeación </w:t>
      </w:r>
      <w:r w:rsidRPr="0078289D">
        <w:rPr>
          <w:rFonts w:eastAsia="Times New Roman"/>
          <w:sz w:val="28"/>
          <w:szCs w:val="28"/>
          <w:shd w:val="clear" w:color="auto" w:fill="FFFFFF"/>
          <w:lang w:val="es-ES_tradnl" w:eastAsia="es-ES"/>
        </w:rPr>
        <w:t>incide en todos los ámbitos: en la protección del ambiente sano, en el desarrollo industrial, económico, educativo y cultural de las entidades territoriales</w:t>
      </w:r>
      <w:r w:rsidRPr="0078289D">
        <w:rPr>
          <w:rFonts w:eastAsia="Times New Roman"/>
          <w:sz w:val="28"/>
          <w:szCs w:val="28"/>
          <w:shd w:val="clear" w:color="auto" w:fill="FFFFFF"/>
          <w:vertAlign w:val="superscript"/>
          <w:lang w:val="es-ES_tradnl" w:eastAsia="es-ES"/>
        </w:rPr>
        <w:footnoteReference w:id="36"/>
      </w:r>
      <w:r w:rsidRPr="0078289D">
        <w:rPr>
          <w:rFonts w:eastAsia="Times New Roman"/>
          <w:sz w:val="28"/>
          <w:szCs w:val="28"/>
          <w:shd w:val="clear" w:color="auto" w:fill="FFFFFF"/>
          <w:lang w:val="es-ES_tradnl" w:eastAsia="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
          <w:i/>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
          <w:sz w:val="28"/>
          <w:szCs w:val="28"/>
          <w:lang w:val="es-CO"/>
        </w:rPr>
      </w:pPr>
      <w:r w:rsidRPr="0078289D">
        <w:rPr>
          <w:rFonts w:eastAsia="Times New Roman"/>
          <w:b/>
          <w:i/>
          <w:sz w:val="28"/>
          <w:szCs w:val="28"/>
          <w:lang w:val="es-CO"/>
        </w:rPr>
        <w:t xml:space="preserve">Estado unitario, autonomía territorial y minería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17609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27. Por otra parte, e</w:t>
      </w:r>
      <w:r w:rsidR="00654D29" w:rsidRPr="0078289D">
        <w:rPr>
          <w:rFonts w:eastAsia="Times New Roman"/>
          <w:sz w:val="28"/>
          <w:szCs w:val="28"/>
          <w:lang w:val="es-CO"/>
        </w:rPr>
        <w:t>l artículo 332 superior determina que la propiedad de</w:t>
      </w:r>
      <w:r w:rsidR="00A75C63" w:rsidRPr="0078289D">
        <w:rPr>
          <w:rFonts w:eastAsia="Times New Roman"/>
          <w:sz w:val="28"/>
          <w:szCs w:val="28"/>
          <w:lang w:val="es-CO"/>
        </w:rPr>
        <w:t>l</w:t>
      </w:r>
      <w:r w:rsidR="00654D29" w:rsidRPr="0078289D">
        <w:rPr>
          <w:rFonts w:eastAsia="Times New Roman"/>
          <w:sz w:val="28"/>
          <w:szCs w:val="28"/>
          <w:lang w:val="es-CO"/>
        </w:rPr>
        <w:t xml:space="preserve"> subsuelo </w:t>
      </w:r>
      <w:r w:rsidR="001F75D0" w:rsidRPr="0078289D">
        <w:rPr>
          <w:rFonts w:eastAsia="Times New Roman"/>
          <w:sz w:val="28"/>
          <w:szCs w:val="28"/>
          <w:lang w:val="es-CO"/>
        </w:rPr>
        <w:t xml:space="preserve">está en cabeza del Estado. </w:t>
      </w:r>
      <w:r w:rsidRPr="0078289D">
        <w:rPr>
          <w:rFonts w:eastAsia="Times New Roman"/>
          <w:sz w:val="28"/>
          <w:szCs w:val="28"/>
          <w:lang w:val="es-CO"/>
        </w:rPr>
        <w:t>Así mismo</w:t>
      </w:r>
      <w:r w:rsidR="001F75D0" w:rsidRPr="0078289D">
        <w:rPr>
          <w:rFonts w:eastAsia="Times New Roman"/>
          <w:sz w:val="28"/>
          <w:szCs w:val="28"/>
          <w:lang w:val="es-CO"/>
        </w:rPr>
        <w:t>, e</w:t>
      </w:r>
      <w:r w:rsidR="00654D29" w:rsidRPr="0078289D">
        <w:rPr>
          <w:rFonts w:eastAsia="Times New Roman"/>
          <w:sz w:val="28"/>
          <w:szCs w:val="28"/>
          <w:lang w:val="es-CO"/>
        </w:rPr>
        <w:t xml:space="preserve">l artículo 334 señala que el Estado, por mandato de la ley, intervendrá en la explotación de los recursos naturales para racionalizar la economía con el fin de mejorar la calidad de vida de los habitantes del territorio.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i/>
          <w:sz w:val="28"/>
          <w:szCs w:val="28"/>
          <w:lang w:val="es-CO"/>
        </w:rPr>
      </w:pPr>
      <w:r w:rsidRPr="0078289D">
        <w:rPr>
          <w:rFonts w:eastAsia="Times New Roman"/>
          <w:sz w:val="28"/>
          <w:szCs w:val="28"/>
          <w:lang w:val="es-ES"/>
        </w:rPr>
        <w:t xml:space="preserve">La Corte Constitucional ha </w:t>
      </w:r>
      <w:r w:rsidR="00A033FC" w:rsidRPr="0078289D">
        <w:rPr>
          <w:rFonts w:eastAsia="Times New Roman"/>
          <w:sz w:val="28"/>
          <w:szCs w:val="28"/>
          <w:lang w:val="es-ES"/>
        </w:rPr>
        <w:t>analizado</w:t>
      </w:r>
      <w:r w:rsidRPr="0078289D">
        <w:rPr>
          <w:rFonts w:eastAsia="Times New Roman"/>
          <w:sz w:val="28"/>
          <w:szCs w:val="28"/>
          <w:lang w:val="es-ES"/>
        </w:rPr>
        <w:t xml:space="preserve"> </w:t>
      </w:r>
      <w:r w:rsidR="007D5D45" w:rsidRPr="0078289D">
        <w:rPr>
          <w:rFonts w:eastAsia="Times New Roman"/>
          <w:sz w:val="28"/>
          <w:szCs w:val="28"/>
          <w:lang w:val="es-ES"/>
        </w:rPr>
        <w:t>el alcance de estas normas constitucionales</w:t>
      </w:r>
      <w:r w:rsidRPr="0078289D">
        <w:rPr>
          <w:rFonts w:eastAsia="Times New Roman"/>
          <w:sz w:val="28"/>
          <w:szCs w:val="28"/>
          <w:lang w:val="es-ES"/>
        </w:rPr>
        <w:t xml:space="preserve">, </w:t>
      </w:r>
      <w:r w:rsidR="00CA2666" w:rsidRPr="0078289D">
        <w:rPr>
          <w:rFonts w:eastAsia="Times New Roman"/>
          <w:sz w:val="28"/>
          <w:szCs w:val="28"/>
          <w:lang w:val="es-ES"/>
        </w:rPr>
        <w:t xml:space="preserve">reafirmando la propiedad del </w:t>
      </w:r>
      <w:r w:rsidRPr="0078289D">
        <w:rPr>
          <w:rFonts w:eastAsia="Times New Roman"/>
          <w:sz w:val="28"/>
          <w:szCs w:val="28"/>
          <w:lang w:val="es-ES"/>
        </w:rPr>
        <w:t xml:space="preserve">Estado </w:t>
      </w:r>
      <w:r w:rsidR="00CA2666" w:rsidRPr="0078289D">
        <w:rPr>
          <w:rFonts w:eastAsia="Times New Roman"/>
          <w:sz w:val="28"/>
          <w:szCs w:val="28"/>
          <w:lang w:val="es-ES"/>
        </w:rPr>
        <w:t xml:space="preserve">de los recursos del </w:t>
      </w:r>
      <w:r w:rsidR="009F2FD4" w:rsidRPr="0078289D">
        <w:rPr>
          <w:rFonts w:eastAsia="Times New Roman"/>
          <w:sz w:val="28"/>
          <w:szCs w:val="28"/>
          <w:lang w:val="es-ES"/>
        </w:rPr>
        <w:t xml:space="preserve">subsuelo, y su </w:t>
      </w:r>
      <w:r w:rsidRPr="0078289D">
        <w:rPr>
          <w:rFonts w:eastAsia="Times New Roman"/>
          <w:sz w:val="28"/>
          <w:szCs w:val="28"/>
          <w:lang w:val="es-ES"/>
        </w:rPr>
        <w:t>facultad</w:t>
      </w:r>
      <w:r w:rsidR="009F2FD4" w:rsidRPr="0078289D">
        <w:rPr>
          <w:rFonts w:eastAsia="Times New Roman"/>
          <w:sz w:val="28"/>
          <w:szCs w:val="28"/>
          <w:lang w:val="es-ES"/>
        </w:rPr>
        <w:t xml:space="preserve"> para regular</w:t>
      </w:r>
      <w:r w:rsidRPr="0078289D">
        <w:rPr>
          <w:rFonts w:eastAsia="Times New Roman"/>
          <w:sz w:val="28"/>
          <w:szCs w:val="28"/>
          <w:lang w:val="es-ES"/>
        </w:rPr>
        <w:t xml:space="preserve"> la explotación de los recursos naturales y </w:t>
      </w:r>
      <w:r w:rsidR="00C608BE" w:rsidRPr="0078289D">
        <w:rPr>
          <w:rFonts w:eastAsia="Times New Roman"/>
          <w:sz w:val="28"/>
          <w:szCs w:val="28"/>
          <w:lang w:val="es-ES"/>
        </w:rPr>
        <w:t xml:space="preserve">el </w:t>
      </w:r>
      <w:r w:rsidRPr="0078289D">
        <w:rPr>
          <w:rFonts w:eastAsia="Times New Roman"/>
          <w:sz w:val="28"/>
          <w:szCs w:val="28"/>
          <w:lang w:val="es-ES"/>
        </w:rPr>
        <w:t xml:space="preserve">uso del suelo, así como sobre la planificación, manejo y aprovechamiento de los recursos naturales. De la misma manera, esta Corporación ha </w:t>
      </w:r>
      <w:r w:rsidR="00A033FC" w:rsidRPr="0078289D">
        <w:rPr>
          <w:rFonts w:eastAsia="Times New Roman"/>
          <w:sz w:val="28"/>
          <w:szCs w:val="28"/>
          <w:lang w:val="es-ES"/>
        </w:rPr>
        <w:t>estudiado</w:t>
      </w:r>
      <w:r w:rsidRPr="0078289D">
        <w:rPr>
          <w:rFonts w:eastAsia="Times New Roman"/>
          <w:sz w:val="28"/>
          <w:szCs w:val="28"/>
          <w:lang w:val="es-ES"/>
        </w:rPr>
        <w:t xml:space="preserve"> el régimen legal de  propiedad de los recursos mineros, establecido en </w:t>
      </w:r>
      <w:r w:rsidRPr="0078289D">
        <w:rPr>
          <w:rFonts w:eastAsia="Times New Roman"/>
          <w:sz w:val="28"/>
          <w:szCs w:val="28"/>
          <w:lang w:val="es-CO"/>
        </w:rPr>
        <w:t xml:space="preserve">los artículos 5°, 7° y 10 de la Ley 685 de 2001, al determinar la constitucionalidad de la norma que indica que los minerales de cualquier clase y ubicación, </w:t>
      </w:r>
      <w:r w:rsidRPr="0078289D">
        <w:rPr>
          <w:rFonts w:eastAsia="Times New Roman"/>
          <w:sz w:val="28"/>
          <w:szCs w:val="28"/>
          <w:lang w:val="es-CO"/>
        </w:rPr>
        <w:lastRenderedPageBreak/>
        <w:t xml:space="preserve">yacentes en el suelo o el subsuelo, en cualquier estado físico natural, son de la exclusiva propiedad del Estado, sin </w:t>
      </w:r>
      <w:r w:rsidR="00EC2E82" w:rsidRPr="0078289D">
        <w:rPr>
          <w:rFonts w:eastAsia="Times New Roman"/>
          <w:sz w:val="28"/>
          <w:szCs w:val="28"/>
          <w:lang w:val="es-CO"/>
        </w:rPr>
        <w:t xml:space="preserve">que resulte relevante que </w:t>
      </w:r>
      <w:r w:rsidRPr="0078289D">
        <w:rPr>
          <w:rFonts w:eastAsia="Times New Roman"/>
          <w:sz w:val="28"/>
          <w:szCs w:val="28"/>
          <w:lang w:val="es-CO"/>
        </w:rPr>
        <w:t>la propiedad, posesión o tenencia de los correspondientes terrenos sean de otras entidades públicas, de particulares o de comunidades o grupos</w:t>
      </w:r>
      <w:r w:rsidR="00A033FC" w:rsidRPr="0078289D">
        <w:rPr>
          <w:rFonts w:eastAsia="Times New Roman"/>
          <w:sz w:val="28"/>
          <w:szCs w:val="28"/>
          <w:lang w:val="es-CO"/>
        </w:rPr>
        <w:t xml:space="preserve"> sociales</w:t>
      </w:r>
      <w:r w:rsidRPr="0078289D">
        <w:rPr>
          <w:rFonts w:eastAsia="Times New Roman"/>
          <w:sz w:val="28"/>
          <w:szCs w:val="28"/>
          <w:lang w:val="es-CO"/>
        </w:rPr>
        <w:t>.</w:t>
      </w:r>
      <w:r w:rsidRPr="0078289D">
        <w:rPr>
          <w:rFonts w:eastAsia="Times New Roman"/>
          <w:sz w:val="28"/>
          <w:szCs w:val="28"/>
          <w:vertAlign w:val="superscript"/>
          <w:lang w:val="es-CO"/>
        </w:rPr>
        <w:footnoteReference w:id="37"/>
      </w:r>
      <w:r w:rsidRPr="0078289D">
        <w:rPr>
          <w:rFonts w:eastAsia="Times New Roman"/>
          <w:i/>
          <w:sz w:val="28"/>
          <w:szCs w:val="28"/>
          <w:lang w:val="es-CO"/>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En este sentido, resulta acorde con la organización unitaria del Estado que exista unificación en los criterios, procesos y parámetros que permiten obtener la autorización por parte de la administración para desarrollar actividades de exploración y explotación minera. A su vez, resulta acorde con el principio de organización unitaria del Estado que los lugares en que dichas actividades pueden realizarse sean determinados por una misma entidad, siguiendo idénticos criterios para todo el territorio del Estado. De esta forma se asegura uniformidad en las condiciones de realización de la minería y se brinda seguridad jurídica a los sujetos interesados en el desarrollo de dicha actividad</w:t>
      </w:r>
      <w:r w:rsidRPr="0078289D">
        <w:rPr>
          <w:rFonts w:eastAsia="Times New Roman"/>
          <w:sz w:val="28"/>
          <w:szCs w:val="28"/>
          <w:vertAlign w:val="superscript"/>
          <w:lang w:val="es-CO"/>
        </w:rPr>
        <w:footnoteReference w:id="38"/>
      </w:r>
      <w:r w:rsidRPr="0078289D">
        <w:rPr>
          <w:rFonts w:eastAsia="Times New Roman"/>
          <w:sz w:val="28"/>
          <w:szCs w:val="28"/>
          <w:lang w:val="es-CO"/>
        </w:rPr>
        <w:t>.</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bdr w:val="none" w:sz="0" w:space="0" w:color="auto" w:frame="1"/>
          <w:lang w:val="es-CO" w:eastAsia="es-ES"/>
        </w:rPr>
      </w:pPr>
      <w:r w:rsidRPr="0078289D">
        <w:rPr>
          <w:rFonts w:eastAsia="Times New Roman"/>
          <w:sz w:val="28"/>
          <w:szCs w:val="28"/>
          <w:lang w:val="es-CO"/>
        </w:rPr>
        <w:t xml:space="preserve">28. De otra parte, como se expuso en precedencia, el principio de autonomía territorial </w:t>
      </w:r>
      <w:r w:rsidRPr="0078289D">
        <w:rPr>
          <w:rFonts w:eastAsia="Times New Roman"/>
          <w:sz w:val="28"/>
          <w:szCs w:val="28"/>
          <w:bdr w:val="none" w:sz="0" w:space="0" w:color="auto" w:frame="1"/>
          <w:lang w:val="es-CO" w:eastAsia="es-ES"/>
        </w:rPr>
        <w:t>s</w:t>
      </w:r>
      <w:r w:rsidR="00AB2820" w:rsidRPr="0078289D">
        <w:rPr>
          <w:rFonts w:eastAsia="Times New Roman"/>
          <w:sz w:val="28"/>
          <w:szCs w:val="28"/>
          <w:bdr w:val="none" w:sz="0" w:space="0" w:color="auto" w:frame="1"/>
          <w:lang w:val="es-CO" w:eastAsia="es-ES"/>
        </w:rPr>
        <w:t>e manifiesta, entre otra</w:t>
      </w:r>
      <w:r w:rsidRPr="0078289D">
        <w:rPr>
          <w:rFonts w:eastAsia="Times New Roman"/>
          <w:sz w:val="28"/>
          <w:szCs w:val="28"/>
          <w:bdr w:val="none" w:sz="0" w:space="0" w:color="auto" w:frame="1"/>
          <w:lang w:val="es-CO" w:eastAsia="es-ES"/>
        </w:rPr>
        <w:t xml:space="preserve">s, en que </w:t>
      </w:r>
      <w:r w:rsidR="00AB2820" w:rsidRPr="0078289D">
        <w:rPr>
          <w:rFonts w:eastAsia="Times New Roman"/>
          <w:sz w:val="28"/>
          <w:szCs w:val="28"/>
          <w:bdr w:val="none" w:sz="0" w:space="0" w:color="auto" w:frame="1"/>
          <w:lang w:val="es-CO" w:eastAsia="es-ES"/>
        </w:rPr>
        <w:t>las entidades territoriales goza</w:t>
      </w:r>
      <w:r w:rsidRPr="0078289D">
        <w:rPr>
          <w:rFonts w:eastAsia="Times New Roman"/>
          <w:sz w:val="28"/>
          <w:szCs w:val="28"/>
          <w:bdr w:val="none" w:sz="0" w:space="0" w:color="auto" w:frame="1"/>
          <w:lang w:val="es-CO" w:eastAsia="es-ES"/>
        </w:rPr>
        <w:t>n de autonomía para la gestión de sus propios intereses, lo que implica </w:t>
      </w:r>
      <w:r w:rsidRPr="0078289D">
        <w:rPr>
          <w:rFonts w:eastAsia="Times New Roman"/>
          <w:bCs/>
          <w:sz w:val="28"/>
          <w:szCs w:val="28"/>
          <w:bdr w:val="none" w:sz="0" w:space="0" w:color="auto" w:frame="1"/>
          <w:lang w:val="es-CO" w:eastAsia="es-ES"/>
        </w:rPr>
        <w:t>gobernarse por autoridades propias</w:t>
      </w:r>
      <w:r w:rsidRPr="0078289D">
        <w:rPr>
          <w:rFonts w:eastAsia="Times New Roman"/>
          <w:sz w:val="28"/>
          <w:szCs w:val="28"/>
          <w:bdr w:val="none" w:sz="0" w:space="0" w:color="auto" w:frame="1"/>
          <w:lang w:val="es-CO" w:eastAsia="es-ES"/>
        </w:rPr>
        <w:t>,</w:t>
      </w:r>
      <w:r w:rsidRPr="0078289D">
        <w:rPr>
          <w:rFonts w:eastAsia="Times New Roman"/>
          <w:bCs/>
          <w:sz w:val="28"/>
          <w:szCs w:val="28"/>
          <w:bdr w:val="none" w:sz="0" w:space="0" w:color="auto" w:frame="1"/>
          <w:lang w:val="es-CO" w:eastAsia="es-ES"/>
        </w:rPr>
        <w:t> ejercer las competencias que les correspondan</w:t>
      </w:r>
      <w:r w:rsidRPr="0078289D">
        <w:rPr>
          <w:rFonts w:eastAsia="Times New Roman"/>
          <w:sz w:val="28"/>
          <w:szCs w:val="28"/>
          <w:bdr w:val="none" w:sz="0" w:space="0" w:color="auto" w:frame="1"/>
          <w:lang w:val="es-CO" w:eastAsia="es-ES"/>
        </w:rPr>
        <w:t xml:space="preserve">, administrar los recursos necesarios para el cumplimiento de sus funciones y participar en las rentas nacionales (artículo 287 superior).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bdr w:val="none" w:sz="0" w:space="0" w:color="auto" w:frame="1"/>
          <w:lang w:val="es-CO" w:eastAsia="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bdr w:val="none" w:sz="0" w:space="0" w:color="auto" w:frame="1"/>
          <w:lang w:val="es-CO" w:eastAsia="es-ES"/>
        </w:rPr>
        <w:t xml:space="preserve">De igual forma, aunque las entidades territoriales ejercen competencias que se consideran propias, es la ley la encargada de determinar la distribución de dichas competencias entre la Nación y las mencionadas entidades (artículo 288 superior). No obstante, el </w:t>
      </w:r>
      <w:r w:rsidR="00CA0A76" w:rsidRPr="0078289D">
        <w:rPr>
          <w:rFonts w:eastAsia="Times New Roman"/>
          <w:sz w:val="28"/>
          <w:szCs w:val="28"/>
          <w:bdr w:val="none" w:sz="0" w:space="0" w:color="auto" w:frame="1"/>
          <w:lang w:val="es-CO" w:eastAsia="es-ES"/>
        </w:rPr>
        <w:t>Legislador</w:t>
      </w:r>
      <w:r w:rsidRPr="0078289D">
        <w:rPr>
          <w:rFonts w:eastAsia="Times New Roman"/>
          <w:sz w:val="28"/>
          <w:szCs w:val="28"/>
          <w:bdr w:val="none" w:sz="0" w:space="0" w:color="auto" w:frame="1"/>
          <w:lang w:val="es-CO" w:eastAsia="es-ES"/>
        </w:rPr>
        <w:t xml:space="preserve"> no cuenta con total e irrestricta libertad de configuración normativa, pues las propias disposiciones constitucionales establecen límites o parámetros competenciales que deben ser </w:t>
      </w:r>
      <w:r w:rsidR="00D9086B" w:rsidRPr="0078289D">
        <w:rPr>
          <w:rFonts w:eastAsia="Times New Roman"/>
          <w:sz w:val="28"/>
          <w:szCs w:val="28"/>
          <w:bdr w:val="none" w:sz="0" w:space="0" w:color="auto" w:frame="1"/>
          <w:lang w:val="es-CO" w:eastAsia="es-ES"/>
        </w:rPr>
        <w:t>seguidos</w:t>
      </w:r>
      <w:r w:rsidRPr="0078289D">
        <w:rPr>
          <w:rFonts w:eastAsia="Times New Roman"/>
          <w:sz w:val="28"/>
          <w:szCs w:val="28"/>
          <w:bdr w:val="none" w:sz="0" w:space="0" w:color="auto" w:frame="1"/>
          <w:lang w:val="es-CO" w:eastAsia="es-ES"/>
        </w:rPr>
        <w:t xml:space="preserve"> en cumplimiento de esta tarea.</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lang w:val="es-ES" w:eastAsia="es-ES"/>
        </w:rPr>
      </w:pPr>
      <w:r w:rsidRPr="0078289D">
        <w:rPr>
          <w:rFonts w:eastAsia="Times New Roman"/>
          <w:sz w:val="28"/>
          <w:szCs w:val="28"/>
          <w:bdr w:val="none" w:sz="0" w:space="0" w:color="auto" w:frame="1"/>
          <w:lang w:val="es-CO" w:eastAsia="es-ES"/>
        </w:rPr>
        <w:t>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lang w:val="es-ES" w:eastAsia="es-ES"/>
        </w:rPr>
      </w:pPr>
      <w:r w:rsidRPr="0078289D">
        <w:rPr>
          <w:rFonts w:eastAsia="Times New Roman"/>
          <w:sz w:val="28"/>
          <w:szCs w:val="28"/>
          <w:bdr w:val="none" w:sz="0" w:space="0" w:color="auto" w:frame="1"/>
          <w:lang w:val="es-CO" w:eastAsia="es-ES"/>
        </w:rPr>
        <w:t xml:space="preserve">En ese orden de ideas, del contenido y los límites que </w:t>
      </w:r>
      <w:r w:rsidR="00D9086B" w:rsidRPr="0078289D">
        <w:rPr>
          <w:rFonts w:eastAsia="Times New Roman"/>
          <w:sz w:val="28"/>
          <w:szCs w:val="28"/>
          <w:bdr w:val="none" w:sz="0" w:space="0" w:color="auto" w:frame="1"/>
          <w:lang w:val="es-CO" w:eastAsia="es-ES"/>
        </w:rPr>
        <w:t xml:space="preserve">surgen para el </w:t>
      </w:r>
      <w:r w:rsidR="00CA0A76" w:rsidRPr="0078289D">
        <w:rPr>
          <w:rFonts w:eastAsia="Times New Roman"/>
          <w:sz w:val="28"/>
          <w:szCs w:val="28"/>
          <w:bdr w:val="none" w:sz="0" w:space="0" w:color="auto" w:frame="1"/>
          <w:lang w:val="es-CO" w:eastAsia="es-ES"/>
        </w:rPr>
        <w:t>Legislador</w:t>
      </w:r>
      <w:r w:rsidR="00D9086B" w:rsidRPr="0078289D">
        <w:rPr>
          <w:rFonts w:eastAsia="Times New Roman"/>
          <w:sz w:val="28"/>
          <w:szCs w:val="28"/>
          <w:bdr w:val="none" w:sz="0" w:space="0" w:color="auto" w:frame="1"/>
          <w:lang w:val="es-CO" w:eastAsia="es-ES"/>
        </w:rPr>
        <w:t xml:space="preserve"> </w:t>
      </w:r>
      <w:r w:rsidRPr="0078289D">
        <w:rPr>
          <w:rFonts w:eastAsia="Times New Roman"/>
          <w:sz w:val="28"/>
          <w:szCs w:val="28"/>
          <w:bdr w:val="none" w:sz="0" w:space="0" w:color="auto" w:frame="1"/>
          <w:lang w:val="es-CO" w:eastAsia="es-ES"/>
        </w:rPr>
        <w:t>del principio de autonomía territorial, resulta relevante lo señalado en el artículo 311 de la Constitución, que consagra como función de los municipios “</w:t>
      </w:r>
      <w:r w:rsidRPr="0078289D">
        <w:rPr>
          <w:rFonts w:eastAsia="Times New Roman"/>
          <w:i/>
          <w:iCs/>
          <w:sz w:val="28"/>
          <w:szCs w:val="28"/>
          <w:bdr w:val="none" w:sz="0" w:space="0" w:color="auto" w:frame="1"/>
          <w:lang w:val="es-CO" w:eastAsia="es-ES"/>
        </w:rPr>
        <w:t>ordenar el desarrollo de su territorio</w:t>
      </w:r>
      <w:r w:rsidRPr="0078289D">
        <w:rPr>
          <w:rFonts w:eastAsia="Times New Roman"/>
          <w:sz w:val="28"/>
          <w:szCs w:val="28"/>
          <w:bdr w:val="none" w:sz="0" w:space="0" w:color="auto" w:frame="1"/>
          <w:lang w:val="es-CO" w:eastAsia="es-ES"/>
        </w:rPr>
        <w:t xml:space="preserve">”, disposición que se complementa con el numeral séptimo del artículo 313, el cual </w:t>
      </w:r>
      <w:r w:rsidR="00D9086B" w:rsidRPr="0078289D">
        <w:rPr>
          <w:rFonts w:eastAsia="Times New Roman"/>
          <w:sz w:val="28"/>
          <w:szCs w:val="28"/>
          <w:bdr w:val="none" w:sz="0" w:space="0" w:color="auto" w:frame="1"/>
          <w:lang w:val="es-CO" w:eastAsia="es-ES"/>
        </w:rPr>
        <w:t>establece</w:t>
      </w:r>
      <w:r w:rsidRPr="0078289D">
        <w:rPr>
          <w:rFonts w:eastAsia="Times New Roman"/>
          <w:sz w:val="28"/>
          <w:szCs w:val="28"/>
          <w:bdr w:val="none" w:sz="0" w:space="0" w:color="auto" w:frame="1"/>
          <w:lang w:val="es-CO" w:eastAsia="es-ES"/>
        </w:rPr>
        <w:t xml:space="preserve"> que dentro de las funciones de los Concejos Municipales está</w:t>
      </w:r>
      <w:r w:rsidR="00157F27" w:rsidRPr="0078289D">
        <w:rPr>
          <w:rFonts w:eastAsia="Times New Roman"/>
          <w:sz w:val="28"/>
          <w:szCs w:val="28"/>
          <w:bdr w:val="none" w:sz="0" w:space="0" w:color="auto" w:frame="1"/>
          <w:lang w:val="es-CO" w:eastAsia="es-ES"/>
        </w:rPr>
        <w:t xml:space="preserve"> la de</w:t>
      </w:r>
      <w:r w:rsidRPr="0078289D">
        <w:rPr>
          <w:rFonts w:eastAsia="Times New Roman"/>
          <w:sz w:val="28"/>
          <w:szCs w:val="28"/>
          <w:bdr w:val="none" w:sz="0" w:space="0" w:color="auto" w:frame="1"/>
          <w:lang w:val="es-CO" w:eastAsia="es-ES"/>
        </w:rPr>
        <w:t xml:space="preserve"> “</w:t>
      </w:r>
      <w:r w:rsidRPr="0078289D">
        <w:rPr>
          <w:rFonts w:eastAsia="Times New Roman"/>
          <w:i/>
          <w:iCs/>
          <w:sz w:val="28"/>
          <w:szCs w:val="28"/>
          <w:bdr w:val="none" w:sz="0" w:space="0" w:color="auto" w:frame="1"/>
          <w:lang w:val="es-CO" w:eastAsia="es-ES"/>
        </w:rPr>
        <w:t>reglamentar los usos del suelo y, dentro de los límites que fije la ley, vigilar y controlar las actividades relacionadas con la construcción y enajenación de inmuebles destinados a vivienda</w:t>
      </w:r>
      <w:r w:rsidRPr="0078289D">
        <w:rPr>
          <w:rFonts w:eastAsia="Times New Roman"/>
          <w:sz w:val="28"/>
          <w:szCs w:val="28"/>
          <w:bdr w:val="none" w:sz="0" w:space="0" w:color="auto" w:frame="1"/>
          <w:lang w:val="es-CO" w:eastAsia="es-ES"/>
        </w:rPr>
        <w:t>”.</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color w:val="2D2D2D"/>
          <w:sz w:val="28"/>
          <w:szCs w:val="28"/>
          <w:lang w:val="es-ES" w:eastAsia="es-ES"/>
        </w:rPr>
      </w:pPr>
      <w:r w:rsidRPr="0078289D">
        <w:rPr>
          <w:rFonts w:eastAsia="Times New Roman"/>
          <w:color w:val="2D2D2D"/>
          <w:sz w:val="28"/>
          <w:szCs w:val="28"/>
          <w:bdr w:val="none" w:sz="0" w:space="0" w:color="auto" w:frame="1"/>
          <w:lang w:val="es-CO" w:eastAsia="es-ES"/>
        </w:rPr>
        <w:t>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CO" w:eastAsia="es-ES"/>
        </w:rPr>
      </w:pPr>
      <w:r w:rsidRPr="0078289D">
        <w:rPr>
          <w:rFonts w:eastAsia="Times New Roman"/>
          <w:sz w:val="28"/>
          <w:szCs w:val="28"/>
          <w:bdr w:val="none" w:sz="0" w:space="0" w:color="auto" w:frame="1"/>
          <w:lang w:val="es-CO" w:eastAsia="es-ES"/>
        </w:rPr>
        <w:t xml:space="preserve">29. Acorde con lo anterior, la libertad del </w:t>
      </w:r>
      <w:r w:rsidR="00CA0A76" w:rsidRPr="0078289D">
        <w:rPr>
          <w:rFonts w:eastAsia="Times New Roman"/>
          <w:sz w:val="28"/>
          <w:szCs w:val="28"/>
          <w:bdr w:val="none" w:sz="0" w:space="0" w:color="auto" w:frame="1"/>
          <w:lang w:val="es-CO" w:eastAsia="es-ES"/>
        </w:rPr>
        <w:t>Legislador</w:t>
      </w:r>
      <w:r w:rsidRPr="0078289D">
        <w:rPr>
          <w:rFonts w:eastAsia="Times New Roman"/>
          <w:sz w:val="28"/>
          <w:szCs w:val="28"/>
          <w:bdr w:val="none" w:sz="0" w:space="0" w:color="auto" w:frame="1"/>
          <w:lang w:val="es-CO" w:eastAsia="es-ES"/>
        </w:rPr>
        <w:t xml:space="preserve"> </w:t>
      </w:r>
      <w:r w:rsidR="00157F27" w:rsidRPr="0078289D">
        <w:rPr>
          <w:rFonts w:eastAsia="Times New Roman"/>
          <w:sz w:val="28"/>
          <w:szCs w:val="28"/>
          <w:bdr w:val="none" w:sz="0" w:space="0" w:color="auto" w:frame="1"/>
          <w:lang w:val="es-CO" w:eastAsia="es-ES"/>
        </w:rPr>
        <w:t>para</w:t>
      </w:r>
      <w:r w:rsidRPr="0078289D">
        <w:rPr>
          <w:rFonts w:eastAsia="Times New Roman"/>
          <w:sz w:val="28"/>
          <w:szCs w:val="28"/>
          <w:bdr w:val="none" w:sz="0" w:space="0" w:color="auto" w:frame="1"/>
          <w:lang w:val="es-CO" w:eastAsia="es-ES"/>
        </w:rPr>
        <w:t xml:space="preserve"> determinar la distribución de competencias entre uno y otro nivel competencial no puede obviar las expresas atribuciones reconocidas a los municipios por las precitadas disposiciones con</w:t>
      </w:r>
      <w:r w:rsidR="00157F27" w:rsidRPr="0078289D">
        <w:rPr>
          <w:rFonts w:eastAsia="Times New Roman"/>
          <w:sz w:val="28"/>
          <w:szCs w:val="28"/>
          <w:bdr w:val="none" w:sz="0" w:space="0" w:color="auto" w:frame="1"/>
          <w:lang w:val="es-CO" w:eastAsia="es-ES"/>
        </w:rPr>
        <w:t>stitucionales. Ello implica que</w:t>
      </w:r>
      <w:r w:rsidRPr="0078289D">
        <w:rPr>
          <w:rFonts w:eastAsia="Times New Roman"/>
          <w:sz w:val="28"/>
          <w:szCs w:val="28"/>
          <w:bdr w:val="none" w:sz="0" w:space="0" w:color="auto" w:frame="1"/>
          <w:lang w:val="es-CO" w:eastAsia="es-ES"/>
        </w:rPr>
        <w:t xml:space="preserve"> la legislación</w:t>
      </w:r>
      <w:r w:rsidRPr="0078289D">
        <w:rPr>
          <w:rFonts w:eastAsia="Times New Roman"/>
          <w:b/>
          <w:bCs/>
          <w:sz w:val="28"/>
          <w:szCs w:val="28"/>
          <w:bdr w:val="none" w:sz="0" w:space="0" w:color="auto" w:frame="1"/>
          <w:lang w:val="es-CO" w:eastAsia="es-ES"/>
        </w:rPr>
        <w:t> </w:t>
      </w:r>
      <w:r w:rsidRPr="0078289D">
        <w:rPr>
          <w:rFonts w:eastAsia="Times New Roman"/>
          <w:sz w:val="28"/>
          <w:szCs w:val="28"/>
          <w:bdr w:val="none" w:sz="0" w:space="0" w:color="auto" w:frame="1"/>
          <w:lang w:val="es-CO" w:eastAsia="es-ES"/>
        </w:rPr>
        <w:t xml:space="preserve">no </w:t>
      </w:r>
      <w:r w:rsidRPr="0078289D">
        <w:rPr>
          <w:rFonts w:eastAsia="Times New Roman"/>
          <w:sz w:val="28"/>
          <w:szCs w:val="28"/>
          <w:bdr w:val="none" w:sz="0" w:space="0" w:color="auto" w:frame="1"/>
          <w:lang w:val="es-CO" w:eastAsia="es-ES"/>
        </w:rPr>
        <w:lastRenderedPageBreak/>
        <w:t xml:space="preserve">puede desconocer que, cualquiera que sea la distribución competencial que </w:t>
      </w:r>
      <w:r w:rsidR="00157F27" w:rsidRPr="0078289D">
        <w:rPr>
          <w:rFonts w:eastAsia="Times New Roman"/>
          <w:sz w:val="28"/>
          <w:szCs w:val="28"/>
          <w:bdr w:val="none" w:sz="0" w:space="0" w:color="auto" w:frame="1"/>
          <w:lang w:val="es-CO" w:eastAsia="es-ES"/>
        </w:rPr>
        <w:t>establezca</w:t>
      </w:r>
      <w:r w:rsidRPr="0078289D">
        <w:rPr>
          <w:rFonts w:eastAsia="Times New Roman"/>
          <w:sz w:val="28"/>
          <w:szCs w:val="28"/>
          <w:bdr w:val="none" w:sz="0" w:space="0" w:color="auto" w:frame="1"/>
          <w:lang w:val="es-CO" w:eastAsia="es-ES"/>
        </w:rPr>
        <w:t>, la misma no puede anular el contenido específico del principio de autonomía territorial que se manifiesta en la posibilidad de que los municipios reglamenten los usos del suelo dentro de su respectivo territorio.</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CO" w:eastAsia="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bdr w:val="none" w:sz="0" w:space="0" w:color="auto" w:frame="1"/>
          <w:lang w:val="es-CO" w:eastAsia="es-ES"/>
        </w:rPr>
        <w:t xml:space="preserve">En ese marco, se </w:t>
      </w:r>
      <w:r w:rsidRPr="0078289D">
        <w:rPr>
          <w:rFonts w:eastAsia="Times New Roman"/>
          <w:sz w:val="28"/>
          <w:szCs w:val="28"/>
          <w:shd w:val="clear" w:color="auto" w:fill="FFFFFF"/>
          <w:lang w:val="es-ES"/>
        </w:rPr>
        <w:t xml:space="preserve">evidencia la trascendencia de la función asignada a concejos distritales y municipales por los artículos constitucionales 311 y 313 numeral 7, y lo relevante que </w:t>
      </w:r>
      <w:r w:rsidR="003D6EB3" w:rsidRPr="0078289D">
        <w:rPr>
          <w:rFonts w:eastAsia="Times New Roman"/>
          <w:sz w:val="28"/>
          <w:szCs w:val="28"/>
          <w:shd w:val="clear" w:color="auto" w:fill="FFFFFF"/>
          <w:lang w:val="es-ES"/>
        </w:rPr>
        <w:t>es</w:t>
      </w:r>
      <w:r w:rsidRPr="0078289D">
        <w:rPr>
          <w:rFonts w:eastAsia="Times New Roman"/>
          <w:sz w:val="28"/>
          <w:szCs w:val="28"/>
          <w:shd w:val="clear" w:color="auto" w:fill="FFFFFF"/>
          <w:lang w:val="es-ES"/>
        </w:rPr>
        <w:t xml:space="preserve"> su participación en la reglamentación de los usos del suelo. Además, resulta fundamental que en un Estado unitario, con autonomía de sus entidades territoriales</w:t>
      </w:r>
      <w:r w:rsidR="00E462CC" w:rsidRPr="0078289D">
        <w:rPr>
          <w:rFonts w:eastAsia="Times New Roman"/>
          <w:sz w:val="28"/>
          <w:szCs w:val="28"/>
          <w:shd w:val="clear" w:color="auto" w:fill="FFFFFF"/>
          <w:lang w:val="es-ES"/>
        </w:rPr>
        <w:t>,</w:t>
      </w:r>
      <w:r w:rsidRPr="0078289D">
        <w:rPr>
          <w:rFonts w:eastAsia="Times New Roman"/>
          <w:sz w:val="28"/>
          <w:szCs w:val="28"/>
          <w:shd w:val="clear" w:color="auto" w:fill="FFFFFF"/>
          <w:lang w:val="es-ES"/>
        </w:rPr>
        <w:t xml:space="preserve"> y que dispone como pilar esencial la participación de sus habitantes en las decisiones que los afectan, se entienda el papel de </w:t>
      </w:r>
      <w:r w:rsidR="00E462CC" w:rsidRPr="0078289D">
        <w:rPr>
          <w:rFonts w:eastAsia="Times New Roman"/>
          <w:sz w:val="28"/>
          <w:szCs w:val="28"/>
          <w:shd w:val="clear" w:color="auto" w:fill="FFFFFF"/>
          <w:lang w:val="es-ES"/>
        </w:rPr>
        <w:t xml:space="preserve">las autoridades municipales </w:t>
      </w:r>
      <w:r w:rsidRPr="0078289D">
        <w:rPr>
          <w:rFonts w:eastAsia="Times New Roman"/>
          <w:sz w:val="28"/>
          <w:szCs w:val="28"/>
          <w:shd w:val="clear" w:color="auto" w:fill="FFFFFF"/>
          <w:lang w:val="es-ES"/>
        </w:rPr>
        <w:t>como un elemento </w:t>
      </w:r>
      <w:r w:rsidRPr="0078289D">
        <w:rPr>
          <w:rFonts w:eastAsia="Times New Roman"/>
          <w:iCs/>
          <w:sz w:val="28"/>
          <w:szCs w:val="28"/>
          <w:bdr w:val="none" w:sz="0" w:space="0" w:color="auto" w:frame="1"/>
          <w:shd w:val="clear" w:color="auto" w:fill="FFFFFF"/>
          <w:lang w:val="es-ES"/>
        </w:rPr>
        <w:t>determinador del desarrollo práctico </w:t>
      </w:r>
      <w:r w:rsidRPr="0078289D">
        <w:rPr>
          <w:rFonts w:eastAsia="Times New Roman"/>
          <w:sz w:val="28"/>
          <w:szCs w:val="28"/>
          <w:shd w:val="clear" w:color="auto" w:fill="FFFFFF"/>
          <w:lang w:val="es-ES"/>
        </w:rPr>
        <w:t>del régimen territorial previsto por la Carta Política.</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AB09E0" w:rsidP="0078289D">
      <w:pPr>
        <w:pBdr>
          <w:top w:val="none" w:sz="0" w:space="0" w:color="auto"/>
          <w:left w:val="none" w:sz="0" w:space="0" w:color="auto"/>
          <w:bottom w:val="none" w:sz="0" w:space="0" w:color="auto"/>
          <w:right w:val="none" w:sz="0" w:space="0" w:color="auto"/>
        </w:pBdr>
        <w:jc w:val="both"/>
        <w:rPr>
          <w:rFonts w:eastAsia="Times New Roman"/>
          <w:sz w:val="28"/>
          <w:szCs w:val="28"/>
          <w:shd w:val="clear" w:color="auto" w:fill="FFFFFF"/>
          <w:lang w:val="es-ES"/>
        </w:rPr>
      </w:pPr>
      <w:r w:rsidRPr="0078289D">
        <w:rPr>
          <w:rFonts w:eastAsia="Times New Roman"/>
          <w:sz w:val="28"/>
          <w:szCs w:val="28"/>
          <w:lang w:val="es-CO"/>
        </w:rPr>
        <w:t>30. L</w:t>
      </w:r>
      <w:r w:rsidR="00654D29" w:rsidRPr="0078289D">
        <w:rPr>
          <w:rFonts w:eastAsia="Times New Roman"/>
          <w:sz w:val="28"/>
          <w:szCs w:val="28"/>
          <w:lang w:val="es-CO"/>
        </w:rPr>
        <w:t xml:space="preserve">a </w:t>
      </w:r>
      <w:r w:rsidR="00654D29" w:rsidRPr="0078289D">
        <w:rPr>
          <w:rFonts w:eastAsia="Times New Roman"/>
          <w:b/>
          <w:sz w:val="28"/>
          <w:szCs w:val="28"/>
          <w:lang w:val="es-CO"/>
        </w:rPr>
        <w:t>Sentencia C-123 de 2014</w:t>
      </w:r>
      <w:r w:rsidR="00654D29" w:rsidRPr="0078289D">
        <w:rPr>
          <w:rFonts w:eastAsia="Times New Roman"/>
          <w:sz w:val="28"/>
          <w:szCs w:val="28"/>
          <w:lang w:val="es-CO"/>
        </w:rPr>
        <w:t xml:space="preserve"> estudió si </w:t>
      </w:r>
      <w:r w:rsidR="00654D29" w:rsidRPr="0078289D">
        <w:rPr>
          <w:rFonts w:eastAsia="Times New Roman"/>
          <w:sz w:val="28"/>
          <w:szCs w:val="28"/>
          <w:shd w:val="clear" w:color="auto" w:fill="FFFFFF"/>
          <w:lang w:val="es-ES"/>
        </w:rPr>
        <w:t>una prohibición</w:t>
      </w:r>
      <w:r w:rsidRPr="0078289D">
        <w:rPr>
          <w:rFonts w:eastAsia="Times New Roman"/>
          <w:sz w:val="28"/>
          <w:szCs w:val="28"/>
          <w:shd w:val="clear" w:color="auto" w:fill="FFFFFF"/>
          <w:lang w:val="es-ES"/>
        </w:rPr>
        <w:t xml:space="preserve"> </w:t>
      </w:r>
      <w:r w:rsidR="00654D29" w:rsidRPr="0078289D">
        <w:rPr>
          <w:rFonts w:eastAsia="Times New Roman"/>
          <w:sz w:val="28"/>
          <w:szCs w:val="28"/>
          <w:shd w:val="clear" w:color="auto" w:fill="FFFFFF"/>
          <w:lang w:val="es-ES"/>
        </w:rPr>
        <w:t>para que los concejos municipales y distritales excluyeran zonas de su territorio de la realización de actividades de e</w:t>
      </w:r>
      <w:r w:rsidRPr="0078289D">
        <w:rPr>
          <w:rFonts w:eastAsia="Times New Roman"/>
          <w:sz w:val="28"/>
          <w:szCs w:val="28"/>
          <w:shd w:val="clear" w:color="auto" w:fill="FFFFFF"/>
          <w:lang w:val="es-ES"/>
        </w:rPr>
        <w:t>xploración y explotación minera</w:t>
      </w:r>
      <w:r w:rsidR="00654D29" w:rsidRPr="0078289D">
        <w:rPr>
          <w:rFonts w:eastAsia="Times New Roman"/>
          <w:sz w:val="28"/>
          <w:szCs w:val="28"/>
          <w:shd w:val="clear" w:color="auto" w:fill="FFFFFF"/>
          <w:lang w:val="es-ES"/>
        </w:rPr>
        <w:t xml:space="preserve"> resultaba una limitación desproporcionada de la competencia para </w:t>
      </w:r>
      <w:r w:rsidR="004E2613" w:rsidRPr="0078289D">
        <w:rPr>
          <w:rFonts w:eastAsia="Times New Roman"/>
          <w:sz w:val="28"/>
          <w:szCs w:val="28"/>
          <w:shd w:val="clear" w:color="auto" w:fill="FFFFFF"/>
          <w:lang w:val="es-ES"/>
        </w:rPr>
        <w:t>regular</w:t>
      </w:r>
      <w:r w:rsidR="003D6EB3" w:rsidRPr="0078289D">
        <w:rPr>
          <w:rFonts w:eastAsia="Times New Roman"/>
          <w:sz w:val="28"/>
          <w:szCs w:val="28"/>
          <w:shd w:val="clear" w:color="auto" w:fill="FFFFFF"/>
          <w:lang w:val="es-ES"/>
        </w:rPr>
        <w:t xml:space="preserve"> los usos del suelo. </w:t>
      </w:r>
      <w:r w:rsidR="00654D29" w:rsidRPr="0078289D">
        <w:rPr>
          <w:rFonts w:eastAsia="Times New Roman"/>
          <w:sz w:val="28"/>
          <w:szCs w:val="28"/>
          <w:shd w:val="clear" w:color="auto" w:fill="FFFFFF"/>
          <w:lang w:val="es-ES"/>
        </w:rPr>
        <w:t xml:space="preserve">En esa providencia la Corte señaló: </w:t>
      </w:r>
      <w:r w:rsidR="00654D29" w:rsidRPr="0078289D">
        <w:rPr>
          <w:rFonts w:eastAsia="Times New Roman"/>
          <w:i/>
          <w:sz w:val="28"/>
          <w:szCs w:val="28"/>
          <w:shd w:val="clear" w:color="auto" w:fill="FFFFFF"/>
          <w:lang w:val="es-ES"/>
        </w:rPr>
        <w:t>“</w:t>
      </w:r>
      <w:r w:rsidR="00654D29" w:rsidRPr="0078289D">
        <w:rPr>
          <w:rFonts w:eastAsia="Times New Roman"/>
          <w:i/>
          <w:sz w:val="28"/>
          <w:szCs w:val="28"/>
          <w:lang w:val="es-CO"/>
        </w:rPr>
        <w:t>no existe duda del gran impacto que la</w:t>
      </w:r>
      <w:r w:rsidR="00654D29" w:rsidRPr="0078289D">
        <w:rPr>
          <w:rFonts w:eastAsia="Times New Roman"/>
          <w:b/>
          <w:i/>
          <w:sz w:val="28"/>
          <w:szCs w:val="28"/>
          <w:lang w:val="es-CO"/>
        </w:rPr>
        <w:t xml:space="preserve"> </w:t>
      </w:r>
      <w:r w:rsidR="00654D29" w:rsidRPr="0078289D">
        <w:rPr>
          <w:rFonts w:eastAsia="Times New Roman"/>
          <w:i/>
          <w:sz w:val="28"/>
          <w:szCs w:val="28"/>
          <w:lang w:val="es-CO"/>
        </w:rPr>
        <w:t>actividad minera puede tener en la función de ordenamiento del territorio y, adicionalmente, en la reglamentación que los usos del suelo por parte de los concejos distritales y municipales. Por consiguiente, y en armonía con lo concluido anteriormente, una norma que excluya de forma absoluta la participación de los municipios y distritos en la decisión sobre si en su territorio se realiza una exploración o explotación minera resulta contraria al contenido del principio de autonomía territorial –artículo 288 de la Constitución-, específicamente, a la garantía de gobernarse por autoridades propias</w:t>
      </w:r>
      <w:r w:rsidR="00654D29" w:rsidRPr="0078289D">
        <w:rPr>
          <w:rFonts w:eastAsia="Times New Roman"/>
          <w:i/>
          <w:sz w:val="28"/>
          <w:szCs w:val="28"/>
          <w:vertAlign w:val="superscript"/>
          <w:lang w:val="es-CO"/>
        </w:rPr>
        <w:footnoteReference w:id="39"/>
      </w:r>
      <w:r w:rsidR="00654D29" w:rsidRPr="0078289D">
        <w:rPr>
          <w:rFonts w:eastAsia="Times New Roman"/>
          <w:i/>
          <w:sz w:val="28"/>
          <w:szCs w:val="28"/>
          <w:lang w:val="es-CO"/>
        </w:rPr>
        <w:t xml:space="preserve"> –artículo 287, numeral 1º- y a la función de los concejos consistente en reglamentar los usos del suelo en el municipio –artículo 313, numeral 7º-.”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i/>
          <w:sz w:val="28"/>
          <w:szCs w:val="28"/>
          <w:lang w:val="es-CO"/>
        </w:rPr>
      </w:pPr>
      <w:r w:rsidRPr="0078289D">
        <w:rPr>
          <w:rFonts w:eastAsia="Times New Roman"/>
          <w:sz w:val="28"/>
          <w:szCs w:val="28"/>
          <w:lang w:val="es-CO"/>
        </w:rPr>
        <w:t xml:space="preserve">Adicionalmente, agregó que excluir a los concejos municipales del proceso de reglamentación de los usos del suelo </w:t>
      </w:r>
      <w:r w:rsidRPr="0078289D">
        <w:rPr>
          <w:rFonts w:eastAsia="Times New Roman"/>
          <w:i/>
          <w:sz w:val="28"/>
          <w:szCs w:val="28"/>
          <w:lang w:val="es-CO"/>
        </w:rPr>
        <w:t>“desconoce los principios de concurrencia y coordinación que deben inspirar la repartición de competencias entre los entes territoriales y los entidades del nivel nacional. Principios que son exigencias de rango constitucional, expresamente previstos por el artículo 288 de la Constitución como los parámetros a partir de los cuales se armonice el principio de autonomía territorial con un principio que, como el de forma unitaria del Estado, está en constante tensión con aquel.”</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i/>
          <w:sz w:val="28"/>
          <w:szCs w:val="28"/>
          <w:lang w:val="es-CO"/>
        </w:rPr>
      </w:pPr>
    </w:p>
    <w:p w:rsidR="00AE5E64"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bdr w:val="none" w:sz="0" w:space="0" w:color="auto" w:frame="1"/>
          <w:lang w:val="es-CO" w:eastAsia="es-CO"/>
        </w:rPr>
        <w:t xml:space="preserve">Ante el problema jurídico planteado, </w:t>
      </w:r>
      <w:r w:rsidRPr="0078289D">
        <w:rPr>
          <w:rFonts w:eastAsia="Times New Roman"/>
          <w:sz w:val="28"/>
          <w:szCs w:val="28"/>
          <w:shd w:val="clear" w:color="auto" w:fill="FFFFFF"/>
          <w:lang w:val="es-ES"/>
        </w:rPr>
        <w:t xml:space="preserve">la Sala Plena consideró que el precepto acusado hallaba sustento constitucional en el principio de organización unitaria del Estado y en los artículos 332 y 334 Superiores, que atribuyen al Estado la propiedad de los recursos del subsuelo y la facultad para determinar políticas relativas a la explotación de recursos naturales. Sin embargo, advirtió </w:t>
      </w:r>
      <w:r w:rsidRPr="0078289D">
        <w:rPr>
          <w:rFonts w:eastAsia="Times New Roman"/>
          <w:sz w:val="28"/>
          <w:szCs w:val="28"/>
          <w:shd w:val="clear" w:color="auto" w:fill="FFFFFF"/>
          <w:lang w:val="es-ES"/>
        </w:rPr>
        <w:lastRenderedPageBreak/>
        <w:t xml:space="preserve">que una interpretación en términos absolutos de dicha prohibición desconocía la autonomía de las entidades territoriales (art. 287 superior) y los principios que han de regir la distribución de competencias entre la Nación y las entidades territoriales (art. 288 superior). </w:t>
      </w:r>
    </w:p>
    <w:p w:rsidR="00AE5E64" w:rsidRPr="0078289D" w:rsidRDefault="00AE5E64"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p>
    <w:p w:rsidR="00654D29" w:rsidRPr="0078289D" w:rsidRDefault="00AE5E64"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shd w:val="clear" w:color="auto" w:fill="FFFFFF"/>
          <w:lang w:val="es-ES"/>
        </w:rPr>
        <w:t>Como consecuencia de lo anterior</w:t>
      </w:r>
      <w:r w:rsidR="00654D29" w:rsidRPr="0078289D">
        <w:rPr>
          <w:rFonts w:eastAsia="Times New Roman"/>
          <w:sz w:val="28"/>
          <w:szCs w:val="28"/>
          <w:shd w:val="clear" w:color="auto" w:fill="FFFFFF"/>
          <w:lang w:val="es-ES"/>
        </w:rPr>
        <w:t xml:space="preserve">, </w:t>
      </w:r>
      <w:r w:rsidRPr="0078289D">
        <w:rPr>
          <w:rFonts w:eastAsia="Times New Roman"/>
          <w:sz w:val="28"/>
          <w:szCs w:val="28"/>
          <w:shd w:val="clear" w:color="auto" w:fill="FFFFFF"/>
          <w:lang w:val="es-ES"/>
        </w:rPr>
        <w:t>la Corte condicio</w:t>
      </w:r>
      <w:r w:rsidR="00EA40C6" w:rsidRPr="0078289D">
        <w:rPr>
          <w:rFonts w:eastAsia="Times New Roman"/>
          <w:sz w:val="28"/>
          <w:szCs w:val="28"/>
          <w:shd w:val="clear" w:color="auto" w:fill="FFFFFF"/>
          <w:lang w:val="es-ES"/>
        </w:rPr>
        <w:t>nó la constitucionalidad de aque</w:t>
      </w:r>
      <w:r w:rsidRPr="0078289D">
        <w:rPr>
          <w:rFonts w:eastAsia="Times New Roman"/>
          <w:sz w:val="28"/>
          <w:szCs w:val="28"/>
          <w:shd w:val="clear" w:color="auto" w:fill="FFFFFF"/>
          <w:lang w:val="es-ES"/>
        </w:rPr>
        <w:t xml:space="preserve">lla disposición </w:t>
      </w:r>
      <w:r w:rsidR="00EA40C6" w:rsidRPr="0078289D">
        <w:rPr>
          <w:rFonts w:eastAsia="Times New Roman"/>
          <w:sz w:val="28"/>
          <w:szCs w:val="28"/>
          <w:shd w:val="clear" w:color="auto" w:fill="FFFFFF"/>
          <w:lang w:val="es-ES"/>
        </w:rPr>
        <w:t>(</w:t>
      </w:r>
      <w:r w:rsidR="00654D29" w:rsidRPr="0078289D">
        <w:rPr>
          <w:rFonts w:eastAsia="Times New Roman"/>
          <w:sz w:val="28"/>
          <w:szCs w:val="28"/>
          <w:shd w:val="clear" w:color="auto" w:fill="FFFFFF"/>
          <w:lang w:val="es-ES"/>
        </w:rPr>
        <w:t>el artículo 37 del Código de Minas</w:t>
      </w:r>
      <w:r w:rsidR="00EA40C6" w:rsidRPr="0078289D">
        <w:rPr>
          <w:rFonts w:eastAsia="Times New Roman"/>
          <w:sz w:val="28"/>
          <w:szCs w:val="28"/>
          <w:shd w:val="clear" w:color="auto" w:fill="FFFFFF"/>
          <w:lang w:val="es-ES"/>
        </w:rPr>
        <w:t>)</w:t>
      </w:r>
      <w:r w:rsidR="00654D29" w:rsidRPr="0078289D">
        <w:rPr>
          <w:rFonts w:eastAsia="Times New Roman"/>
          <w:sz w:val="28"/>
          <w:szCs w:val="28"/>
          <w:shd w:val="clear" w:color="auto" w:fill="FFFFFF"/>
          <w:lang w:val="es-ES"/>
        </w:rPr>
        <w:t> </w:t>
      </w:r>
      <w:r w:rsidR="00654D29" w:rsidRPr="0078289D">
        <w:rPr>
          <w:rFonts w:eastAsia="Times New Roman"/>
          <w:i/>
          <w:iCs/>
          <w:sz w:val="28"/>
          <w:szCs w:val="28"/>
          <w:bdr w:val="none" w:sz="0" w:space="0" w:color="auto" w:frame="1"/>
          <w:shd w:val="clear" w:color="auto" w:fill="FFFFFF"/>
          <w:lang w:val="es-ES"/>
        </w:rPr>
        <w:t xml:space="preserve">“en el entendido que, en desarrollo del proceso por medio del cual se autorice la realización de actividades de exploración y explotación minera, </w:t>
      </w:r>
      <w:r w:rsidR="00654D29" w:rsidRPr="0078289D">
        <w:rPr>
          <w:rFonts w:eastAsia="Times New Roman"/>
          <w:b/>
          <w:i/>
          <w:iCs/>
          <w:sz w:val="28"/>
          <w:szCs w:val="28"/>
          <w:bdr w:val="none" w:sz="0" w:space="0" w:color="auto" w:frame="1"/>
          <w:shd w:val="clear" w:color="auto" w:fill="FFFFFF"/>
          <w:lang w:val="es-ES"/>
        </w:rPr>
        <w:t>las autoridades competentes del nivel nacional deberán acordar con las autoridades territoriales concernidas</w:t>
      </w:r>
      <w:r w:rsidR="00654D29" w:rsidRPr="0078289D">
        <w:rPr>
          <w:rFonts w:eastAsia="Times New Roman"/>
          <w:i/>
          <w:iCs/>
          <w:sz w:val="28"/>
          <w:szCs w:val="28"/>
          <w:bdr w:val="none" w:sz="0" w:space="0" w:color="auto" w:frame="1"/>
          <w:shd w:val="clear" w:color="auto" w:fill="FFFFFF"/>
          <w:lang w:val="es-ES"/>
        </w:rPr>
        <w:t>,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r w:rsidR="00654D29" w:rsidRPr="0078289D">
        <w:rPr>
          <w:rFonts w:eastAsia="Times New Roman"/>
          <w:i/>
          <w:iCs/>
          <w:sz w:val="28"/>
          <w:szCs w:val="28"/>
          <w:bdr w:val="none" w:sz="0" w:space="0" w:color="auto" w:frame="1"/>
          <w:shd w:val="clear" w:color="auto" w:fill="FFFFFF"/>
          <w:vertAlign w:val="superscript"/>
          <w:lang w:val="es-ES"/>
        </w:rPr>
        <w:footnoteReference w:id="40"/>
      </w:r>
      <w:r w:rsidR="00654D29" w:rsidRPr="0078289D">
        <w:rPr>
          <w:rFonts w:eastAsia="Times New Roman"/>
          <w:sz w:val="28"/>
          <w:szCs w:val="28"/>
          <w:shd w:val="clear" w:color="auto" w:fill="FFFFFF"/>
          <w:lang w:val="es-ES"/>
        </w:rPr>
        <w:t>.</w:t>
      </w:r>
      <w:r w:rsidR="00AE1CC6" w:rsidRPr="0078289D">
        <w:rPr>
          <w:rFonts w:eastAsia="Times New Roman"/>
          <w:sz w:val="28"/>
          <w:szCs w:val="28"/>
          <w:shd w:val="clear" w:color="auto" w:fill="FFFFFF"/>
          <w:lang w:val="es-ES"/>
        </w:rPr>
        <w:t xml:space="preserve"> (resaltado fuera de texto original)</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shd w:val="clear" w:color="auto" w:fill="FFFFFF"/>
          <w:lang w:val="es-ES"/>
        </w:rPr>
        <w:t>31. Las anteriores consideraciones</w:t>
      </w:r>
      <w:r w:rsidR="00AE1CC6" w:rsidRPr="0078289D">
        <w:rPr>
          <w:rFonts w:eastAsia="Times New Roman"/>
          <w:sz w:val="28"/>
          <w:szCs w:val="28"/>
          <w:shd w:val="clear" w:color="auto" w:fill="FFFFFF"/>
          <w:lang w:val="es-ES"/>
        </w:rPr>
        <w:t>, y la existencia de un precedente constitucional,</w:t>
      </w:r>
      <w:r w:rsidRPr="0078289D">
        <w:rPr>
          <w:rFonts w:eastAsia="Times New Roman"/>
          <w:sz w:val="28"/>
          <w:szCs w:val="28"/>
          <w:shd w:val="clear" w:color="auto" w:fill="FFFFFF"/>
          <w:lang w:val="es-ES"/>
        </w:rPr>
        <w:t xml:space="preserve"> le permiten a la Corte </w:t>
      </w:r>
      <w:r w:rsidR="0071468C" w:rsidRPr="0078289D">
        <w:rPr>
          <w:rFonts w:eastAsia="Times New Roman"/>
          <w:sz w:val="28"/>
          <w:szCs w:val="28"/>
          <w:shd w:val="clear" w:color="auto" w:fill="FFFFFF"/>
          <w:lang w:val="es-ES"/>
        </w:rPr>
        <w:t xml:space="preserve">concluir </w:t>
      </w:r>
      <w:r w:rsidRPr="0078289D">
        <w:rPr>
          <w:rFonts w:eastAsia="Times New Roman"/>
          <w:sz w:val="28"/>
          <w:szCs w:val="28"/>
          <w:shd w:val="clear" w:color="auto" w:fill="FFFFFF"/>
          <w:lang w:val="es-ES"/>
        </w:rPr>
        <w:t xml:space="preserve">que </w:t>
      </w:r>
      <w:r w:rsidRPr="0078289D">
        <w:rPr>
          <w:rFonts w:eastAsia="Times New Roman"/>
          <w:sz w:val="28"/>
          <w:szCs w:val="28"/>
          <w:bdr w:val="none" w:sz="0" w:space="0" w:color="auto" w:frame="1"/>
          <w:lang w:val="es-CO" w:eastAsia="es-ES"/>
        </w:rPr>
        <w:t>la actividad minera tiene considerables repercusiones de orden ambiental, social y económico, las cuales inciden de manera directa o indirecta sobre las personas y los territorios en los que se desarrolla dicha actividad, y condicionan de manera decisiva las facultades de ordenación del territorio y determinación de usos del suelo que corresponde a las entidades territoriales.</w:t>
      </w:r>
      <w:r w:rsidRPr="0078289D">
        <w:rPr>
          <w:rFonts w:eastAsia="Times New Roman"/>
          <w:sz w:val="28"/>
          <w:szCs w:val="28"/>
          <w:lang w:val="es-ES" w:eastAsia="es-ES"/>
        </w:rPr>
        <w:t xml:space="preserve"> </w:t>
      </w:r>
      <w:r w:rsidRPr="0078289D">
        <w:rPr>
          <w:rFonts w:eastAsia="Times New Roman"/>
          <w:sz w:val="28"/>
          <w:szCs w:val="28"/>
          <w:bdr w:val="none" w:sz="0" w:space="0" w:color="auto" w:frame="1"/>
          <w:lang w:val="es-CO" w:eastAsia="es-ES"/>
        </w:rPr>
        <w:t xml:space="preserve">De esa manera, ninguna autoridad del orden nacional puede adoptar unilateralmente decisiones a este respecto que excluyan la participación de quienes, en el ámbito local, reciben de manera directa los impactos de esa actividad. </w:t>
      </w: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p>
    <w:p w:rsidR="00654D29" w:rsidRPr="0078289D" w:rsidRDefault="00654D29"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shd w:val="clear" w:color="auto" w:fill="FFFFFF"/>
          <w:lang w:val="es-ES"/>
        </w:rPr>
      </w:pPr>
      <w:r w:rsidRPr="0078289D">
        <w:rPr>
          <w:rFonts w:eastAsia="Times New Roman"/>
          <w:sz w:val="28"/>
          <w:szCs w:val="28"/>
          <w:shd w:val="clear" w:color="auto" w:fill="FFFFFF"/>
          <w:lang w:val="es-ES"/>
        </w:rPr>
        <w:t>32. Esta Corporación ha optado entonces por una regla constitucional basada en la necesaria concertación de las decisiones relativas a la explotación de los recursos naturales, que atribuyen al </w:t>
      </w:r>
      <w:r w:rsidRPr="0078289D">
        <w:rPr>
          <w:rFonts w:eastAsia="Times New Roman"/>
          <w:iCs/>
          <w:sz w:val="28"/>
          <w:szCs w:val="28"/>
          <w:bdr w:val="none" w:sz="0" w:space="0" w:color="auto" w:frame="1"/>
          <w:shd w:val="clear" w:color="auto" w:fill="FFFFFF"/>
          <w:lang w:val="es-ES"/>
        </w:rPr>
        <w:t>Estado</w:t>
      </w:r>
      <w:r w:rsidRPr="0078289D">
        <w:rPr>
          <w:rFonts w:eastAsia="Times New Roman"/>
          <w:i/>
          <w:iCs/>
          <w:sz w:val="28"/>
          <w:szCs w:val="28"/>
          <w:bdr w:val="none" w:sz="0" w:space="0" w:color="auto" w:frame="1"/>
          <w:shd w:val="clear" w:color="auto" w:fill="FFFFFF"/>
          <w:lang w:val="es-ES"/>
        </w:rPr>
        <w:t> </w:t>
      </w:r>
      <w:r w:rsidRPr="0078289D">
        <w:rPr>
          <w:rFonts w:eastAsia="Times New Roman"/>
          <w:sz w:val="28"/>
          <w:szCs w:val="28"/>
          <w:shd w:val="clear" w:color="auto" w:fill="FFFFFF"/>
          <w:lang w:val="es-ES"/>
        </w:rPr>
        <w:t xml:space="preserve">la propiedad del subsuelo y de los </w:t>
      </w:r>
      <w:r w:rsidRPr="0078289D">
        <w:rPr>
          <w:rFonts w:eastAsia="Times New Roman"/>
          <w:sz w:val="28"/>
          <w:szCs w:val="28"/>
          <w:shd w:val="clear" w:color="auto" w:fill="FFFFFF"/>
          <w:lang w:val="es-ES"/>
        </w:rPr>
        <w:lastRenderedPageBreak/>
        <w:t xml:space="preserve">recursos naturales no renovables y la competencia para intervenir en las decisiones relativas a su explotación (arts. 332 y 334 superiores), así como las disposiciones sobre </w:t>
      </w:r>
      <w:r w:rsidRPr="0078289D">
        <w:rPr>
          <w:rFonts w:eastAsia="Times New Roman"/>
          <w:sz w:val="28"/>
          <w:szCs w:val="28"/>
          <w:lang w:val="es-CO"/>
        </w:rPr>
        <w:t>la participación que compete a las entidades territoriales, como integrantes del Estado, en las decisiones relativas a la explotación de los recursos naturales (arts. 332 y 334 referidos), la autonomía de las entidades territoriales (art. 287), el modelo constitucional de distribución de competencias entre la Nación y las entidades territoriales, basado en los principios de coordinación, concurrencia y subsidiariedad (art. 288), y  las competencias para regular usos del suelo atribuida directamente a los municipios (arts. 311 y 313 num. 7 y 9) y departamentos (art. 300 num. 2).</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
          <w:i/>
          <w:sz w:val="28"/>
          <w:szCs w:val="28"/>
          <w:lang w:val="es-CO"/>
        </w:rPr>
      </w:pPr>
    </w:p>
    <w:p w:rsidR="00917FD0" w:rsidRPr="0078289D" w:rsidRDefault="00654D29" w:rsidP="0078289D">
      <w:pPr>
        <w:pBdr>
          <w:top w:val="none" w:sz="0" w:space="0" w:color="auto"/>
          <w:left w:val="none" w:sz="0" w:space="0" w:color="auto"/>
          <w:bottom w:val="none" w:sz="0" w:space="0" w:color="auto"/>
          <w:right w:val="none" w:sz="0" w:space="0" w:color="auto"/>
        </w:pBdr>
        <w:jc w:val="both"/>
        <w:rPr>
          <w:sz w:val="28"/>
          <w:szCs w:val="28"/>
          <w:u w:color="000000"/>
          <w:lang w:val="es-ES_tradnl" w:eastAsia="es-ES"/>
        </w:rPr>
      </w:pPr>
      <w:r w:rsidRPr="0078289D">
        <w:rPr>
          <w:rFonts w:eastAsia="Times New Roman"/>
          <w:sz w:val="28"/>
          <w:szCs w:val="28"/>
          <w:lang w:val="es-CO"/>
        </w:rPr>
        <w:t xml:space="preserve">33. En </w:t>
      </w:r>
      <w:r w:rsidR="00BA0621" w:rsidRPr="0078289D">
        <w:rPr>
          <w:rFonts w:eastAsia="Times New Roman"/>
          <w:sz w:val="28"/>
          <w:szCs w:val="28"/>
          <w:lang w:val="es-CO"/>
        </w:rPr>
        <w:t xml:space="preserve">el presente caso es claro que la </w:t>
      </w:r>
      <w:r w:rsidR="00670171" w:rsidRPr="0078289D">
        <w:rPr>
          <w:rFonts w:eastAsia="Times New Roman"/>
          <w:sz w:val="28"/>
          <w:szCs w:val="28"/>
          <w:lang w:val="es-CO"/>
        </w:rPr>
        <w:t>selección</w:t>
      </w:r>
      <w:r w:rsidR="00F45E49" w:rsidRPr="0078289D">
        <w:rPr>
          <w:rFonts w:eastAsia="Times New Roman"/>
          <w:sz w:val="28"/>
          <w:szCs w:val="28"/>
          <w:lang w:val="es-CO"/>
        </w:rPr>
        <w:t xml:space="preserve"> de á</w:t>
      </w:r>
      <w:r w:rsidR="00BA0621" w:rsidRPr="0078289D">
        <w:rPr>
          <w:rFonts w:eastAsia="Times New Roman"/>
          <w:sz w:val="28"/>
          <w:szCs w:val="28"/>
          <w:lang w:val="es-CO"/>
        </w:rPr>
        <w:t>rea</w:t>
      </w:r>
      <w:r w:rsidR="00DF7AB0" w:rsidRPr="0078289D">
        <w:rPr>
          <w:rFonts w:eastAsia="Times New Roman"/>
          <w:sz w:val="28"/>
          <w:szCs w:val="28"/>
          <w:lang w:val="es-CO"/>
        </w:rPr>
        <w:t>s</w:t>
      </w:r>
      <w:r w:rsidR="00BA0621" w:rsidRPr="0078289D">
        <w:rPr>
          <w:rFonts w:eastAsia="Times New Roman"/>
          <w:sz w:val="28"/>
          <w:szCs w:val="28"/>
          <w:lang w:val="es-CO"/>
        </w:rPr>
        <w:t xml:space="preserve"> de reserva minera</w:t>
      </w:r>
      <w:r w:rsidR="00C12FD8" w:rsidRPr="0078289D">
        <w:rPr>
          <w:rFonts w:eastAsia="Times New Roman"/>
          <w:sz w:val="28"/>
          <w:szCs w:val="28"/>
          <w:lang w:val="es-CO"/>
        </w:rPr>
        <w:t xml:space="preserve"> no excluye la r</w:t>
      </w:r>
      <w:r w:rsidR="009C3474" w:rsidRPr="0078289D">
        <w:rPr>
          <w:rFonts w:eastAsia="Times New Roman"/>
          <w:sz w:val="28"/>
          <w:szCs w:val="28"/>
          <w:lang w:val="es-CO"/>
        </w:rPr>
        <w:t>ealización de actividades agríco</w:t>
      </w:r>
      <w:r w:rsidR="000F45EA" w:rsidRPr="0078289D">
        <w:rPr>
          <w:rFonts w:eastAsia="Times New Roman"/>
          <w:sz w:val="28"/>
          <w:szCs w:val="28"/>
          <w:lang w:val="es-CO"/>
        </w:rPr>
        <w:t>las</w:t>
      </w:r>
      <w:r w:rsidR="006D7327" w:rsidRPr="0078289D">
        <w:rPr>
          <w:rFonts w:eastAsia="Times New Roman"/>
          <w:sz w:val="28"/>
          <w:szCs w:val="28"/>
          <w:lang w:val="es-CO"/>
        </w:rPr>
        <w:t xml:space="preserve">, entre </w:t>
      </w:r>
      <w:r w:rsidR="000F45EA" w:rsidRPr="0078289D">
        <w:rPr>
          <w:rFonts w:eastAsia="Times New Roman"/>
          <w:sz w:val="28"/>
          <w:szCs w:val="28"/>
          <w:lang w:val="es-CO"/>
        </w:rPr>
        <w:t xml:space="preserve">otras. Más aun, la organización del territorio a partir de su potencial minero, por sí mismo, corresponde al ejercicio de una actividad propia de la administración nacional, </w:t>
      </w:r>
      <w:r w:rsidR="00094814" w:rsidRPr="0078289D">
        <w:rPr>
          <w:rFonts w:eastAsia="Times New Roman"/>
          <w:sz w:val="28"/>
          <w:szCs w:val="28"/>
          <w:lang w:val="es-CO"/>
        </w:rPr>
        <w:t xml:space="preserve">que se ajusta al carácter unitario del Estado. Sin embargo, </w:t>
      </w:r>
      <w:r w:rsidR="00536222" w:rsidRPr="0078289D">
        <w:rPr>
          <w:rFonts w:eastAsia="Times New Roman"/>
          <w:sz w:val="28"/>
          <w:szCs w:val="28"/>
          <w:lang w:val="es-CO"/>
        </w:rPr>
        <w:t>el ejercicio de esta actividad de ordenación del territ</w:t>
      </w:r>
      <w:r w:rsidR="001E06CF" w:rsidRPr="0078289D">
        <w:rPr>
          <w:rFonts w:eastAsia="Times New Roman"/>
          <w:sz w:val="28"/>
          <w:szCs w:val="28"/>
          <w:lang w:val="es-CO"/>
        </w:rPr>
        <w:t xml:space="preserve">orio de manera exclusiva por </w:t>
      </w:r>
      <w:r w:rsidR="00536222" w:rsidRPr="0078289D">
        <w:rPr>
          <w:rFonts w:eastAsia="Times New Roman"/>
          <w:sz w:val="28"/>
          <w:szCs w:val="28"/>
          <w:lang w:val="es-CO"/>
        </w:rPr>
        <w:t xml:space="preserve">una entidad del nivel central </w:t>
      </w:r>
      <w:r w:rsidR="00C12FD8" w:rsidRPr="0078289D">
        <w:rPr>
          <w:rFonts w:eastAsia="Times New Roman"/>
          <w:sz w:val="28"/>
          <w:szCs w:val="28"/>
          <w:lang w:val="es-CO"/>
        </w:rPr>
        <w:t>sí</w:t>
      </w:r>
      <w:r w:rsidR="00BA0621" w:rsidRPr="0078289D">
        <w:rPr>
          <w:rFonts w:eastAsia="Times New Roman"/>
          <w:sz w:val="28"/>
          <w:szCs w:val="28"/>
          <w:lang w:val="es-CO"/>
        </w:rPr>
        <w:t xml:space="preserve"> </w:t>
      </w:r>
      <w:r w:rsidR="0076717D" w:rsidRPr="0078289D">
        <w:rPr>
          <w:rFonts w:eastAsia="Times New Roman"/>
          <w:sz w:val="28"/>
          <w:szCs w:val="28"/>
          <w:lang w:val="es-CO"/>
        </w:rPr>
        <w:t>puede tener</w:t>
      </w:r>
      <w:r w:rsidR="00BA0621" w:rsidRPr="0078289D">
        <w:rPr>
          <w:rFonts w:eastAsia="Times New Roman"/>
          <w:sz w:val="28"/>
          <w:szCs w:val="28"/>
          <w:lang w:val="es-CO"/>
        </w:rPr>
        <w:t xml:space="preserve"> un impacto </w:t>
      </w:r>
      <w:r w:rsidR="00DF7AB0" w:rsidRPr="0078289D">
        <w:rPr>
          <w:rFonts w:eastAsia="Times New Roman"/>
          <w:sz w:val="28"/>
          <w:szCs w:val="28"/>
          <w:lang w:val="es-CO"/>
        </w:rPr>
        <w:t xml:space="preserve">significativo sobre </w:t>
      </w:r>
      <w:r w:rsidR="009C3474" w:rsidRPr="0078289D">
        <w:rPr>
          <w:rFonts w:eastAsia="Times New Roman"/>
          <w:sz w:val="28"/>
          <w:szCs w:val="28"/>
          <w:lang w:val="es-CO"/>
        </w:rPr>
        <w:t xml:space="preserve">la </w:t>
      </w:r>
      <w:r w:rsidR="001E4F71" w:rsidRPr="0078289D">
        <w:rPr>
          <w:rFonts w:eastAsia="Times New Roman"/>
          <w:sz w:val="28"/>
          <w:szCs w:val="28"/>
          <w:lang w:val="es-CO"/>
        </w:rPr>
        <w:t xml:space="preserve">autonomía de las autoridades municipales para </w:t>
      </w:r>
      <w:r w:rsidR="001E06CF" w:rsidRPr="0078289D">
        <w:rPr>
          <w:rFonts w:eastAsia="Times New Roman"/>
          <w:sz w:val="28"/>
          <w:szCs w:val="28"/>
          <w:lang w:val="es-CO"/>
        </w:rPr>
        <w:t>planificar y</w:t>
      </w:r>
      <w:r w:rsidR="001665EB" w:rsidRPr="0078289D">
        <w:rPr>
          <w:rFonts w:eastAsia="Times New Roman"/>
          <w:sz w:val="28"/>
          <w:szCs w:val="28"/>
          <w:lang w:val="es-CO"/>
        </w:rPr>
        <w:t xml:space="preserve"> ordenar</w:t>
      </w:r>
      <w:r w:rsidR="001E06CF" w:rsidRPr="0078289D">
        <w:rPr>
          <w:rFonts w:eastAsia="Times New Roman"/>
          <w:sz w:val="28"/>
          <w:szCs w:val="28"/>
          <w:lang w:val="es-CO"/>
        </w:rPr>
        <w:t xml:space="preserve"> </w:t>
      </w:r>
      <w:r w:rsidR="001665EB" w:rsidRPr="0078289D">
        <w:rPr>
          <w:rFonts w:eastAsia="Times New Roman"/>
          <w:sz w:val="28"/>
          <w:szCs w:val="28"/>
          <w:lang w:val="es-CO"/>
        </w:rPr>
        <w:t>sus territorios</w:t>
      </w:r>
      <w:r w:rsidR="00DF7AB0" w:rsidRPr="0078289D">
        <w:rPr>
          <w:rFonts w:eastAsia="Times New Roman"/>
          <w:sz w:val="28"/>
          <w:szCs w:val="28"/>
          <w:lang w:val="es-CO"/>
        </w:rPr>
        <w:t>. La extracción de recursos naturales no renovables</w:t>
      </w:r>
      <w:r w:rsidR="00BA0621" w:rsidRPr="0078289D">
        <w:rPr>
          <w:rFonts w:eastAsia="Times New Roman"/>
          <w:sz w:val="28"/>
          <w:szCs w:val="28"/>
          <w:lang w:val="es-CO"/>
        </w:rPr>
        <w:t xml:space="preserve"> </w:t>
      </w:r>
      <w:r w:rsidR="007E5BA9" w:rsidRPr="0078289D">
        <w:rPr>
          <w:rFonts w:eastAsia="Times New Roman"/>
          <w:sz w:val="28"/>
          <w:szCs w:val="28"/>
          <w:lang w:val="es-CO"/>
        </w:rPr>
        <w:t xml:space="preserve">no sólo </w:t>
      </w:r>
      <w:r w:rsidR="001E06CF" w:rsidRPr="0078289D">
        <w:rPr>
          <w:rFonts w:eastAsia="Times New Roman"/>
          <w:sz w:val="28"/>
          <w:szCs w:val="28"/>
          <w:lang w:val="es-CO"/>
        </w:rPr>
        <w:t>afecta</w:t>
      </w:r>
      <w:r w:rsidR="007E5BA9" w:rsidRPr="0078289D">
        <w:rPr>
          <w:rFonts w:eastAsia="Times New Roman"/>
          <w:sz w:val="28"/>
          <w:szCs w:val="28"/>
          <w:lang w:val="es-CO"/>
        </w:rPr>
        <w:t xml:space="preserve"> </w:t>
      </w:r>
      <w:r w:rsidR="00E54078" w:rsidRPr="0078289D">
        <w:rPr>
          <w:rFonts w:eastAsia="Times New Roman"/>
          <w:sz w:val="28"/>
          <w:szCs w:val="28"/>
          <w:lang w:val="es-CO"/>
        </w:rPr>
        <w:t xml:space="preserve">la </w:t>
      </w:r>
      <w:r w:rsidR="00DF7AB0" w:rsidRPr="0078289D">
        <w:rPr>
          <w:rFonts w:eastAsia="Times New Roman"/>
          <w:sz w:val="28"/>
          <w:szCs w:val="28"/>
          <w:lang w:val="es-CO"/>
        </w:rPr>
        <w:t>disponibilidad</w:t>
      </w:r>
      <w:r w:rsidR="001E06CF" w:rsidRPr="0078289D">
        <w:rPr>
          <w:rFonts w:eastAsia="Times New Roman"/>
          <w:sz w:val="28"/>
          <w:szCs w:val="28"/>
          <w:lang w:val="es-CO"/>
        </w:rPr>
        <w:t xml:space="preserve"> de recursos en el subsuelo, sino también</w:t>
      </w:r>
      <w:r w:rsidRPr="0078289D">
        <w:rPr>
          <w:sz w:val="28"/>
          <w:szCs w:val="28"/>
          <w:u w:color="000000"/>
          <w:lang w:val="es-ES_tradnl" w:eastAsia="es-ES"/>
        </w:rPr>
        <w:t xml:space="preserve"> </w:t>
      </w:r>
      <w:r w:rsidR="001E06CF" w:rsidRPr="0078289D">
        <w:rPr>
          <w:sz w:val="28"/>
          <w:szCs w:val="28"/>
          <w:u w:color="000000"/>
          <w:lang w:val="es-ES_tradnl" w:eastAsia="es-ES"/>
        </w:rPr>
        <w:t xml:space="preserve">modifica </w:t>
      </w:r>
      <w:r w:rsidR="0086545C" w:rsidRPr="0078289D">
        <w:rPr>
          <w:sz w:val="28"/>
          <w:szCs w:val="28"/>
          <w:u w:color="000000"/>
          <w:lang w:val="es-ES_tradnl" w:eastAsia="es-ES"/>
        </w:rPr>
        <w:t xml:space="preserve">la vocación general </w:t>
      </w:r>
      <w:r w:rsidR="00645325" w:rsidRPr="0078289D">
        <w:rPr>
          <w:sz w:val="28"/>
          <w:szCs w:val="28"/>
          <w:u w:color="000000"/>
          <w:lang w:val="es-ES_tradnl" w:eastAsia="es-ES"/>
        </w:rPr>
        <w:t xml:space="preserve">del </w:t>
      </w:r>
      <w:r w:rsidR="00866A06" w:rsidRPr="0078289D">
        <w:rPr>
          <w:sz w:val="28"/>
          <w:szCs w:val="28"/>
          <w:u w:color="000000"/>
          <w:lang w:val="es-ES_tradnl" w:eastAsia="es-ES"/>
        </w:rPr>
        <w:t>territorio, y en particular, l</w:t>
      </w:r>
      <w:r w:rsidR="001665EB" w:rsidRPr="0078289D">
        <w:rPr>
          <w:sz w:val="28"/>
          <w:szCs w:val="28"/>
          <w:u w:color="000000"/>
          <w:lang w:val="es-ES_tradnl" w:eastAsia="es-ES"/>
        </w:rPr>
        <w:t xml:space="preserve">a capacidad que tienen las autoridades </w:t>
      </w:r>
      <w:r w:rsidR="00880597" w:rsidRPr="0078289D">
        <w:rPr>
          <w:sz w:val="28"/>
          <w:szCs w:val="28"/>
          <w:u w:color="000000"/>
          <w:lang w:val="es-ES_tradnl" w:eastAsia="es-ES"/>
        </w:rPr>
        <w:t>territoriales para llevar a cabo un ordenamiento territorial</w:t>
      </w:r>
      <w:r w:rsidR="001E06CF" w:rsidRPr="0078289D">
        <w:rPr>
          <w:sz w:val="28"/>
          <w:szCs w:val="28"/>
          <w:u w:color="000000"/>
          <w:lang w:val="es-ES_tradnl" w:eastAsia="es-ES"/>
        </w:rPr>
        <w:t xml:space="preserve"> autónomo</w:t>
      </w:r>
      <w:r w:rsidR="00A21432" w:rsidRPr="0078289D">
        <w:rPr>
          <w:sz w:val="28"/>
          <w:szCs w:val="28"/>
          <w:u w:color="000000"/>
          <w:lang w:val="es-ES_tradnl" w:eastAsia="es-ES"/>
        </w:rPr>
        <w:t xml:space="preserve">. </w:t>
      </w:r>
      <w:r w:rsidR="007E5BA9" w:rsidRPr="0078289D">
        <w:rPr>
          <w:sz w:val="28"/>
          <w:szCs w:val="28"/>
          <w:u w:color="000000"/>
          <w:lang w:val="es-ES_tradnl" w:eastAsia="es-ES"/>
        </w:rPr>
        <w:t xml:space="preserve">En esa medida, tiene que existir un mecanismo que permita la realización del principio de </w:t>
      </w:r>
      <w:r w:rsidR="009538E6" w:rsidRPr="0078289D">
        <w:rPr>
          <w:sz w:val="28"/>
          <w:szCs w:val="28"/>
          <w:u w:color="000000"/>
          <w:lang w:val="es-ES_tradnl" w:eastAsia="es-ES"/>
        </w:rPr>
        <w:t xml:space="preserve">coordinación entre las competencias de la Nación para regular y ordenar lo atinente a la extracción de recursos naturales no renovables y </w:t>
      </w:r>
      <w:r w:rsidR="002C53F9" w:rsidRPr="0078289D">
        <w:rPr>
          <w:sz w:val="28"/>
          <w:szCs w:val="28"/>
          <w:u w:color="000000"/>
          <w:lang w:val="es-ES_tradnl" w:eastAsia="es-ES"/>
        </w:rPr>
        <w:t xml:space="preserve">la competencia de las </w:t>
      </w:r>
      <w:r w:rsidR="00880597" w:rsidRPr="0078289D">
        <w:rPr>
          <w:sz w:val="28"/>
          <w:szCs w:val="28"/>
          <w:u w:color="000000"/>
          <w:lang w:val="es-ES_tradnl" w:eastAsia="es-ES"/>
        </w:rPr>
        <w:t>autoridades</w:t>
      </w:r>
      <w:r w:rsidR="002C53F9" w:rsidRPr="0078289D">
        <w:rPr>
          <w:sz w:val="28"/>
          <w:szCs w:val="28"/>
          <w:u w:color="000000"/>
          <w:lang w:val="es-ES_tradnl" w:eastAsia="es-ES"/>
        </w:rPr>
        <w:t xml:space="preserve"> municipales para </w:t>
      </w:r>
      <w:r w:rsidR="00AC537F" w:rsidRPr="0078289D">
        <w:rPr>
          <w:sz w:val="28"/>
          <w:szCs w:val="28"/>
          <w:u w:color="000000"/>
          <w:lang w:val="es-ES_tradnl" w:eastAsia="es-ES"/>
        </w:rPr>
        <w:t>planificar</w:t>
      </w:r>
      <w:r w:rsidR="001E06CF" w:rsidRPr="0078289D">
        <w:rPr>
          <w:sz w:val="28"/>
          <w:szCs w:val="28"/>
          <w:u w:color="000000"/>
          <w:lang w:val="es-ES_tradnl" w:eastAsia="es-ES"/>
        </w:rPr>
        <w:t>, gestionar sus intereses</w:t>
      </w:r>
      <w:r w:rsidR="00AC537F" w:rsidRPr="0078289D">
        <w:rPr>
          <w:sz w:val="28"/>
          <w:szCs w:val="28"/>
          <w:u w:color="000000"/>
          <w:lang w:val="es-ES_tradnl" w:eastAsia="es-ES"/>
        </w:rPr>
        <w:t xml:space="preserve"> y ordenar su territorio</w:t>
      </w:r>
      <w:r w:rsidR="001E06CF" w:rsidRPr="0078289D">
        <w:rPr>
          <w:sz w:val="28"/>
          <w:szCs w:val="28"/>
          <w:u w:color="000000"/>
          <w:lang w:val="es-ES_tradnl" w:eastAsia="es-ES"/>
        </w:rPr>
        <w:t>, con criterios de autonomía</w:t>
      </w:r>
      <w:r w:rsidR="002C53F9" w:rsidRPr="0078289D">
        <w:rPr>
          <w:sz w:val="28"/>
          <w:szCs w:val="28"/>
          <w:u w:color="000000"/>
          <w:lang w:val="es-ES_tradnl" w:eastAsia="es-ES"/>
        </w:rPr>
        <w:t xml:space="preserve">. </w:t>
      </w:r>
    </w:p>
    <w:p w:rsidR="00917FD0" w:rsidRPr="0078289D" w:rsidRDefault="00917FD0" w:rsidP="0078289D">
      <w:pPr>
        <w:pBdr>
          <w:top w:val="none" w:sz="0" w:space="0" w:color="auto"/>
          <w:left w:val="none" w:sz="0" w:space="0" w:color="auto"/>
          <w:bottom w:val="none" w:sz="0" w:space="0" w:color="auto"/>
          <w:right w:val="none" w:sz="0" w:space="0" w:color="auto"/>
        </w:pBdr>
        <w:jc w:val="both"/>
        <w:rPr>
          <w:sz w:val="28"/>
          <w:szCs w:val="28"/>
          <w:u w:color="000000"/>
          <w:lang w:val="es-ES_tradnl" w:eastAsia="es-ES"/>
        </w:rPr>
      </w:pPr>
    </w:p>
    <w:p w:rsidR="00654D29" w:rsidRPr="0078289D" w:rsidRDefault="00893A3B" w:rsidP="0078289D">
      <w:pPr>
        <w:pBdr>
          <w:top w:val="none" w:sz="0" w:space="0" w:color="auto"/>
          <w:left w:val="none" w:sz="0" w:space="0" w:color="auto"/>
          <w:bottom w:val="none" w:sz="0" w:space="0" w:color="auto"/>
          <w:right w:val="none" w:sz="0" w:space="0" w:color="auto"/>
        </w:pBdr>
        <w:jc w:val="both"/>
        <w:rPr>
          <w:sz w:val="28"/>
          <w:szCs w:val="28"/>
          <w:u w:color="000000"/>
          <w:lang w:val="es-ES_tradnl" w:eastAsia="es-ES"/>
        </w:rPr>
      </w:pPr>
      <w:r w:rsidRPr="0078289D">
        <w:rPr>
          <w:sz w:val="28"/>
          <w:szCs w:val="28"/>
          <w:u w:color="000000"/>
          <w:lang w:val="es-ES_tradnl" w:eastAsia="es-ES"/>
        </w:rPr>
        <w:t xml:space="preserve">Por supuesto, la selección de áreas de reserva minera no necesariamente </w:t>
      </w:r>
      <w:r w:rsidR="00AC537F" w:rsidRPr="0078289D">
        <w:rPr>
          <w:sz w:val="28"/>
          <w:szCs w:val="28"/>
          <w:u w:color="000000"/>
          <w:lang w:val="es-ES_tradnl" w:eastAsia="es-ES"/>
        </w:rPr>
        <w:t>resulta contraria a</w:t>
      </w:r>
      <w:r w:rsidR="00917FD0" w:rsidRPr="0078289D">
        <w:rPr>
          <w:sz w:val="28"/>
          <w:szCs w:val="28"/>
          <w:u w:color="000000"/>
          <w:lang w:val="es-ES_tradnl" w:eastAsia="es-ES"/>
        </w:rPr>
        <w:t xml:space="preserve"> </w:t>
      </w:r>
      <w:r w:rsidR="00B72FF0" w:rsidRPr="0078289D">
        <w:rPr>
          <w:sz w:val="28"/>
          <w:szCs w:val="28"/>
          <w:u w:color="000000"/>
          <w:lang w:val="es-ES_tradnl" w:eastAsia="es-ES"/>
        </w:rPr>
        <w:t>los intereses de las entidades territoriales</w:t>
      </w:r>
      <w:r w:rsidR="00917FD0" w:rsidRPr="0078289D">
        <w:rPr>
          <w:sz w:val="28"/>
          <w:szCs w:val="28"/>
          <w:u w:color="000000"/>
          <w:lang w:val="es-ES_tradnl" w:eastAsia="es-ES"/>
        </w:rPr>
        <w:t xml:space="preserve">. Puede ocurrir que </w:t>
      </w:r>
      <w:r w:rsidR="00306326" w:rsidRPr="0078289D">
        <w:rPr>
          <w:sz w:val="28"/>
          <w:szCs w:val="28"/>
          <w:u w:color="000000"/>
          <w:lang w:val="es-ES_tradnl" w:eastAsia="es-ES"/>
        </w:rPr>
        <w:t xml:space="preserve">las autoridades del orden nacional coincidan en su propósito con </w:t>
      </w:r>
      <w:r w:rsidR="00B72FF0" w:rsidRPr="0078289D">
        <w:rPr>
          <w:sz w:val="28"/>
          <w:szCs w:val="28"/>
          <w:u w:color="000000"/>
          <w:lang w:val="es-ES_tradnl" w:eastAsia="es-ES"/>
        </w:rPr>
        <w:t>las autoridades de los municipios</w:t>
      </w:r>
      <w:r w:rsidR="00306326" w:rsidRPr="0078289D">
        <w:rPr>
          <w:sz w:val="28"/>
          <w:szCs w:val="28"/>
          <w:u w:color="000000"/>
          <w:lang w:val="es-ES_tradnl" w:eastAsia="es-ES"/>
        </w:rPr>
        <w:t xml:space="preserve">. Sin embargo, </w:t>
      </w:r>
      <w:r w:rsidR="00A67BFD" w:rsidRPr="0078289D">
        <w:rPr>
          <w:sz w:val="28"/>
          <w:szCs w:val="28"/>
          <w:u w:color="000000"/>
          <w:lang w:val="es-ES_tradnl" w:eastAsia="es-ES"/>
        </w:rPr>
        <w:t xml:space="preserve">en ese mismo orden de ideas, también puede ocurrir que </w:t>
      </w:r>
      <w:r w:rsidR="00B72FF0" w:rsidRPr="0078289D">
        <w:rPr>
          <w:sz w:val="28"/>
          <w:szCs w:val="28"/>
          <w:u w:color="000000"/>
          <w:lang w:val="es-ES_tradnl" w:eastAsia="es-ES"/>
        </w:rPr>
        <w:t xml:space="preserve">las autoridades municipales tengan </w:t>
      </w:r>
      <w:r w:rsidR="007D172E" w:rsidRPr="0078289D">
        <w:rPr>
          <w:sz w:val="28"/>
          <w:szCs w:val="28"/>
          <w:u w:color="000000"/>
          <w:lang w:val="es-ES_tradnl" w:eastAsia="es-ES"/>
        </w:rPr>
        <w:t>intereses, prioridades o visiones del ordenamiento territorial del municipio</w:t>
      </w:r>
      <w:r w:rsidR="00A67BFD" w:rsidRPr="0078289D">
        <w:rPr>
          <w:sz w:val="28"/>
          <w:szCs w:val="28"/>
          <w:u w:color="000000"/>
          <w:lang w:val="es-ES_tradnl" w:eastAsia="es-ES"/>
        </w:rPr>
        <w:t xml:space="preserve"> que resulte</w:t>
      </w:r>
      <w:r w:rsidR="007D172E" w:rsidRPr="0078289D">
        <w:rPr>
          <w:sz w:val="28"/>
          <w:szCs w:val="28"/>
          <w:u w:color="000000"/>
          <w:lang w:val="es-ES_tradnl" w:eastAsia="es-ES"/>
        </w:rPr>
        <w:t>n</w:t>
      </w:r>
      <w:r w:rsidR="00A67BFD" w:rsidRPr="0078289D">
        <w:rPr>
          <w:sz w:val="28"/>
          <w:szCs w:val="28"/>
          <w:u w:color="000000"/>
          <w:lang w:val="es-ES_tradnl" w:eastAsia="es-ES"/>
        </w:rPr>
        <w:t xml:space="preserve"> incompatible</w:t>
      </w:r>
      <w:r w:rsidR="007D172E" w:rsidRPr="0078289D">
        <w:rPr>
          <w:sz w:val="28"/>
          <w:szCs w:val="28"/>
          <w:u w:color="000000"/>
          <w:lang w:val="es-ES_tradnl" w:eastAsia="es-ES"/>
        </w:rPr>
        <w:t>s</w:t>
      </w:r>
      <w:r w:rsidR="00A67BFD" w:rsidRPr="0078289D">
        <w:rPr>
          <w:sz w:val="28"/>
          <w:szCs w:val="28"/>
          <w:u w:color="000000"/>
          <w:lang w:val="es-ES_tradnl" w:eastAsia="es-ES"/>
        </w:rPr>
        <w:t xml:space="preserve"> con la selección de áreas de reserva minera. </w:t>
      </w:r>
      <w:r w:rsidR="006F2814" w:rsidRPr="0078289D">
        <w:rPr>
          <w:sz w:val="28"/>
          <w:szCs w:val="28"/>
          <w:u w:color="000000"/>
          <w:lang w:val="es-ES_tradnl" w:eastAsia="es-ES"/>
        </w:rPr>
        <w:t>Lo cierto es que si no existe un</w:t>
      </w:r>
      <w:r w:rsidR="002C53F9" w:rsidRPr="0078289D">
        <w:rPr>
          <w:sz w:val="28"/>
          <w:szCs w:val="28"/>
          <w:u w:color="000000"/>
          <w:lang w:val="es-ES_tradnl" w:eastAsia="es-ES"/>
        </w:rPr>
        <w:t xml:space="preserve"> mecanismo de coordinación </w:t>
      </w:r>
      <w:r w:rsidR="006F2814" w:rsidRPr="0078289D">
        <w:rPr>
          <w:sz w:val="28"/>
          <w:szCs w:val="28"/>
          <w:u w:color="000000"/>
          <w:lang w:val="es-ES_tradnl" w:eastAsia="es-ES"/>
        </w:rPr>
        <w:t xml:space="preserve">entre la </w:t>
      </w:r>
      <w:r w:rsidR="007D172E" w:rsidRPr="0078289D">
        <w:rPr>
          <w:sz w:val="28"/>
          <w:szCs w:val="28"/>
          <w:u w:color="000000"/>
          <w:lang w:val="es-ES_tradnl" w:eastAsia="es-ES"/>
        </w:rPr>
        <w:t>A</w:t>
      </w:r>
      <w:r w:rsidR="00AC5F62" w:rsidRPr="0078289D">
        <w:rPr>
          <w:sz w:val="28"/>
          <w:szCs w:val="28"/>
          <w:u w:color="000000"/>
          <w:lang w:val="es-ES_tradnl" w:eastAsia="es-ES"/>
        </w:rPr>
        <w:t xml:space="preserve">utoridad </w:t>
      </w:r>
      <w:r w:rsidR="007D172E" w:rsidRPr="0078289D">
        <w:rPr>
          <w:sz w:val="28"/>
          <w:szCs w:val="28"/>
          <w:u w:color="000000"/>
          <w:lang w:val="es-ES_tradnl" w:eastAsia="es-ES"/>
        </w:rPr>
        <w:t>Nacional Minera,</w:t>
      </w:r>
      <w:r w:rsidR="00AC5F62" w:rsidRPr="0078289D">
        <w:rPr>
          <w:sz w:val="28"/>
          <w:szCs w:val="28"/>
          <w:u w:color="000000"/>
          <w:lang w:val="es-ES_tradnl" w:eastAsia="es-ES"/>
        </w:rPr>
        <w:t xml:space="preserve"> o el Ministerio de Minas y Energía, según sea el caso,</w:t>
      </w:r>
      <w:r w:rsidR="006F2814" w:rsidRPr="0078289D">
        <w:rPr>
          <w:sz w:val="28"/>
          <w:szCs w:val="28"/>
          <w:u w:color="000000"/>
          <w:lang w:val="es-ES_tradnl" w:eastAsia="es-ES"/>
        </w:rPr>
        <w:t xml:space="preserve"> y </w:t>
      </w:r>
      <w:r w:rsidR="00353AFE" w:rsidRPr="0078289D">
        <w:rPr>
          <w:sz w:val="28"/>
          <w:szCs w:val="28"/>
          <w:u w:color="000000"/>
          <w:lang w:val="es-ES_tradnl" w:eastAsia="es-ES"/>
        </w:rPr>
        <w:t>las autoridades municipales respectiva</w:t>
      </w:r>
      <w:r w:rsidR="006F2814" w:rsidRPr="0078289D">
        <w:rPr>
          <w:sz w:val="28"/>
          <w:szCs w:val="28"/>
          <w:u w:color="000000"/>
          <w:lang w:val="es-ES_tradnl" w:eastAsia="es-ES"/>
        </w:rPr>
        <w:t xml:space="preserve">s, </w:t>
      </w:r>
      <w:r w:rsidR="002C53F9" w:rsidRPr="0078289D">
        <w:rPr>
          <w:sz w:val="28"/>
          <w:szCs w:val="28"/>
          <w:u w:color="000000"/>
          <w:lang w:val="es-ES_tradnl" w:eastAsia="es-ES"/>
        </w:rPr>
        <w:t xml:space="preserve">no existe una garantía </w:t>
      </w:r>
      <w:r w:rsidR="00AE510D" w:rsidRPr="0078289D">
        <w:rPr>
          <w:sz w:val="28"/>
          <w:szCs w:val="28"/>
          <w:u w:color="000000"/>
          <w:lang w:val="es-ES_tradnl" w:eastAsia="es-ES"/>
        </w:rPr>
        <w:t xml:space="preserve">suficiente de que el ejercicio de la competencia en cabeza de la Nación no impida el ejercicio de las competencias y facultades otorgadas constitucionalmente a </w:t>
      </w:r>
      <w:r w:rsidR="00353AFE" w:rsidRPr="0078289D">
        <w:rPr>
          <w:sz w:val="28"/>
          <w:szCs w:val="28"/>
          <w:u w:color="000000"/>
          <w:lang w:val="es-ES_tradnl" w:eastAsia="es-ES"/>
        </w:rPr>
        <w:t>las autoridades municipales</w:t>
      </w:r>
      <w:r w:rsidR="005D25AB" w:rsidRPr="0078289D">
        <w:rPr>
          <w:sz w:val="28"/>
          <w:szCs w:val="28"/>
          <w:u w:color="000000"/>
          <w:lang w:val="es-ES_tradnl" w:eastAsia="es-ES"/>
        </w:rPr>
        <w:t>, quienes se encuentran más cerca del ciudadano, de sus asuntos, e intereses</w:t>
      </w:r>
      <w:r w:rsidR="003B0F80" w:rsidRPr="0078289D">
        <w:rPr>
          <w:sz w:val="28"/>
          <w:szCs w:val="28"/>
          <w:u w:color="000000"/>
          <w:lang w:val="es-ES_tradnl" w:eastAsia="es-ES"/>
        </w:rPr>
        <w:t xml:space="preserve"> en el territorio nacional</w:t>
      </w:r>
      <w:r w:rsidR="00AE510D" w:rsidRPr="0078289D">
        <w:rPr>
          <w:sz w:val="28"/>
          <w:szCs w:val="28"/>
          <w:u w:color="000000"/>
          <w:lang w:val="es-ES_tradnl" w:eastAsia="es-ES"/>
        </w:rPr>
        <w:t xml:space="preserve">. </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b/>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34. De acuerdo con las consideraciones expuestas en esta providencia, es </w:t>
      </w:r>
      <w:r w:rsidR="005D2AFF" w:rsidRPr="0078289D">
        <w:rPr>
          <w:rFonts w:eastAsia="Times New Roman"/>
          <w:sz w:val="28"/>
          <w:szCs w:val="28"/>
          <w:lang w:val="es-CO"/>
        </w:rPr>
        <w:t>claro que no existe en la disposición demandada un mecanismo que permite la coordinación entre la</w:t>
      </w:r>
      <w:r w:rsidR="00353AFE" w:rsidRPr="0078289D">
        <w:rPr>
          <w:rFonts w:eastAsia="Times New Roman"/>
          <w:sz w:val="28"/>
          <w:szCs w:val="28"/>
          <w:lang w:val="es-CO"/>
        </w:rPr>
        <w:t xml:space="preserve">s entidades competentes para seleccionar las áreas </w:t>
      </w:r>
      <w:r w:rsidR="00865912" w:rsidRPr="0078289D">
        <w:rPr>
          <w:rFonts w:eastAsia="Times New Roman"/>
          <w:sz w:val="28"/>
          <w:szCs w:val="28"/>
          <w:lang w:val="es-CO"/>
        </w:rPr>
        <w:t>de reserva especial minera</w:t>
      </w:r>
      <w:r w:rsidR="005D2AFF" w:rsidRPr="0078289D">
        <w:rPr>
          <w:rFonts w:eastAsia="Times New Roman"/>
          <w:sz w:val="28"/>
          <w:szCs w:val="28"/>
          <w:lang w:val="es-CO"/>
        </w:rPr>
        <w:t xml:space="preserve"> y </w:t>
      </w:r>
      <w:r w:rsidR="00865912" w:rsidRPr="0078289D">
        <w:rPr>
          <w:rFonts w:eastAsia="Times New Roman"/>
          <w:sz w:val="28"/>
          <w:szCs w:val="28"/>
          <w:lang w:val="es-CO"/>
        </w:rPr>
        <w:t>las autoridades</w:t>
      </w:r>
      <w:r w:rsidR="005D2AFF" w:rsidRPr="0078289D">
        <w:rPr>
          <w:rFonts w:eastAsia="Times New Roman"/>
          <w:sz w:val="28"/>
          <w:szCs w:val="28"/>
          <w:lang w:val="es-CO"/>
        </w:rPr>
        <w:t xml:space="preserve"> municipales. </w:t>
      </w:r>
      <w:r w:rsidR="00F072E6" w:rsidRPr="0078289D">
        <w:rPr>
          <w:rFonts w:eastAsia="Times New Roman"/>
          <w:sz w:val="28"/>
          <w:szCs w:val="28"/>
          <w:lang w:val="es-CO"/>
        </w:rPr>
        <w:t>L</w:t>
      </w:r>
      <w:r w:rsidRPr="0078289D">
        <w:rPr>
          <w:rFonts w:eastAsia="Times New Roman"/>
          <w:sz w:val="28"/>
          <w:szCs w:val="28"/>
          <w:lang w:val="es-CO"/>
        </w:rPr>
        <w:t xml:space="preserve">os criterios generales </w:t>
      </w:r>
      <w:r w:rsidR="001043B6" w:rsidRPr="0078289D">
        <w:rPr>
          <w:rFonts w:eastAsia="Times New Roman"/>
          <w:sz w:val="28"/>
          <w:szCs w:val="28"/>
          <w:lang w:val="es-CO"/>
        </w:rPr>
        <w:lastRenderedPageBreak/>
        <w:t xml:space="preserve">con fundamento </w:t>
      </w:r>
      <w:r w:rsidRPr="0078289D">
        <w:rPr>
          <w:rFonts w:eastAsia="Times New Roman"/>
          <w:sz w:val="28"/>
          <w:szCs w:val="28"/>
          <w:lang w:val="es-CO"/>
        </w:rPr>
        <w:t xml:space="preserve">en </w:t>
      </w:r>
      <w:r w:rsidR="00F072E6" w:rsidRPr="0078289D">
        <w:rPr>
          <w:rFonts w:eastAsia="Times New Roman"/>
          <w:sz w:val="28"/>
          <w:szCs w:val="28"/>
          <w:lang w:val="es-CO"/>
        </w:rPr>
        <w:t xml:space="preserve">los </w:t>
      </w:r>
      <w:r w:rsidR="001043B6" w:rsidRPr="0078289D">
        <w:rPr>
          <w:rFonts w:eastAsia="Times New Roman"/>
          <w:sz w:val="28"/>
          <w:szCs w:val="28"/>
          <w:lang w:val="es-CO"/>
        </w:rPr>
        <w:t>cuales</w:t>
      </w:r>
      <w:r w:rsidRPr="0078289D">
        <w:rPr>
          <w:rFonts w:eastAsia="Times New Roman"/>
          <w:sz w:val="28"/>
          <w:szCs w:val="28"/>
          <w:lang w:val="es-CO"/>
        </w:rPr>
        <w:t xml:space="preserve"> la Autori</w:t>
      </w:r>
      <w:r w:rsidR="00F072E6" w:rsidRPr="0078289D">
        <w:rPr>
          <w:rFonts w:eastAsia="Times New Roman"/>
          <w:sz w:val="28"/>
          <w:szCs w:val="28"/>
          <w:lang w:val="es-CO"/>
        </w:rPr>
        <w:t xml:space="preserve">dad Nacional Minera selecciona y </w:t>
      </w:r>
      <w:r w:rsidR="00865912" w:rsidRPr="0078289D">
        <w:rPr>
          <w:rFonts w:eastAsia="Times New Roman"/>
          <w:sz w:val="28"/>
          <w:szCs w:val="28"/>
          <w:lang w:val="es-CO"/>
        </w:rPr>
        <w:t xml:space="preserve">el Ministerio de Minas </w:t>
      </w:r>
      <w:r w:rsidR="00F072E6" w:rsidRPr="0078289D">
        <w:rPr>
          <w:rFonts w:eastAsia="Times New Roman"/>
          <w:sz w:val="28"/>
          <w:szCs w:val="28"/>
          <w:lang w:val="es-CO"/>
        </w:rPr>
        <w:t>otorga</w:t>
      </w:r>
      <w:r w:rsidR="00865912" w:rsidRPr="0078289D">
        <w:rPr>
          <w:rFonts w:eastAsia="Times New Roman"/>
          <w:sz w:val="28"/>
          <w:szCs w:val="28"/>
          <w:lang w:val="es-CO"/>
        </w:rPr>
        <w:t>n</w:t>
      </w:r>
      <w:r w:rsidRPr="0078289D">
        <w:rPr>
          <w:rFonts w:eastAsia="Times New Roman"/>
          <w:sz w:val="28"/>
          <w:szCs w:val="28"/>
          <w:lang w:val="es-CO"/>
        </w:rPr>
        <w:t xml:space="preserve"> las áreas </w:t>
      </w:r>
      <w:r w:rsidR="00F072E6" w:rsidRPr="0078289D">
        <w:rPr>
          <w:rFonts w:eastAsia="Times New Roman"/>
          <w:sz w:val="28"/>
          <w:szCs w:val="28"/>
          <w:lang w:val="es-CO"/>
        </w:rPr>
        <w:t xml:space="preserve">de reserva minera </w:t>
      </w:r>
      <w:r w:rsidR="00E27CAC" w:rsidRPr="0078289D">
        <w:rPr>
          <w:rFonts w:eastAsia="Times New Roman"/>
          <w:sz w:val="28"/>
          <w:szCs w:val="28"/>
          <w:lang w:val="es-CO"/>
        </w:rPr>
        <w:t>corresponden exclusivamente a su</w:t>
      </w:r>
      <w:r w:rsidRPr="0078289D">
        <w:rPr>
          <w:rFonts w:eastAsia="Times New Roman"/>
          <w:sz w:val="28"/>
          <w:szCs w:val="28"/>
          <w:lang w:val="es-CO"/>
        </w:rPr>
        <w:t xml:space="preserve"> potencial minero. </w:t>
      </w:r>
      <w:r w:rsidR="001043B6" w:rsidRPr="0078289D">
        <w:rPr>
          <w:rFonts w:eastAsia="Times New Roman"/>
          <w:sz w:val="28"/>
          <w:szCs w:val="28"/>
          <w:lang w:val="es-CO"/>
        </w:rPr>
        <w:t xml:space="preserve">Sin embargo, </w:t>
      </w:r>
      <w:r w:rsidR="00546850" w:rsidRPr="0078289D">
        <w:rPr>
          <w:rFonts w:eastAsia="Times New Roman"/>
          <w:sz w:val="28"/>
          <w:szCs w:val="28"/>
          <w:lang w:val="es-CO"/>
        </w:rPr>
        <w:t xml:space="preserve">la selección de las respectivas áreas de reserva </w:t>
      </w:r>
      <w:r w:rsidR="00937135" w:rsidRPr="0078289D">
        <w:rPr>
          <w:rFonts w:eastAsia="Times New Roman"/>
          <w:sz w:val="28"/>
          <w:szCs w:val="28"/>
          <w:lang w:val="es-CO"/>
        </w:rPr>
        <w:t xml:space="preserve">no puede impedir el ejercicio de la </w:t>
      </w:r>
      <w:r w:rsidR="00865912" w:rsidRPr="0078289D">
        <w:rPr>
          <w:rFonts w:eastAsia="Times New Roman"/>
          <w:sz w:val="28"/>
          <w:szCs w:val="28"/>
          <w:lang w:val="es-CO"/>
        </w:rPr>
        <w:t xml:space="preserve">autonomía de las </w:t>
      </w:r>
      <w:r w:rsidR="00C93E3F" w:rsidRPr="0078289D">
        <w:rPr>
          <w:rFonts w:eastAsia="Times New Roman"/>
          <w:sz w:val="28"/>
          <w:szCs w:val="28"/>
          <w:lang w:val="es-CO"/>
        </w:rPr>
        <w:t>autoridades de los municipios</w:t>
      </w:r>
      <w:r w:rsidRPr="0078289D">
        <w:rPr>
          <w:rFonts w:eastAsia="Times New Roman"/>
          <w:sz w:val="28"/>
          <w:szCs w:val="28"/>
          <w:lang w:val="es-CO"/>
        </w:rPr>
        <w:t>.</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35. </w:t>
      </w:r>
      <w:r w:rsidR="002E6F82" w:rsidRPr="0078289D">
        <w:rPr>
          <w:rFonts w:eastAsia="Times New Roman"/>
          <w:sz w:val="28"/>
          <w:szCs w:val="28"/>
          <w:lang w:val="es-CO"/>
        </w:rPr>
        <w:t xml:space="preserve">Para armonizar las normas constitucionales en tensión, una alternativa </w:t>
      </w:r>
      <w:r w:rsidRPr="0078289D">
        <w:rPr>
          <w:rFonts w:eastAsia="Times New Roman"/>
          <w:sz w:val="28"/>
          <w:szCs w:val="28"/>
          <w:lang w:val="es-CO"/>
        </w:rPr>
        <w:t xml:space="preserve">podría ser la declaratoria de inexequibilidad del artículo 20 de la Ley 1753 de 2015. Sin embargo, el principio de conservación del derecho, derivado </w:t>
      </w:r>
      <w:r w:rsidR="000754C8" w:rsidRPr="0078289D">
        <w:rPr>
          <w:rFonts w:eastAsia="Times New Roman"/>
          <w:sz w:val="28"/>
          <w:szCs w:val="28"/>
          <w:lang w:val="es-CO"/>
        </w:rPr>
        <w:t xml:space="preserve">de la aplicación </w:t>
      </w:r>
      <w:r w:rsidRPr="0078289D">
        <w:rPr>
          <w:rFonts w:eastAsia="Times New Roman"/>
          <w:sz w:val="28"/>
          <w:szCs w:val="28"/>
          <w:lang w:val="es-CO"/>
        </w:rPr>
        <w:t xml:space="preserve">del principio democrático en la creación de la ley, obliga a mantener dentro del ordenamiento jurídico los frutos de la actividad legislativa, siempre que exista fundamento para una interpretación que sea acorde con los términos constitucionales. De esa manera, </w:t>
      </w:r>
      <w:r w:rsidRPr="0078289D">
        <w:rPr>
          <w:rFonts w:eastAsia="Times New Roman"/>
          <w:sz w:val="28"/>
          <w:szCs w:val="28"/>
          <w:lang w:val="es-ES"/>
        </w:rPr>
        <w:t>la declaratoria de inexequibilidad simple sólo puede prosperar cuando la expresión legislativa es absolutamente incompatible con la Carta y no existe ninguna interpretación de la misma que pueda ajustarse a la Carta Política.</w:t>
      </w:r>
      <w:r w:rsidRPr="0078289D">
        <w:rPr>
          <w:rFonts w:eastAsia="Times New Roman"/>
          <w:sz w:val="28"/>
          <w:szCs w:val="28"/>
          <w:vertAlign w:val="superscript"/>
          <w:lang w:val="es-ES"/>
        </w:rPr>
        <w:footnoteReference w:id="41"/>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ES"/>
        </w:rPr>
        <w:t xml:space="preserve">36. En este marco, </w:t>
      </w:r>
      <w:r w:rsidR="000754C8" w:rsidRPr="0078289D">
        <w:rPr>
          <w:rFonts w:eastAsia="Times New Roman"/>
          <w:sz w:val="28"/>
          <w:szCs w:val="28"/>
          <w:lang w:val="es-ES"/>
        </w:rPr>
        <w:t>la Corte</w:t>
      </w:r>
      <w:r w:rsidRPr="0078289D">
        <w:rPr>
          <w:rFonts w:eastAsia="Times New Roman"/>
          <w:b/>
          <w:sz w:val="28"/>
          <w:szCs w:val="28"/>
          <w:lang w:val="es-CO"/>
        </w:rPr>
        <w:t xml:space="preserve"> </w:t>
      </w:r>
      <w:r w:rsidRPr="0078289D">
        <w:rPr>
          <w:rFonts w:eastAsia="Times New Roman"/>
          <w:sz w:val="28"/>
          <w:szCs w:val="28"/>
          <w:lang w:val="es-CO"/>
        </w:rPr>
        <w:t xml:space="preserve">considera entonces que es posible interpretar el artículo 20 de la Ley 1753 de 2015 de acuerdo con los dos principios constitucionales en tensión, a saber: </w:t>
      </w:r>
      <w:r w:rsidRPr="0078289D">
        <w:rPr>
          <w:rFonts w:eastAsia="Times New Roman"/>
          <w:sz w:val="28"/>
          <w:szCs w:val="28"/>
          <w:shd w:val="clear" w:color="auto" w:fill="FFFFFF"/>
          <w:lang w:val="es-ES"/>
        </w:rPr>
        <w:t xml:space="preserve">el principio de organización unitaria del Estado y la autonomía de las entidades territoriales. </w:t>
      </w:r>
      <w:r w:rsidRPr="0078289D">
        <w:rPr>
          <w:rFonts w:eastAsia="Times New Roman"/>
          <w:sz w:val="28"/>
          <w:szCs w:val="28"/>
          <w:lang w:val="es-CO"/>
        </w:rPr>
        <w:t xml:space="preserve">De esa manera, la disposición demandada será exequible, siempre y cuando su contenido garantice un grado de participación razonable de los municipios y distritos en el proceso de decisión sobre la selección y otorgamiento de áreas que presenten un alto potencial minero en el respectivo territorio. </w:t>
      </w:r>
    </w:p>
    <w:p w:rsidR="00DB35FD" w:rsidRPr="0078289D" w:rsidRDefault="00DB35FD"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Esta solución implica que la Autoridad Nacional Minera continuar</w:t>
      </w:r>
      <w:r w:rsidR="006C48C8" w:rsidRPr="0078289D">
        <w:rPr>
          <w:rFonts w:eastAsia="Times New Roman"/>
          <w:sz w:val="28"/>
          <w:szCs w:val="28"/>
          <w:lang w:val="es-CO"/>
        </w:rPr>
        <w:t>á</w:t>
      </w:r>
      <w:r w:rsidRPr="0078289D">
        <w:rPr>
          <w:rFonts w:eastAsia="Times New Roman"/>
          <w:sz w:val="28"/>
          <w:szCs w:val="28"/>
          <w:lang w:val="es-CO"/>
        </w:rPr>
        <w:t xml:space="preserve"> participando en dicho proceso, pero </w:t>
      </w:r>
      <w:r w:rsidR="003831BC" w:rsidRPr="0078289D">
        <w:rPr>
          <w:rFonts w:eastAsia="Times New Roman"/>
          <w:sz w:val="28"/>
          <w:szCs w:val="28"/>
          <w:lang w:val="es-CO"/>
        </w:rPr>
        <w:t>no será</w:t>
      </w:r>
      <w:r w:rsidRPr="0078289D">
        <w:rPr>
          <w:rFonts w:eastAsia="Times New Roman"/>
          <w:sz w:val="28"/>
          <w:szCs w:val="28"/>
          <w:lang w:val="es-CO"/>
        </w:rPr>
        <w:t xml:space="preserve"> el único nivel competencial involucrado en la toma de una decisión de tal trascendencia para </w:t>
      </w:r>
      <w:r w:rsidR="003831BC" w:rsidRPr="0078289D">
        <w:rPr>
          <w:rFonts w:eastAsia="Times New Roman"/>
          <w:sz w:val="28"/>
          <w:szCs w:val="28"/>
          <w:lang w:val="es-CO"/>
        </w:rPr>
        <w:t xml:space="preserve">la realización de </w:t>
      </w:r>
      <w:r w:rsidRPr="0078289D">
        <w:rPr>
          <w:rFonts w:eastAsia="Times New Roman"/>
          <w:sz w:val="28"/>
          <w:szCs w:val="28"/>
          <w:lang w:val="es-CO"/>
        </w:rPr>
        <w:t xml:space="preserve">aspectos principales de la vida local, </w:t>
      </w:r>
      <w:r w:rsidR="003831BC" w:rsidRPr="0078289D">
        <w:rPr>
          <w:rFonts w:eastAsia="Times New Roman"/>
          <w:sz w:val="28"/>
          <w:szCs w:val="28"/>
          <w:lang w:val="es-CO"/>
        </w:rPr>
        <w:t>de ahí</w:t>
      </w:r>
      <w:r w:rsidRPr="0078289D">
        <w:rPr>
          <w:rFonts w:eastAsia="Times New Roman"/>
          <w:sz w:val="28"/>
          <w:szCs w:val="28"/>
          <w:lang w:val="es-CO"/>
        </w:rPr>
        <w:t xml:space="preserve"> que los municipios y distritos afectados por dicha decisión </w:t>
      </w:r>
      <w:r w:rsidR="002A0443" w:rsidRPr="0078289D">
        <w:rPr>
          <w:rFonts w:eastAsia="Times New Roman"/>
          <w:sz w:val="28"/>
          <w:szCs w:val="28"/>
          <w:lang w:val="es-CO"/>
        </w:rPr>
        <w:t>podrán participar</w:t>
      </w:r>
      <w:r w:rsidRPr="0078289D">
        <w:rPr>
          <w:rFonts w:eastAsia="Times New Roman"/>
          <w:sz w:val="28"/>
          <w:szCs w:val="28"/>
          <w:lang w:val="es-CO"/>
        </w:rPr>
        <w:t xml:space="preserve"> de una forma activa y  eficaz en el proceso de toma de la misma. Es decir, que la opinión de éstos </w:t>
      </w:r>
      <w:r w:rsidR="002A0443" w:rsidRPr="0078289D">
        <w:rPr>
          <w:rFonts w:eastAsia="Times New Roman"/>
          <w:sz w:val="28"/>
          <w:szCs w:val="28"/>
          <w:lang w:val="es-CO"/>
        </w:rPr>
        <w:t>debe ser</w:t>
      </w:r>
      <w:r w:rsidRPr="0078289D">
        <w:rPr>
          <w:rFonts w:eastAsia="Times New Roman"/>
          <w:sz w:val="28"/>
          <w:szCs w:val="28"/>
          <w:lang w:val="es-CO"/>
        </w:rPr>
        <w:t xml:space="preserve"> valorada adecuadamente y </w:t>
      </w:r>
      <w:r w:rsidR="002A0443" w:rsidRPr="0078289D">
        <w:rPr>
          <w:rFonts w:eastAsia="Times New Roman"/>
          <w:sz w:val="28"/>
          <w:szCs w:val="28"/>
          <w:lang w:val="es-CO"/>
        </w:rPr>
        <w:t>pueda tener</w:t>
      </w:r>
      <w:r w:rsidRPr="0078289D">
        <w:rPr>
          <w:rFonts w:eastAsia="Times New Roman"/>
          <w:sz w:val="28"/>
          <w:szCs w:val="28"/>
          <w:lang w:val="es-CO"/>
        </w:rPr>
        <w:t xml:space="preserve"> una influencia apreciable en la toma de esta decisión, sobre todo en aspectos axiales a la vida del municipio, como son </w:t>
      </w:r>
      <w:r w:rsidRPr="0078289D">
        <w:rPr>
          <w:rFonts w:eastAsia="SimSun"/>
          <w:sz w:val="28"/>
          <w:szCs w:val="28"/>
          <w:lang w:val="es-CO" w:eastAsia="es-ES"/>
        </w:rPr>
        <w:t>la protección de cuencas hídricas, la salubridad de la población y el desarrollo económico, social y cultural de sus comunidades.</w:t>
      </w: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654D29" w:rsidRPr="0078289D" w:rsidRDefault="00654D2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La implementación de esta decisión hace necesaria la creación de elemen</w:t>
      </w:r>
      <w:r w:rsidR="00C93E3F" w:rsidRPr="0078289D">
        <w:rPr>
          <w:rFonts w:eastAsia="Times New Roman"/>
          <w:sz w:val="28"/>
          <w:szCs w:val="28"/>
          <w:lang w:val="es-CO"/>
        </w:rPr>
        <w:t>tales criterios de coordinación,</w:t>
      </w:r>
      <w:r w:rsidRPr="0078289D">
        <w:rPr>
          <w:rFonts w:eastAsia="Times New Roman"/>
          <w:sz w:val="28"/>
          <w:szCs w:val="28"/>
          <w:lang w:val="es-CO"/>
        </w:rPr>
        <w:t xml:space="preserve"> que son i</w:t>
      </w:r>
      <w:r w:rsidR="001E06CF" w:rsidRPr="0078289D">
        <w:rPr>
          <w:rFonts w:eastAsia="Times New Roman"/>
          <w:sz w:val="28"/>
          <w:szCs w:val="28"/>
          <w:lang w:val="es-CO"/>
        </w:rPr>
        <w:t>ndispensables siempre que exista</w:t>
      </w:r>
      <w:r w:rsidRPr="0078289D">
        <w:rPr>
          <w:rFonts w:eastAsia="Times New Roman"/>
          <w:sz w:val="28"/>
          <w:szCs w:val="28"/>
          <w:lang w:val="es-CO"/>
        </w:rPr>
        <w:t xml:space="preserve">n niveles concurrentes en el ejercicio de alguna competencia de naturaleza pública. Se requiere una regulación </w:t>
      </w:r>
      <w:r w:rsidR="00833C0C" w:rsidRPr="0078289D">
        <w:rPr>
          <w:rFonts w:eastAsia="Times New Roman"/>
          <w:sz w:val="28"/>
          <w:szCs w:val="28"/>
          <w:lang w:val="es-CO"/>
        </w:rPr>
        <w:t>consistente</w:t>
      </w:r>
      <w:r w:rsidRPr="0078289D">
        <w:rPr>
          <w:rFonts w:eastAsia="Times New Roman"/>
          <w:sz w:val="28"/>
          <w:szCs w:val="28"/>
          <w:lang w:val="es-CO"/>
        </w:rPr>
        <w:t xml:space="preserve"> con los mandatos de coordinación y concurrencia</w:t>
      </w:r>
      <w:r w:rsidR="004A4E48" w:rsidRPr="0078289D">
        <w:rPr>
          <w:rFonts w:eastAsia="Times New Roman"/>
          <w:sz w:val="28"/>
          <w:szCs w:val="28"/>
          <w:lang w:val="es-CO"/>
        </w:rPr>
        <w:t>, así como los de rigor subsidiario y gradación normativa</w:t>
      </w:r>
      <w:r w:rsidRPr="0078289D">
        <w:rPr>
          <w:rFonts w:eastAsia="Times New Roman"/>
          <w:sz w:val="28"/>
          <w:szCs w:val="28"/>
          <w:lang w:val="es-CO"/>
        </w:rPr>
        <w:t xml:space="preserve"> –artículo 288 de la Constitución- que asegure la adecuada realización del principio de autonomía territorial, contenido constitucional que, precisamente, es el que busca  protegerse en el presente asunto.</w:t>
      </w:r>
      <w:r w:rsidR="00833C0C" w:rsidRPr="0078289D">
        <w:rPr>
          <w:rFonts w:eastAsia="Times New Roman"/>
          <w:sz w:val="28"/>
          <w:szCs w:val="28"/>
          <w:lang w:val="es-CO"/>
        </w:rPr>
        <w:t xml:space="preserve"> </w:t>
      </w:r>
    </w:p>
    <w:p w:rsidR="00704C21" w:rsidRPr="0078289D" w:rsidRDefault="00704C21"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AD0D8E" w:rsidRPr="0078289D" w:rsidRDefault="00704C21" w:rsidP="0078289D">
      <w:pPr>
        <w:pBdr>
          <w:top w:val="none" w:sz="0" w:space="0" w:color="auto"/>
          <w:left w:val="none" w:sz="0" w:space="0" w:color="auto"/>
          <w:bottom w:val="none" w:sz="0" w:space="0" w:color="auto"/>
          <w:right w:val="none" w:sz="0" w:space="0" w:color="auto"/>
        </w:pBdr>
        <w:jc w:val="both"/>
        <w:rPr>
          <w:rFonts w:eastAsia="Times New Roman"/>
          <w:b/>
          <w:bCs/>
          <w:color w:val="000000"/>
          <w:sz w:val="28"/>
          <w:szCs w:val="28"/>
          <w:bdr w:val="none" w:sz="0" w:space="0" w:color="auto" w:frame="1"/>
          <w:lang w:val="es-CO" w:eastAsia="es-ES"/>
        </w:rPr>
      </w:pPr>
      <w:r w:rsidRPr="0078289D">
        <w:rPr>
          <w:rFonts w:eastAsia="Times New Roman"/>
          <w:sz w:val="28"/>
          <w:szCs w:val="28"/>
          <w:lang w:val="es-CO"/>
        </w:rPr>
        <w:lastRenderedPageBreak/>
        <w:t xml:space="preserve">Por tal motivo, </w:t>
      </w:r>
      <w:r w:rsidR="007D25E8" w:rsidRPr="0078289D">
        <w:rPr>
          <w:rFonts w:eastAsia="Times New Roman"/>
          <w:sz w:val="28"/>
          <w:szCs w:val="28"/>
          <w:lang w:val="es-CO"/>
        </w:rPr>
        <w:t>l</w:t>
      </w:r>
      <w:r w:rsidR="00DB0479" w:rsidRPr="0078289D">
        <w:rPr>
          <w:rFonts w:eastAsia="Times New Roman"/>
          <w:sz w:val="28"/>
          <w:szCs w:val="28"/>
          <w:lang w:val="es-CO"/>
        </w:rPr>
        <w:t>os</w:t>
      </w:r>
      <w:r w:rsidR="007D25E8" w:rsidRPr="0078289D">
        <w:rPr>
          <w:rFonts w:eastAsia="Times New Roman"/>
          <w:sz w:val="28"/>
          <w:szCs w:val="28"/>
          <w:lang w:val="es-CO"/>
        </w:rPr>
        <w:t xml:space="preserve"> artículo</w:t>
      </w:r>
      <w:r w:rsidR="00DB0479" w:rsidRPr="0078289D">
        <w:rPr>
          <w:rFonts w:eastAsia="Times New Roman"/>
          <w:sz w:val="28"/>
          <w:szCs w:val="28"/>
          <w:lang w:val="es-CO"/>
        </w:rPr>
        <w:t>s</w:t>
      </w:r>
      <w:r w:rsidR="007D25E8" w:rsidRPr="0078289D">
        <w:rPr>
          <w:rFonts w:eastAsia="Times New Roman"/>
          <w:sz w:val="28"/>
          <w:szCs w:val="28"/>
          <w:lang w:val="es-CO"/>
        </w:rPr>
        <w:t xml:space="preserve"> 20 </w:t>
      </w:r>
      <w:r w:rsidR="0090470A" w:rsidRPr="0078289D">
        <w:rPr>
          <w:rFonts w:eastAsia="Times New Roman"/>
          <w:sz w:val="28"/>
          <w:szCs w:val="28"/>
          <w:lang w:val="es-CO"/>
        </w:rPr>
        <w:t>de la Ley 1753</w:t>
      </w:r>
      <w:r w:rsidR="00DA15D6" w:rsidRPr="0078289D">
        <w:rPr>
          <w:rFonts w:eastAsia="Times New Roman"/>
          <w:sz w:val="28"/>
          <w:szCs w:val="28"/>
          <w:lang w:val="es-CO"/>
        </w:rPr>
        <w:t xml:space="preserve"> y 108 de la Ley 1450 de 201</w:t>
      </w:r>
      <w:r w:rsidR="0090470A" w:rsidRPr="0078289D">
        <w:rPr>
          <w:rFonts w:eastAsia="Times New Roman"/>
          <w:sz w:val="28"/>
          <w:szCs w:val="28"/>
          <w:lang w:val="es-CO"/>
        </w:rPr>
        <w:t xml:space="preserve">1 </w:t>
      </w:r>
      <w:r w:rsidR="004A4E48" w:rsidRPr="0078289D">
        <w:rPr>
          <w:rFonts w:eastAsia="Times New Roman"/>
          <w:sz w:val="28"/>
          <w:szCs w:val="28"/>
          <w:lang w:val="es-CO"/>
        </w:rPr>
        <w:t>deben interpretarse de conformidad con la Constitución Política</w:t>
      </w:r>
      <w:r w:rsidR="003131A3" w:rsidRPr="0078289D">
        <w:rPr>
          <w:rFonts w:eastAsia="Times New Roman"/>
          <w:sz w:val="28"/>
          <w:szCs w:val="28"/>
          <w:lang w:val="es-CO"/>
        </w:rPr>
        <w:t xml:space="preserve"> de tal manera que se armonicen los principios en tensión</w:t>
      </w:r>
      <w:r w:rsidR="004A4E48" w:rsidRPr="0078289D">
        <w:rPr>
          <w:rFonts w:eastAsia="Times New Roman"/>
          <w:sz w:val="28"/>
          <w:szCs w:val="28"/>
          <w:lang w:val="es-CO"/>
        </w:rPr>
        <w:t xml:space="preserve">. </w:t>
      </w:r>
      <w:r w:rsidR="006B47D9" w:rsidRPr="0078289D">
        <w:rPr>
          <w:rFonts w:eastAsia="Times New Roman"/>
          <w:sz w:val="28"/>
          <w:szCs w:val="28"/>
          <w:lang w:val="es-CO"/>
        </w:rPr>
        <w:t xml:space="preserve">En esa medida, </w:t>
      </w:r>
      <w:r w:rsidR="008636C0" w:rsidRPr="0078289D">
        <w:rPr>
          <w:rFonts w:eastAsia="Times New Roman"/>
          <w:sz w:val="28"/>
          <w:szCs w:val="28"/>
          <w:lang w:val="es-CO"/>
        </w:rPr>
        <w:t>la Sala declarar</w:t>
      </w:r>
      <w:r w:rsidR="00AD0D8E" w:rsidRPr="0078289D">
        <w:rPr>
          <w:rFonts w:eastAsia="Times New Roman"/>
          <w:sz w:val="28"/>
          <w:szCs w:val="28"/>
          <w:lang w:val="es-CO"/>
        </w:rPr>
        <w:t>á la exequibilidad d</w:t>
      </w:r>
      <w:r w:rsidR="00AD0D8E" w:rsidRPr="0078289D">
        <w:rPr>
          <w:rFonts w:eastAsia="Times New Roman"/>
          <w:bCs/>
          <w:color w:val="000000"/>
          <w:sz w:val="28"/>
          <w:szCs w:val="28"/>
          <w:bdr w:val="none" w:sz="0" w:space="0" w:color="auto" w:frame="1"/>
          <w:lang w:val="es-ES_tradnl" w:eastAsia="es-ES"/>
        </w:rPr>
        <w:t>el artículo </w:t>
      </w:r>
      <w:r w:rsidR="00AD0D8E" w:rsidRPr="0078289D">
        <w:rPr>
          <w:rFonts w:eastAsia="Times New Roman"/>
          <w:bCs/>
          <w:color w:val="000000"/>
          <w:sz w:val="28"/>
          <w:szCs w:val="28"/>
          <w:bdr w:val="none" w:sz="0" w:space="0" w:color="auto" w:frame="1"/>
          <w:lang w:val="es-CO" w:eastAsia="es-ES"/>
        </w:rPr>
        <w:t xml:space="preserve">108 de la Ley 1450 </w:t>
      </w:r>
      <w:r w:rsidR="007C0ACC" w:rsidRPr="0078289D">
        <w:rPr>
          <w:rFonts w:eastAsia="Times New Roman"/>
          <w:bCs/>
          <w:color w:val="000000"/>
          <w:sz w:val="28"/>
          <w:szCs w:val="28"/>
          <w:bdr w:val="none" w:sz="0" w:space="0" w:color="auto" w:frame="1"/>
          <w:lang w:val="es-CO" w:eastAsia="es-ES"/>
        </w:rPr>
        <w:t xml:space="preserve">de 2011, en el entendido de que, </w:t>
      </w:r>
      <w:r w:rsidR="00AD0D8E" w:rsidRPr="0078289D">
        <w:rPr>
          <w:rFonts w:eastAsia="Times New Roman"/>
          <w:bCs/>
          <w:color w:val="000000"/>
          <w:sz w:val="28"/>
          <w:szCs w:val="28"/>
          <w:bdr w:val="none" w:sz="0" w:space="0" w:color="auto" w:frame="1"/>
          <w:lang w:val="es-CO" w:eastAsia="es-ES"/>
        </w:rPr>
        <w:t>en relación con las áreas de reserva minera definidas con anterioridad a la notificación de la presente sentencia, la autoridad competente deberá concertar con las autoridades locales de los municipios donde están ubicadas, con anterioridad al inicio del proceso de selección objetiva de</w:t>
      </w:r>
      <w:r w:rsidR="007C0ACC" w:rsidRPr="0078289D">
        <w:rPr>
          <w:rFonts w:eastAsia="Times New Roman"/>
          <w:bCs/>
          <w:color w:val="000000"/>
          <w:sz w:val="28"/>
          <w:szCs w:val="28"/>
          <w:bdr w:val="none" w:sz="0" w:space="0" w:color="auto" w:frame="1"/>
          <w:lang w:val="es-CO" w:eastAsia="es-ES"/>
        </w:rPr>
        <w:t xml:space="preserve"> las áreas de concesión minera. De todas maneras, </w:t>
      </w:r>
      <w:r w:rsidR="00AD0D8E" w:rsidRPr="0078289D">
        <w:rPr>
          <w:rFonts w:eastAsia="Times New Roman"/>
          <w:bCs/>
          <w:color w:val="000000"/>
          <w:sz w:val="28"/>
          <w:szCs w:val="28"/>
          <w:bdr w:val="none" w:sz="0" w:space="0" w:color="auto" w:frame="1"/>
          <w:lang w:val="es-CO" w:eastAsia="es-ES"/>
        </w:rPr>
        <w:t xml:space="preserve">la Autoridad Nacional Minera y el Ministerio de  Minas y Energía deberán garantizar que la definición y oferta de dichas áreas sean compatibles con los planes de ordenamiento territorial </w:t>
      </w:r>
      <w:r w:rsidR="00AD0D8E" w:rsidRPr="0078289D">
        <w:rPr>
          <w:rFonts w:eastAsia="Times New Roman"/>
          <w:sz w:val="28"/>
          <w:szCs w:val="28"/>
          <w:lang w:val="es-ES_tradnl"/>
        </w:rPr>
        <w:t>respectivos.</w:t>
      </w:r>
    </w:p>
    <w:p w:rsidR="00AD0D8E" w:rsidRPr="0078289D" w:rsidRDefault="00AD0D8E"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b/>
          <w:bCs/>
          <w:color w:val="000000"/>
          <w:sz w:val="28"/>
          <w:szCs w:val="28"/>
          <w:bdr w:val="none" w:sz="0" w:space="0" w:color="auto" w:frame="1"/>
          <w:lang w:val="es-CO" w:eastAsia="es-ES"/>
        </w:rPr>
      </w:pPr>
    </w:p>
    <w:p w:rsidR="00AD0D8E" w:rsidRPr="0078289D" w:rsidRDefault="007C0ACC"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lang w:val="es-ES_tradnl"/>
        </w:rPr>
      </w:pPr>
      <w:r w:rsidRPr="0078289D">
        <w:rPr>
          <w:b/>
          <w:sz w:val="28"/>
          <w:szCs w:val="28"/>
          <w:lang w:val="es-ES_tradnl"/>
        </w:rPr>
        <w:t xml:space="preserve">En relación con el </w:t>
      </w:r>
      <w:r w:rsidR="00AD0D8E" w:rsidRPr="0078289D">
        <w:rPr>
          <w:rFonts w:eastAsia="Times New Roman"/>
          <w:bCs/>
          <w:color w:val="000000"/>
          <w:sz w:val="28"/>
          <w:szCs w:val="28"/>
          <w:bdr w:val="none" w:sz="0" w:space="0" w:color="auto" w:frame="1"/>
          <w:lang w:val="es-CO" w:eastAsia="es-ES"/>
        </w:rPr>
        <w:t>artículo 20 de la Ley 1753 de 2015,</w:t>
      </w:r>
      <w:r w:rsidRPr="0078289D">
        <w:rPr>
          <w:rFonts w:eastAsia="Times New Roman"/>
          <w:bCs/>
          <w:color w:val="000000"/>
          <w:sz w:val="28"/>
          <w:szCs w:val="28"/>
          <w:bdr w:val="none" w:sz="0" w:space="0" w:color="auto" w:frame="1"/>
          <w:lang w:val="es-CO" w:eastAsia="es-ES"/>
        </w:rPr>
        <w:t xml:space="preserve"> en tanto que existen áreas delimitadas con base en esa norma y otras aún no se han definido, la Corte declarará su exequibilidad</w:t>
      </w:r>
      <w:r w:rsidR="00AD0D8E" w:rsidRPr="0078289D">
        <w:rPr>
          <w:rFonts w:eastAsia="Times New Roman"/>
          <w:bCs/>
          <w:color w:val="000000"/>
          <w:sz w:val="28"/>
          <w:szCs w:val="28"/>
          <w:bdr w:val="none" w:sz="0" w:space="0" w:color="auto" w:frame="1"/>
          <w:lang w:val="es-CO" w:eastAsia="es-ES"/>
        </w:rPr>
        <w:t xml:space="preserve"> en el entendido de </w:t>
      </w:r>
      <w:r w:rsidR="00AD0D8E" w:rsidRPr="0078289D">
        <w:rPr>
          <w:rFonts w:eastAsia="Times New Roman"/>
          <w:sz w:val="28"/>
          <w:szCs w:val="28"/>
          <w:shd w:val="clear" w:color="auto" w:fill="FFFFFF"/>
          <w:lang w:val="es-ES_tradnl"/>
        </w:rPr>
        <w:t xml:space="preserve">que: i) la autoridad competente para definir las áreas de reserva minera deberá concertar previamente con las autoridades locales de los municipios donde van a estar ubicadas, para garantizar </w:t>
      </w:r>
      <w:r w:rsidR="00AD0D8E" w:rsidRPr="0078289D">
        <w:rPr>
          <w:rFonts w:eastAsia="Times New Roman"/>
          <w:sz w:val="28"/>
          <w:szCs w:val="28"/>
          <w:lang w:val="es-ES_tradnl"/>
        </w:rPr>
        <w:t>que no se afecte su facultad constitucional para reglamentar los usos del suelo</w:t>
      </w:r>
      <w:r w:rsidRPr="0078289D">
        <w:rPr>
          <w:rFonts w:eastAsia="Times New Roman"/>
          <w:sz w:val="28"/>
          <w:szCs w:val="28"/>
          <w:lang w:val="es-ES_tradnl"/>
        </w:rPr>
        <w:t xml:space="preserve"> y,</w:t>
      </w:r>
      <w:r w:rsidR="00AD0D8E" w:rsidRPr="0078289D">
        <w:rPr>
          <w:rFonts w:eastAsia="Times New Roman"/>
          <w:sz w:val="28"/>
          <w:szCs w:val="28"/>
          <w:lang w:val="es-ES_tradnl"/>
        </w:rPr>
        <w:t xml:space="preserve"> ii) si la autoridad competente </w:t>
      </w:r>
      <w:r w:rsidRPr="0078289D">
        <w:rPr>
          <w:rFonts w:eastAsia="Times New Roman"/>
          <w:sz w:val="28"/>
          <w:szCs w:val="28"/>
          <w:lang w:val="es-ES_tradnl"/>
        </w:rPr>
        <w:t xml:space="preserve">ya </w:t>
      </w:r>
      <w:r w:rsidR="00AD0D8E" w:rsidRPr="0078289D">
        <w:rPr>
          <w:rFonts w:eastAsia="Times New Roman"/>
          <w:sz w:val="28"/>
          <w:szCs w:val="28"/>
          <w:lang w:val="es-ES_tradnl"/>
        </w:rPr>
        <w:t>definió las áreas de reserva minera</w:t>
      </w:r>
      <w:r w:rsidRPr="0078289D">
        <w:rPr>
          <w:rFonts w:eastAsia="Times New Roman"/>
          <w:sz w:val="28"/>
          <w:szCs w:val="28"/>
          <w:lang w:val="es-ES_tradnl"/>
        </w:rPr>
        <w:t>,</w:t>
      </w:r>
      <w:r w:rsidR="00AD0D8E" w:rsidRPr="0078289D">
        <w:rPr>
          <w:rFonts w:eastAsia="Times New Roman"/>
          <w:sz w:val="28"/>
          <w:szCs w:val="28"/>
          <w:lang w:val="es-ES_tradnl"/>
        </w:rPr>
        <w:t xml:space="preserve"> deberá concertar con las autoridades locales de los municipios donde se encuentran ubicadas, con anterioridad al inicio del proceso de selección objetiva de las áreas de concesión minera</w:t>
      </w:r>
      <w:r w:rsidRPr="0078289D">
        <w:rPr>
          <w:rFonts w:eastAsia="Times New Roman"/>
          <w:sz w:val="28"/>
          <w:szCs w:val="28"/>
          <w:lang w:val="es-ES_tradnl"/>
        </w:rPr>
        <w:t>.</w:t>
      </w:r>
      <w:r w:rsidR="00AD0D8E" w:rsidRPr="0078289D">
        <w:rPr>
          <w:rFonts w:eastAsia="Times New Roman"/>
          <w:sz w:val="28"/>
          <w:szCs w:val="28"/>
          <w:lang w:val="es-ES_tradnl"/>
        </w:rPr>
        <w:t xml:space="preserve"> </w:t>
      </w:r>
      <w:r w:rsidRPr="0078289D">
        <w:rPr>
          <w:rFonts w:eastAsia="Times New Roman"/>
          <w:sz w:val="28"/>
          <w:szCs w:val="28"/>
          <w:lang w:val="es-ES_tradnl"/>
        </w:rPr>
        <w:t>También,</w:t>
      </w:r>
      <w:r w:rsidR="00AD0D8E" w:rsidRPr="0078289D">
        <w:rPr>
          <w:rFonts w:eastAsia="Times New Roman"/>
          <w:sz w:val="28"/>
          <w:szCs w:val="28"/>
          <w:lang w:val="es-ES_tradnl"/>
        </w:rPr>
        <w:t xml:space="preserve"> la Autoridad Nacional Minera y el Ministerio de Minas y Energía, según el caso, deberán garantizar que la definición y oferta de dichas áreas sean compatibles con los respectivos planes de ordenamiento territorial.</w:t>
      </w:r>
    </w:p>
    <w:p w:rsidR="007C0ACC" w:rsidRPr="0078289D" w:rsidRDefault="007C0ACC"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bCs/>
          <w:color w:val="000000"/>
          <w:sz w:val="28"/>
          <w:szCs w:val="28"/>
          <w:bdr w:val="none" w:sz="0" w:space="0" w:color="auto" w:frame="1"/>
          <w:lang w:val="es-CO" w:eastAsia="es-ES"/>
        </w:rPr>
      </w:pPr>
    </w:p>
    <w:p w:rsidR="00704C21" w:rsidRDefault="00AE217D"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Finalmente, se advierte que, en todos los casos regulados por las dos disposiciones objeto de análisis, l</w:t>
      </w:r>
      <w:r w:rsidR="00E33645" w:rsidRPr="0078289D">
        <w:rPr>
          <w:rFonts w:eastAsia="Times New Roman"/>
          <w:sz w:val="28"/>
          <w:szCs w:val="28"/>
          <w:lang w:val="es-CO"/>
        </w:rPr>
        <w:t xml:space="preserve">os instrumentos de coordinación deben estar concertados conforme al principio de </w:t>
      </w:r>
      <w:r w:rsidR="00747A3D" w:rsidRPr="0078289D">
        <w:rPr>
          <w:rFonts w:eastAsia="Times New Roman"/>
          <w:sz w:val="28"/>
          <w:szCs w:val="28"/>
          <w:lang w:val="es-CO"/>
        </w:rPr>
        <w:t xml:space="preserve">descentralización, con reconocimiento de la </w:t>
      </w:r>
      <w:r w:rsidR="00E33645" w:rsidRPr="0078289D">
        <w:rPr>
          <w:rFonts w:eastAsia="Times New Roman"/>
          <w:sz w:val="28"/>
          <w:szCs w:val="28"/>
          <w:lang w:val="es-CO"/>
        </w:rPr>
        <w:t xml:space="preserve">autonomía de los municipios, y deben </w:t>
      </w:r>
      <w:r w:rsidR="000C40B5" w:rsidRPr="0078289D">
        <w:rPr>
          <w:rFonts w:eastAsia="Times New Roman"/>
          <w:sz w:val="28"/>
          <w:szCs w:val="28"/>
          <w:lang w:val="es-CO"/>
        </w:rPr>
        <w:t xml:space="preserve">obedecer a </w:t>
      </w:r>
      <w:r w:rsidR="00E33645" w:rsidRPr="0078289D">
        <w:rPr>
          <w:rFonts w:eastAsia="Times New Roman"/>
          <w:sz w:val="28"/>
          <w:szCs w:val="28"/>
          <w:lang w:val="es-CO"/>
        </w:rPr>
        <w:t>los criterios de coordinaci</w:t>
      </w:r>
      <w:r w:rsidR="003A0D10" w:rsidRPr="0078289D">
        <w:rPr>
          <w:rFonts w:eastAsia="Times New Roman"/>
          <w:sz w:val="28"/>
          <w:szCs w:val="28"/>
          <w:lang w:val="es-CO"/>
        </w:rPr>
        <w:t>ón, concurrencia y</w:t>
      </w:r>
      <w:r w:rsidR="00E33645" w:rsidRPr="0078289D">
        <w:rPr>
          <w:rFonts w:eastAsia="Times New Roman"/>
          <w:sz w:val="28"/>
          <w:szCs w:val="28"/>
          <w:lang w:val="es-CO"/>
        </w:rPr>
        <w:t xml:space="preserve"> </w:t>
      </w:r>
      <w:r w:rsidR="00747A3D" w:rsidRPr="0078289D">
        <w:rPr>
          <w:rFonts w:eastAsia="Times New Roman"/>
          <w:sz w:val="28"/>
          <w:szCs w:val="28"/>
          <w:lang w:val="es-CO"/>
        </w:rPr>
        <w:t xml:space="preserve">gradación normativa, </w:t>
      </w:r>
      <w:r w:rsidR="003A0D10" w:rsidRPr="0078289D">
        <w:rPr>
          <w:rFonts w:eastAsia="Times New Roman"/>
          <w:sz w:val="28"/>
          <w:szCs w:val="28"/>
          <w:lang w:val="es-CO"/>
        </w:rPr>
        <w:t xml:space="preserve">adoptando las medidas que sean necesarias para la protección de un ambiente sano, </w:t>
      </w:r>
      <w:r w:rsidR="00CC3875" w:rsidRPr="0078289D">
        <w:rPr>
          <w:rFonts w:eastAsia="Times New Roman"/>
          <w:sz w:val="28"/>
          <w:szCs w:val="28"/>
          <w:lang w:val="es-CO"/>
        </w:rPr>
        <w:t>la protección de las cuencas fluviales, el desarrollo económico, social y la identidad cultural de las comunidades.</w:t>
      </w:r>
      <w:r w:rsidRPr="0078289D">
        <w:rPr>
          <w:rFonts w:eastAsia="Times New Roman"/>
          <w:sz w:val="28"/>
          <w:szCs w:val="28"/>
          <w:lang w:val="es-CO"/>
        </w:rPr>
        <w:t xml:space="preserve"> De igual manera, debe quedar claro que, en aplicación de los mecanismos de democracia participativa, los ciudadanos afectados deben tener la posibilidad de ejercer sus derechos de participaci</w:t>
      </w:r>
      <w:r w:rsidR="002F2651" w:rsidRPr="0078289D">
        <w:rPr>
          <w:rFonts w:eastAsia="Times New Roman"/>
          <w:sz w:val="28"/>
          <w:szCs w:val="28"/>
          <w:lang w:val="es-CO"/>
        </w:rPr>
        <w:t>ón en la toma de decisiones, de protección de los recursos naturales y de vigilancia y control social para la conservación del ambiente sano.</w:t>
      </w:r>
    </w:p>
    <w:p w:rsidR="0060248E" w:rsidRPr="0078289D" w:rsidRDefault="0060248E"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840465" w:rsidRPr="0078289D" w:rsidRDefault="00840465" w:rsidP="0078289D">
      <w:pPr>
        <w:pBdr>
          <w:top w:val="none" w:sz="0" w:space="0" w:color="auto"/>
          <w:left w:val="none" w:sz="0" w:space="0" w:color="auto"/>
          <w:bottom w:val="none" w:sz="0" w:space="0" w:color="auto"/>
          <w:right w:val="none" w:sz="0" w:space="0" w:color="auto"/>
        </w:pBdr>
        <w:jc w:val="center"/>
        <w:rPr>
          <w:b/>
          <w:color w:val="000000"/>
          <w:sz w:val="28"/>
          <w:szCs w:val="28"/>
          <w:u w:color="000000"/>
          <w:lang w:val="es-ES_tradnl" w:eastAsia="es-ES"/>
        </w:rPr>
      </w:pPr>
      <w:r w:rsidRPr="0078289D">
        <w:rPr>
          <w:b/>
          <w:color w:val="000000"/>
          <w:sz w:val="28"/>
          <w:szCs w:val="28"/>
          <w:u w:color="000000"/>
          <w:lang w:val="es-ES_tradnl" w:eastAsia="es-ES"/>
        </w:rPr>
        <w:t>2. SEGUNDA SECCIÓN DE LA DEMANDA</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En la segunda sección de la demanda los accionantes acusan varios de los artículos contenidos en el Plan Nacional de Desarrollo 2014-2018 que se refieren a los PINE</w:t>
      </w:r>
      <w:r w:rsidR="00CC2646" w:rsidRPr="0078289D">
        <w:rPr>
          <w:sz w:val="28"/>
          <w:szCs w:val="28"/>
          <w:lang w:val="es-ES_tradnl"/>
        </w:rPr>
        <w:t xml:space="preserve"> (Proyectos de Interés Nacional y Estratégicos)</w:t>
      </w:r>
      <w:r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F22F44"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Esta sección se encuentra dividida en tres partes</w:t>
      </w:r>
      <w:r w:rsidR="007043D0" w:rsidRPr="0078289D">
        <w:rPr>
          <w:sz w:val="28"/>
          <w:szCs w:val="28"/>
          <w:lang w:val="es-ES_tradnl"/>
        </w:rPr>
        <w:t>, y cada una de ellas se estudiará por separado</w:t>
      </w:r>
      <w:r w:rsidRPr="0078289D">
        <w:rPr>
          <w:sz w:val="28"/>
          <w:szCs w:val="28"/>
          <w:lang w:val="es-ES_tradnl"/>
        </w:rPr>
        <w:t xml:space="preserve">. En la primera parte, </w:t>
      </w:r>
      <w:r w:rsidR="00F22F44" w:rsidRPr="0078289D">
        <w:rPr>
          <w:sz w:val="28"/>
          <w:szCs w:val="28"/>
          <w:lang w:val="es-ES_tradnl"/>
        </w:rPr>
        <w:t xml:space="preserve">los accionantes exponen cargos </w:t>
      </w:r>
      <w:r w:rsidR="00F22F44" w:rsidRPr="0078289D">
        <w:rPr>
          <w:sz w:val="28"/>
          <w:szCs w:val="28"/>
          <w:lang w:val="es-ES_tradnl"/>
        </w:rPr>
        <w:lastRenderedPageBreak/>
        <w:t xml:space="preserve">contra el inciso 2º del artículo 50 de la Ley 1753 de 2015, mediante el cual </w:t>
      </w:r>
      <w:r w:rsidR="00F22F44" w:rsidRPr="0078289D">
        <w:rPr>
          <w:i/>
          <w:sz w:val="28"/>
          <w:szCs w:val="28"/>
          <w:lang w:val="es-ES_tradnl"/>
        </w:rPr>
        <w:t>“se restringe la restitución de tierras en predios en los que haya PINE e impone en su lugar la compensación, violando los derechos de las víctimas (…) y el carácter preferente de la restitución y la igualdad”.</w:t>
      </w:r>
    </w:p>
    <w:p w:rsidR="00F22F44" w:rsidRPr="0078289D" w:rsidRDefault="00F22F44"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F22F44"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Posteriormente, los demandantes formulan cargos contra </w:t>
      </w:r>
      <w:r w:rsidR="00840465" w:rsidRPr="0078289D">
        <w:rPr>
          <w:sz w:val="28"/>
          <w:szCs w:val="28"/>
          <w:lang w:val="es-ES_tradnl"/>
        </w:rPr>
        <w:t xml:space="preserve">el artículo 49 y </w:t>
      </w:r>
      <w:r w:rsidR="00DA15D6" w:rsidRPr="0078289D">
        <w:rPr>
          <w:sz w:val="28"/>
          <w:szCs w:val="28"/>
          <w:lang w:val="es-ES_tradnl"/>
        </w:rPr>
        <w:t xml:space="preserve">contra </w:t>
      </w:r>
      <w:r w:rsidR="00840465" w:rsidRPr="0078289D">
        <w:rPr>
          <w:sz w:val="28"/>
          <w:szCs w:val="28"/>
          <w:lang w:val="es-ES_tradnl"/>
        </w:rPr>
        <w:t xml:space="preserve">la expresión </w:t>
      </w:r>
      <w:r w:rsidR="00840465" w:rsidRPr="0078289D">
        <w:rPr>
          <w:i/>
          <w:sz w:val="28"/>
          <w:szCs w:val="28"/>
          <w:lang w:val="es-ES_tradnl"/>
        </w:rPr>
        <w:t>“que hayan sido calificados de interés nacional y estratégico por la comisión intersectorial de infraestructura y proyectos estratégicos (CIIPE)”</w:t>
      </w:r>
      <w:r w:rsidR="00840465" w:rsidRPr="0078289D">
        <w:rPr>
          <w:sz w:val="28"/>
          <w:szCs w:val="28"/>
          <w:lang w:val="es-ES_tradnl"/>
        </w:rPr>
        <w:t xml:space="preserve">, contenida en el artículo 52 de la Ley 1753 de 2015. Las mencionadas disposiciones se refieren, a juicio de los demandantes, a </w:t>
      </w:r>
      <w:r w:rsidR="00840465" w:rsidRPr="0078289D">
        <w:rPr>
          <w:i/>
          <w:sz w:val="28"/>
          <w:szCs w:val="28"/>
          <w:lang w:val="es-ES_tradnl"/>
        </w:rPr>
        <w:t xml:space="preserve">“la creación del Sistema Nacional de Proyectos de Interés Estratégico Nación </w:t>
      </w:r>
      <w:r w:rsidR="00840465" w:rsidRPr="0078289D">
        <w:rPr>
          <w:sz w:val="28"/>
          <w:szCs w:val="28"/>
          <w:lang w:val="es-ES_tradnl"/>
        </w:rPr>
        <w:t xml:space="preserve">(sic), </w:t>
      </w:r>
      <w:r w:rsidR="00840465" w:rsidRPr="0078289D">
        <w:rPr>
          <w:i/>
          <w:sz w:val="28"/>
          <w:szCs w:val="28"/>
          <w:lang w:val="es-ES_tradnl"/>
        </w:rPr>
        <w:t xml:space="preserve">la ordenación y priorización por parte de la Comisión Intersectorial de PINES y su declaración como actividad de utilidad pública e interés social”. </w:t>
      </w:r>
      <w:r w:rsidR="00840465" w:rsidRPr="0078289D">
        <w:rPr>
          <w:sz w:val="28"/>
          <w:szCs w:val="28"/>
          <w:vertAlign w:val="superscript"/>
          <w:lang w:val="es-ES_tradnl"/>
        </w:rPr>
        <w:footnoteReference w:id="42"/>
      </w:r>
      <w:r w:rsidR="00840465"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402692" w:rsidP="0078289D">
      <w:pPr>
        <w:pBdr>
          <w:top w:val="none" w:sz="0" w:space="0" w:color="auto"/>
          <w:left w:val="none" w:sz="0" w:space="0" w:color="auto"/>
          <w:bottom w:val="none" w:sz="0" w:space="0" w:color="auto"/>
          <w:right w:val="none" w:sz="0" w:space="0" w:color="auto"/>
        </w:pBdr>
        <w:contextualSpacing/>
        <w:jc w:val="both"/>
        <w:rPr>
          <w:i/>
          <w:sz w:val="28"/>
          <w:szCs w:val="28"/>
          <w:lang w:val="es-ES_tradnl"/>
        </w:rPr>
      </w:pPr>
      <w:r w:rsidRPr="0078289D">
        <w:rPr>
          <w:sz w:val="28"/>
          <w:szCs w:val="28"/>
          <w:lang w:val="es-ES_tradnl"/>
        </w:rPr>
        <w:t xml:space="preserve">Finalmente, en la última parte de la segunda sección de la demanda </w:t>
      </w:r>
      <w:r w:rsidR="00840465" w:rsidRPr="0078289D">
        <w:rPr>
          <w:sz w:val="28"/>
          <w:szCs w:val="28"/>
          <w:lang w:val="es-ES_tradnl"/>
        </w:rPr>
        <w:t xml:space="preserve">el artículo 51 de la Ley 1753 de 2015, el cual, a su juicio, modifica las competencias en materia de licenciamiento ambiental para los proyectos PINES. </w:t>
      </w:r>
    </w:p>
    <w:p w:rsidR="00D7482C" w:rsidRPr="0078289D" w:rsidRDefault="00D7482C"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p>
    <w:p w:rsidR="008B521B" w:rsidRPr="0078289D" w:rsidRDefault="008B521B"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center"/>
        <w:rPr>
          <w:b/>
          <w:i/>
          <w:sz w:val="28"/>
          <w:szCs w:val="28"/>
          <w:lang w:val="es-ES_tradnl"/>
        </w:rPr>
      </w:pPr>
      <w:r w:rsidRPr="0078289D">
        <w:rPr>
          <w:b/>
          <w:i/>
          <w:sz w:val="28"/>
          <w:szCs w:val="28"/>
          <w:lang w:val="es-ES_tradnl"/>
        </w:rPr>
        <w:t>Primera Parte</w:t>
      </w:r>
    </w:p>
    <w:p w:rsidR="0058441A" w:rsidRPr="0078289D" w:rsidRDefault="0058441A" w:rsidP="0078289D">
      <w:pPr>
        <w:pBdr>
          <w:top w:val="none" w:sz="0" w:space="0" w:color="auto"/>
          <w:left w:val="none" w:sz="0" w:space="0" w:color="auto"/>
          <w:bottom w:val="none" w:sz="0" w:space="0" w:color="auto"/>
          <w:right w:val="none" w:sz="0" w:space="0" w:color="auto"/>
        </w:pBdr>
        <w:rPr>
          <w:b/>
          <w:i/>
          <w:color w:val="000000"/>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rPr>
          <w:b/>
          <w:color w:val="000000"/>
          <w:sz w:val="28"/>
          <w:szCs w:val="28"/>
          <w:u w:color="000000"/>
          <w:lang w:val="es-ES_tradnl" w:eastAsia="es-ES"/>
        </w:rPr>
      </w:pPr>
      <w:r w:rsidRPr="0078289D">
        <w:rPr>
          <w:b/>
          <w:color w:val="000000"/>
          <w:sz w:val="28"/>
          <w:szCs w:val="28"/>
          <w:u w:color="000000"/>
          <w:lang w:val="es-ES_tradnl" w:eastAsia="es-ES"/>
        </w:rPr>
        <w:t>Normas demandadas:</w:t>
      </w:r>
    </w:p>
    <w:p w:rsidR="00840465" w:rsidRPr="0078289D" w:rsidRDefault="00840465" w:rsidP="0078289D">
      <w:pPr>
        <w:pBdr>
          <w:top w:val="none" w:sz="0" w:space="0" w:color="auto"/>
          <w:left w:val="none" w:sz="0" w:space="0" w:color="auto"/>
          <w:bottom w:val="none" w:sz="0" w:space="0" w:color="auto"/>
          <w:right w:val="none" w:sz="0" w:space="0" w:color="auto"/>
        </w:pBdr>
        <w:jc w:val="both"/>
        <w:rPr>
          <w:b/>
          <w:color w:val="000000"/>
          <w:sz w:val="28"/>
          <w:szCs w:val="28"/>
          <w:u w:color="000000"/>
          <w:lang w:val="es-ES_tradnl" w:eastAsia="es-ES"/>
        </w:rPr>
      </w:pPr>
    </w:p>
    <w:p w:rsidR="00B35526" w:rsidRPr="0078289D" w:rsidRDefault="00B35526"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sz w:val="28"/>
          <w:szCs w:val="28"/>
        </w:rPr>
      </w:pPr>
      <w:r w:rsidRPr="0078289D">
        <w:rPr>
          <w:rFonts w:hAnsi="Times New Roman" w:cs="Times New Roman"/>
          <w:sz w:val="28"/>
          <w:szCs w:val="28"/>
        </w:rPr>
        <w:t xml:space="preserve">En esta </w:t>
      </w:r>
      <w:r w:rsidR="00C149E3" w:rsidRPr="0078289D">
        <w:rPr>
          <w:rFonts w:hAnsi="Times New Roman" w:cs="Times New Roman"/>
          <w:sz w:val="28"/>
          <w:szCs w:val="28"/>
        </w:rPr>
        <w:t xml:space="preserve">primera parte de la segunda </w:t>
      </w:r>
      <w:r w:rsidRPr="0078289D">
        <w:rPr>
          <w:rFonts w:hAnsi="Times New Roman" w:cs="Times New Roman"/>
          <w:sz w:val="28"/>
          <w:szCs w:val="28"/>
        </w:rPr>
        <w:t xml:space="preserve">sección de la demanda los accionantes presentan dos cargos contra el inciso 2º del artículo 50 de la Ley 1753 de 2015, particularmente, por la vulneración de los derechos fundamentales a la reparación integral de las víctimas y a la igualdad. A continuación se transcriben las normas demandadas: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1680"/>
        </w:tabs>
        <w:contextualSpacing/>
        <w:jc w:val="both"/>
        <w:rPr>
          <w:i/>
          <w:sz w:val="28"/>
          <w:szCs w:val="28"/>
          <w:lang w:val="es-ES_tradnl"/>
        </w:rPr>
      </w:pPr>
    </w:p>
    <w:p w:rsidR="00ED0F01" w:rsidRPr="0078289D" w:rsidRDefault="00ED0F01"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color w:val="auto"/>
          <w:sz w:val="28"/>
          <w:szCs w:val="28"/>
        </w:rPr>
      </w:pPr>
      <w:r w:rsidRPr="0078289D">
        <w:rPr>
          <w:rFonts w:ascii="Times New Roman" w:hAnsi="Times New Roman" w:cs="Times New Roman"/>
          <w:i/>
          <w:color w:val="auto"/>
          <w:sz w:val="28"/>
          <w:szCs w:val="28"/>
        </w:rPr>
        <w:t>A</w:t>
      </w:r>
      <w:bookmarkStart w:id="6" w:name="50"/>
      <w:bookmarkEnd w:id="6"/>
      <w:r w:rsidRPr="0078289D">
        <w:rPr>
          <w:rFonts w:ascii="Times New Roman" w:hAnsi="Times New Roman" w:cs="Times New Roman"/>
          <w:bCs/>
          <w:i/>
          <w:color w:val="auto"/>
          <w:sz w:val="28"/>
          <w:szCs w:val="28"/>
        </w:rPr>
        <w:t>RTÍCULO 50. PROYECTOS DE INTERÉS NACIONAL Y ESTRATÉGICOS (PINE).</w:t>
      </w:r>
      <w:r w:rsidRPr="0078289D">
        <w:rPr>
          <w:rStyle w:val="apple-converted-space"/>
          <w:rFonts w:ascii="Times New Roman" w:hAnsi="Times New Roman"/>
          <w:i/>
          <w:color w:val="auto"/>
          <w:sz w:val="28"/>
          <w:szCs w:val="28"/>
        </w:rPr>
        <w:t> </w:t>
      </w:r>
      <w:r w:rsidRPr="0078289D">
        <w:rPr>
          <w:rFonts w:ascii="Times New Roman" w:hAnsi="Times New Roman" w:cs="Times New Roman"/>
          <w:i/>
          <w:color w:val="auto"/>
          <w:sz w:val="28"/>
          <w:szCs w:val="28"/>
        </w:rPr>
        <w:t>A los Proyectos de Interés Nacional y Estratégicos (PINE), les serán aplicables las disposiciones contenidas en las Leyes 9ª de 1989,</w:t>
      </w:r>
      <w:r w:rsidR="007F50C0" w:rsidRPr="0078289D">
        <w:rPr>
          <w:rFonts w:ascii="Times New Roman" w:hAnsi="Times New Roman" w:cs="Times New Roman"/>
          <w:i/>
          <w:color w:val="auto"/>
          <w:sz w:val="28"/>
          <w:szCs w:val="28"/>
        </w:rPr>
        <w:t xml:space="preserve"> </w:t>
      </w:r>
      <w:hyperlink r:id="rId9" w:anchor="INICIO" w:history="1">
        <w:r w:rsidRPr="0078289D">
          <w:rPr>
            <w:rStyle w:val="Hipervnculo"/>
            <w:rFonts w:ascii="Times New Roman" w:hAnsi="Times New Roman" w:cs="Times New Roman"/>
            <w:i/>
            <w:color w:val="auto"/>
            <w:sz w:val="28"/>
            <w:szCs w:val="28"/>
            <w:u w:val="none"/>
          </w:rPr>
          <w:t>388</w:t>
        </w:r>
      </w:hyperlink>
      <w:r w:rsidRPr="0078289D">
        <w:rPr>
          <w:rStyle w:val="apple-converted-space"/>
          <w:rFonts w:ascii="Times New Roman" w:hAnsi="Times New Roman"/>
          <w:i/>
          <w:color w:val="auto"/>
          <w:sz w:val="28"/>
          <w:szCs w:val="28"/>
        </w:rPr>
        <w:t> </w:t>
      </w:r>
      <w:r w:rsidRPr="0078289D">
        <w:rPr>
          <w:rFonts w:ascii="Times New Roman" w:hAnsi="Times New Roman" w:cs="Times New Roman"/>
          <w:i/>
          <w:color w:val="auto"/>
          <w:sz w:val="28"/>
          <w:szCs w:val="28"/>
        </w:rPr>
        <w:t>de 1997 y</w:t>
      </w:r>
      <w:r w:rsidRPr="0078289D">
        <w:rPr>
          <w:rStyle w:val="apple-converted-space"/>
          <w:rFonts w:ascii="Times New Roman" w:hAnsi="Times New Roman"/>
          <w:i/>
          <w:color w:val="auto"/>
          <w:sz w:val="28"/>
          <w:szCs w:val="28"/>
        </w:rPr>
        <w:t> </w:t>
      </w:r>
      <w:hyperlink r:id="rId10" w:anchor="INICIO" w:history="1">
        <w:r w:rsidRPr="0078289D">
          <w:rPr>
            <w:rStyle w:val="Hipervnculo"/>
            <w:rFonts w:ascii="Times New Roman" w:hAnsi="Times New Roman" w:cs="Times New Roman"/>
            <w:i/>
            <w:color w:val="auto"/>
            <w:sz w:val="28"/>
            <w:szCs w:val="28"/>
            <w:u w:val="none"/>
          </w:rPr>
          <w:t>1682</w:t>
        </w:r>
      </w:hyperlink>
      <w:r w:rsidRPr="0078289D">
        <w:rPr>
          <w:rStyle w:val="apple-converted-space"/>
          <w:rFonts w:ascii="Times New Roman" w:hAnsi="Times New Roman"/>
          <w:i/>
          <w:color w:val="auto"/>
          <w:sz w:val="28"/>
          <w:szCs w:val="28"/>
        </w:rPr>
        <w:t> </w:t>
      </w:r>
      <w:r w:rsidRPr="0078289D">
        <w:rPr>
          <w:rFonts w:ascii="Times New Roman" w:hAnsi="Times New Roman" w:cs="Times New Roman"/>
          <w:i/>
          <w:color w:val="auto"/>
          <w:sz w:val="28"/>
          <w:szCs w:val="28"/>
        </w:rPr>
        <w:t>de 2013 y demás normas que las reglamenten, modifiquen o adicionen.</w:t>
      </w:r>
    </w:p>
    <w:p w:rsidR="00153436" w:rsidRPr="0078289D" w:rsidRDefault="0015343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ED0F01" w:rsidRPr="0078289D" w:rsidRDefault="00ED0F01"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La inclusión del predio en los PINE se entenderá en los términos del artículo </w:t>
      </w:r>
      <w:hyperlink r:id="rId11" w:anchor="72" w:history="1">
        <w:r w:rsidRPr="0078289D">
          <w:rPr>
            <w:rFonts w:ascii="Times New Roman" w:hAnsi="Times New Roman" w:cs="Times New Roman"/>
            <w:i/>
            <w:sz w:val="28"/>
            <w:szCs w:val="28"/>
          </w:rPr>
          <w:t>72</w:t>
        </w:r>
      </w:hyperlink>
      <w:r w:rsidRPr="0078289D">
        <w:rPr>
          <w:rFonts w:ascii="Times New Roman" w:hAnsi="Times New Roman" w:cs="Times New Roman"/>
          <w:i/>
          <w:sz w:val="28"/>
          <w:szCs w:val="28"/>
          <w:u w:val="single"/>
        </w:rPr>
        <w:t> de la Ley 1448 de 2011 como una imposibilidad jurídica para la restitución que impondrá al Fondo de la Unidad Administrativa Especial de Gestión de Restitución de Tierras Despojadas la obligación de compensar a las víctimas con un predio de similares condiciones, en el orden y lineamientos establecidos en el artículo </w:t>
      </w:r>
      <w:hyperlink r:id="rId12" w:anchor="98" w:history="1">
        <w:r w:rsidRPr="0078289D">
          <w:rPr>
            <w:rFonts w:ascii="Times New Roman" w:hAnsi="Times New Roman" w:cs="Times New Roman"/>
            <w:i/>
            <w:sz w:val="28"/>
            <w:szCs w:val="28"/>
          </w:rPr>
          <w:t>98</w:t>
        </w:r>
      </w:hyperlink>
      <w:r w:rsidRPr="0078289D">
        <w:rPr>
          <w:rFonts w:ascii="Times New Roman" w:hAnsi="Times New Roman" w:cs="Times New Roman"/>
          <w:i/>
          <w:sz w:val="28"/>
          <w:szCs w:val="28"/>
          <w:u w:val="single"/>
        </w:rPr>
        <w:t xml:space="preserve"> de la Ley 1448 de 2011 y sus decretos reglamentarios. Sin embargo, en estos casos, el pago </w:t>
      </w:r>
      <w:r w:rsidRPr="0078289D">
        <w:rPr>
          <w:rFonts w:ascii="Times New Roman" w:hAnsi="Times New Roman" w:cs="Times New Roman"/>
          <w:i/>
          <w:sz w:val="28"/>
          <w:szCs w:val="28"/>
          <w:u w:val="single"/>
        </w:rPr>
        <w:lastRenderedPageBreak/>
        <w:t>de la compensación se realizará con cargo a los recursos que se consignen en el depósito judicial efectuado por la entidad propietaria con cargo al proyecto, en virtud del proceso de expropiación.</w:t>
      </w:r>
    </w:p>
    <w:p w:rsidR="00153436" w:rsidRPr="0078289D" w:rsidRDefault="00153436"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ED0F01" w:rsidRPr="0078289D" w:rsidRDefault="00ED0F01"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PARÁGRAFO. Las disposiciones previstas en este artículo se podrán aplicar a los proyectos que antes de la promulgación de esta ley hubiesen sido declarados como Proyectos de Interés Nacional y Estratégicos (PINE).</w:t>
      </w:r>
    </w:p>
    <w:p w:rsidR="00CC23A9" w:rsidRPr="0078289D" w:rsidRDefault="00CC23A9"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sz w:val="28"/>
          <w:szCs w:val="28"/>
        </w:rPr>
      </w:pPr>
    </w:p>
    <w:p w:rsidR="00CC23A9" w:rsidRPr="0078289D" w:rsidRDefault="00D5167B"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b/>
          <w:sz w:val="28"/>
          <w:szCs w:val="28"/>
        </w:rPr>
      </w:pPr>
      <w:r w:rsidRPr="0078289D">
        <w:rPr>
          <w:rFonts w:hAnsi="Times New Roman" w:cs="Times New Roman"/>
          <w:b/>
          <w:sz w:val="28"/>
          <w:szCs w:val="28"/>
        </w:rPr>
        <w:t>Concepto de violación: c</w:t>
      </w:r>
      <w:r w:rsidR="00CC23A9" w:rsidRPr="0078289D">
        <w:rPr>
          <w:rFonts w:hAnsi="Times New Roman" w:cs="Times New Roman"/>
          <w:b/>
          <w:sz w:val="28"/>
          <w:szCs w:val="28"/>
        </w:rPr>
        <w:t>argos contra el inciso 2º del artículo 50 de la Ley 1753 de 2015</w:t>
      </w:r>
      <w:r w:rsidR="00C149E3" w:rsidRPr="0078289D">
        <w:rPr>
          <w:rFonts w:hAnsi="Times New Roman" w:cs="Times New Roman"/>
          <w:b/>
          <w:sz w:val="28"/>
          <w:szCs w:val="28"/>
        </w:rPr>
        <w:t>, relacionados con el derecho a la restitución de tierras de las víctimas</w:t>
      </w:r>
      <w:r w:rsidR="00CC23A9" w:rsidRPr="0078289D">
        <w:rPr>
          <w:rFonts w:hAnsi="Times New Roman" w:cs="Times New Roman"/>
          <w:b/>
          <w:sz w:val="28"/>
          <w:szCs w:val="28"/>
        </w:rPr>
        <w:t xml:space="preserve">: </w:t>
      </w:r>
    </w:p>
    <w:p w:rsidR="00CC23A9" w:rsidRPr="0078289D" w:rsidRDefault="00CC23A9"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b/>
          <w:sz w:val="28"/>
          <w:szCs w:val="28"/>
        </w:rPr>
      </w:pPr>
    </w:p>
    <w:p w:rsidR="00CC23A9" w:rsidRPr="0078289D" w:rsidRDefault="00CC23A9"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sz w:val="28"/>
          <w:szCs w:val="28"/>
        </w:rPr>
      </w:pPr>
      <w:r w:rsidRPr="0078289D">
        <w:rPr>
          <w:rFonts w:hAnsi="Times New Roman" w:cs="Times New Roman"/>
          <w:sz w:val="28"/>
          <w:szCs w:val="28"/>
        </w:rPr>
        <w:t xml:space="preserve">A continuación se presenta la argumentación de los demandantes: </w:t>
      </w:r>
    </w:p>
    <w:p w:rsidR="00CC23A9" w:rsidRPr="0078289D" w:rsidRDefault="00CC23A9" w:rsidP="0078289D">
      <w:pPr>
        <w:pStyle w:val="Prrafodelista"/>
        <w:pBdr>
          <w:top w:val="none" w:sz="0" w:space="0" w:color="auto"/>
          <w:left w:val="none" w:sz="0" w:space="0" w:color="auto"/>
          <w:bottom w:val="none" w:sz="0" w:space="0" w:color="auto"/>
          <w:right w:val="none" w:sz="0" w:space="0" w:color="auto"/>
        </w:pBdr>
        <w:ind w:left="0"/>
        <w:jc w:val="both"/>
        <w:rPr>
          <w:rFonts w:hAnsi="Times New Roman" w:cs="Times New Roman"/>
          <w:b/>
          <w:sz w:val="28"/>
          <w:szCs w:val="28"/>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sz w:val="28"/>
          <w:szCs w:val="28"/>
          <w:lang w:val="es-ES_tradnl"/>
        </w:rPr>
        <w:t xml:space="preserve">En el </w:t>
      </w:r>
      <w:r w:rsidRPr="0078289D">
        <w:rPr>
          <w:b/>
          <w:sz w:val="28"/>
          <w:szCs w:val="28"/>
          <w:lang w:val="es-ES_tradnl"/>
        </w:rPr>
        <w:t>primer cargo</w:t>
      </w:r>
      <w:r w:rsidRPr="0078289D">
        <w:rPr>
          <w:sz w:val="28"/>
          <w:szCs w:val="28"/>
          <w:lang w:val="es-ES_tradnl"/>
        </w:rPr>
        <w:t xml:space="preserve"> señalan que declaratoria de imposibilidad jurídica de la restitución de tierras en predios en los que existan PINES, y consecuentemente, la procedencia de la figura de la compensación, </w:t>
      </w:r>
      <w:r w:rsidRPr="0078289D">
        <w:rPr>
          <w:b/>
          <w:sz w:val="28"/>
          <w:szCs w:val="28"/>
          <w:lang w:val="es-ES_tradnl"/>
        </w:rPr>
        <w:t>desconoce los derechos de las víctimas a la verdad, justicia y reparación integral</w:t>
      </w:r>
      <w:r w:rsidRPr="0078289D">
        <w:rPr>
          <w:rStyle w:val="Refdenotaalpie"/>
          <w:sz w:val="28"/>
          <w:szCs w:val="28"/>
          <w:lang w:val="es-ES_tradnl"/>
        </w:rPr>
        <w:footnoteReference w:id="43"/>
      </w:r>
      <w:r w:rsidRPr="0078289D">
        <w:rPr>
          <w:b/>
          <w:sz w:val="28"/>
          <w:szCs w:val="28"/>
          <w:lang w:val="es-ES_tradnl"/>
        </w:rPr>
        <w:t xml:space="preserve"> y el carácter preferente de la restitución</w:t>
      </w:r>
      <w:r w:rsidRPr="0078289D">
        <w:rPr>
          <w:rStyle w:val="Refdenotaalpie"/>
          <w:sz w:val="28"/>
          <w:szCs w:val="28"/>
          <w:lang w:val="es-ES_tradnl"/>
        </w:rPr>
        <w:footnoteReference w:id="44"/>
      </w:r>
      <w:r w:rsidRPr="0078289D">
        <w:rPr>
          <w:sz w:val="28"/>
          <w:szCs w:val="28"/>
          <w:lang w:val="es-ES_tradnl"/>
        </w:rPr>
        <w:t xml:space="preserve">.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 xml:space="preserve">En primer lugar, hacen una extensa referencia al marco normativo de los derechos de las víctimas en el derecho internacional, y resaltan la obligación de reparación integral a cargo del Estado. En este sentido, aseguran que </w:t>
      </w:r>
      <w:r w:rsidRPr="0078289D">
        <w:rPr>
          <w:i/>
          <w:sz w:val="28"/>
          <w:szCs w:val="28"/>
          <w:lang w:val="es-ES_tradnl"/>
        </w:rPr>
        <w:t xml:space="preserve">“Esto significa, asegurar la implementación de las medidas que sean necesarias con el fin de devolver a las víctimas el estado en el que se encontraban antes de que sus derechos fueran  vulnerados, en los casos en los que sea pertinente y razonable, lo cual implica reparar todos los daños que se hayan generado y mejorar la condición previa”. </w:t>
      </w:r>
    </w:p>
    <w:p w:rsidR="00CC23A9" w:rsidRPr="0078289D" w:rsidRDefault="00CC23A9"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Posteriormente, realizan el análisis del deber de reparación en el derecho nacional y manifiestan que la Corte Constitucional, en </w:t>
      </w:r>
      <w:r w:rsidRPr="0078289D">
        <w:rPr>
          <w:b/>
          <w:sz w:val="28"/>
          <w:szCs w:val="28"/>
          <w:lang w:val="es-ES_tradnl"/>
        </w:rPr>
        <w:t>Sentencia T-821 de 2007</w:t>
      </w:r>
      <w:r w:rsidRPr="0078289D">
        <w:rPr>
          <w:sz w:val="28"/>
          <w:szCs w:val="28"/>
          <w:lang w:val="es-ES_tradnl"/>
        </w:rPr>
        <w:t>, estableció que la restricción del derecho fundamental a la restitución de tierras sólo puede efectuarse cuando existan razones legítimas, como las contempladas en el artículo 97 de la Ley 1448 de 2011, las cuales hacen referencia a la necesidad de proteger la vida e integridad de la víctima, o que exista una imposibilidad material para efectuar la restitución. No obstante, los demandantes consideran que en el caso analizado no se presenta ninguna de estas circunstancias.</w:t>
      </w:r>
      <w:r w:rsidRPr="0078289D">
        <w:rPr>
          <w:rStyle w:val="Refdenotaalpie"/>
          <w:sz w:val="28"/>
          <w:szCs w:val="28"/>
          <w:lang w:val="es-ES_tradnl"/>
        </w:rPr>
        <w:footnoteReference w:id="45"/>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lastRenderedPageBreak/>
        <w:t xml:space="preserve">En segundo lugar, controvierten la razonabilidad y proporcionalidad de la medida. Así, cuestionan la legitimidad de la medida, al advertir que se antepone la necesidad de adelantar un proyecto económico sobre la importancia de garantizar el derecho de restitución de victimas de graves violaciones de derechos humanos. Adicionalmente, indican que esta medida no es proporcionada por cuanto existen otros mecanismos que permiten la ejecución de estos proyectos y que son menos lesivos de la población más vulnerable del país.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Finalmente, mencionan que la norma no guarda unidad de materia con el Plan Nacional de Desarrollo, y que una disposición que restringe un derecho fundamental no puede evadir el trámite legislativo que corresponde a una ley estatutaria. </w:t>
      </w:r>
    </w:p>
    <w:p w:rsidR="00CC23A9" w:rsidRPr="0078289D" w:rsidRDefault="00CC23A9"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En el </w:t>
      </w:r>
      <w:r w:rsidRPr="0078289D">
        <w:rPr>
          <w:b/>
          <w:sz w:val="28"/>
          <w:szCs w:val="28"/>
          <w:lang w:val="es-ES_tradnl"/>
        </w:rPr>
        <w:t>segundo cargo</w:t>
      </w:r>
      <w:r w:rsidRPr="0078289D">
        <w:rPr>
          <w:sz w:val="28"/>
          <w:szCs w:val="28"/>
          <w:lang w:val="es-ES_tradnl"/>
        </w:rPr>
        <w:t xml:space="preserve"> explican que la disposición demanda </w:t>
      </w:r>
      <w:r w:rsidRPr="0078289D">
        <w:rPr>
          <w:b/>
          <w:sz w:val="28"/>
          <w:szCs w:val="28"/>
          <w:lang w:val="es-ES_tradnl"/>
        </w:rPr>
        <w:t>vulnera el derecho a la igualdad de las víctimas de despojo y abandono forzado de tierras.</w:t>
      </w:r>
      <w:r w:rsidRPr="0078289D">
        <w:rPr>
          <w:sz w:val="28"/>
          <w:szCs w:val="28"/>
          <w:lang w:val="es-ES_tradnl"/>
        </w:rPr>
        <w:t xml:space="preserve"> Así, argumentan que </w:t>
      </w:r>
      <w:r w:rsidRPr="0078289D">
        <w:rPr>
          <w:color w:val="000000"/>
          <w:sz w:val="28"/>
          <w:szCs w:val="28"/>
          <w:u w:color="000000"/>
          <w:lang w:val="es-ES_tradnl" w:eastAsia="es-ES"/>
        </w:rPr>
        <w:t xml:space="preserve">la disposición acusada </w:t>
      </w:r>
      <w:r w:rsidRPr="0078289D">
        <w:rPr>
          <w:sz w:val="28"/>
          <w:szCs w:val="28"/>
          <w:lang w:val="es-ES_tradnl"/>
        </w:rPr>
        <w:t xml:space="preserve">genera un trato discriminatorio para un grupo de víctimas, esto es, para aquellas en cuyas tierras se adelantarán proyectos PINE, en contraposición con las que no. En este sentido, el Estado sólo garantizaría la efectiva protección del derecho fundamental a la restitución de un grupo de ciudadanos, tomando como único criterio, la existencia o no de un proyecto económico.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Posteriormente, los accionantes realizan un test estricto de constitucionalidad de la disposición demandada. La medida, a juicio de los accionantes, no es legítima ni necesaria ni proporcional, porque puede protegerse el desarrollo económico a través de medidas menos lesivas de los derechos que tienen las víctimas del conflicto a recuperar sus tierras. </w:t>
      </w:r>
    </w:p>
    <w:p w:rsidR="00CC23A9" w:rsidRPr="0078289D" w:rsidRDefault="00CC23A9"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Concepto del Procurador General de la Nación</w:t>
      </w:r>
    </w:p>
    <w:p w:rsidR="00CC23A9" w:rsidRPr="0078289D" w:rsidRDefault="00CC23A9"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CC23A9"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Procurador se pronuncia a favor de la </w:t>
      </w:r>
      <w:r w:rsidRPr="0078289D">
        <w:rPr>
          <w:b/>
          <w:sz w:val="28"/>
          <w:szCs w:val="28"/>
          <w:lang w:val="es-ES_tradnl"/>
        </w:rPr>
        <w:t xml:space="preserve">exequibilidad </w:t>
      </w:r>
      <w:r w:rsidRPr="0078289D">
        <w:rPr>
          <w:sz w:val="28"/>
          <w:szCs w:val="28"/>
          <w:lang w:val="es-ES_tradnl"/>
        </w:rPr>
        <w:t xml:space="preserve">del artículo 50 de la Ley 1753 de 2015. Así, señaló que a pesar de que el Legislador restringió el derecho a la restitución de las víctimas, no lo hizo de forma arbitraria, toda vez que estuvo motivado en la búsqueda de un interés superior, como es el caso del bienestar general. A su vez, la ley introdujo una fórmula compensatoria a los campesinos que se pudieran ver afectados, por lo que la restricción del derecho no resulta desproporcionada ni lesiva de los derechos fundamentales de los ciudadanos. </w:t>
      </w:r>
    </w:p>
    <w:p w:rsidR="003F76A7" w:rsidRPr="0078289D" w:rsidRDefault="003F76A7"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45F2"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Intervenciones de entidades públicas y de la ciudadanía</w:t>
      </w:r>
    </w:p>
    <w:p w:rsidR="00847499" w:rsidRPr="0078289D" w:rsidRDefault="00847499"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Departamento Nacional de Planeación</w:t>
      </w:r>
    </w:p>
    <w:p w:rsidR="00CC23A9" w:rsidRPr="0078289D" w:rsidRDefault="00CC23A9" w:rsidP="0078289D">
      <w:pPr>
        <w:pBdr>
          <w:top w:val="none" w:sz="0" w:space="0" w:color="auto"/>
          <w:left w:val="none" w:sz="0" w:space="0" w:color="auto"/>
          <w:bottom w:val="none" w:sz="0" w:space="0" w:color="auto"/>
          <w:right w:val="none" w:sz="0" w:space="0" w:color="auto"/>
        </w:pBdr>
        <w:ind w:firstLine="708"/>
        <w:jc w:val="both"/>
        <w:rPr>
          <w:b/>
          <w:i/>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Departamento Nacional de Planeación solicitó la </w:t>
      </w:r>
      <w:r w:rsidRPr="0078289D">
        <w:rPr>
          <w:b/>
          <w:sz w:val="28"/>
          <w:szCs w:val="28"/>
          <w:lang w:val="es-ES_tradnl"/>
        </w:rPr>
        <w:t xml:space="preserve">inhibición </w:t>
      </w:r>
      <w:r w:rsidRPr="0078289D">
        <w:rPr>
          <w:sz w:val="28"/>
          <w:szCs w:val="28"/>
          <w:lang w:val="es-ES_tradnl"/>
        </w:rPr>
        <w:t xml:space="preserve">frente al cargo alegado. Señaló que la norma acusada no constituye una vulneración de los derechos a la restitución de tierras ni a la igualdad de las víctimas, sino que </w:t>
      </w:r>
      <w:r w:rsidRPr="0078289D">
        <w:rPr>
          <w:sz w:val="28"/>
          <w:szCs w:val="28"/>
          <w:lang w:val="es-ES_tradnl"/>
        </w:rPr>
        <w:lastRenderedPageBreak/>
        <w:t xml:space="preserve">introduce otras medidas para hacer efectivo ese derecho, como la compensación o la restitución por equivalente.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En opinión de la entidad, el derecho a la restitución no es absoluto, y, en consecuencia, deberá armonizarse en cada caso concreto. Así, la finalidad de la norma es conciliar la implementación de proyectos de importancia nacional con la política de restitución de víctimas. Sin embargo, indica que en el evento en que estos principios colisionen, deberá darse aplicación al artículo 58 superior, norma que consagra que el interés particular deberá ceder ante el interés general, cuando se ejerza una ley expedida con motivos de utilidad pública.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Adicionalmente, señaló que, contrario a lo establecido por los accionantes, la compensación tiene lugar sólo en aquellos casos en que se necesiten los predios para la ejecución del proyecto PINE, y no necesariamente por su simple declaratoria.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Asimismo, señala que el artículo 21 de la Ley 1682 de 2013, el cual es aplicable a los proyectos PINE, prevé una garantía para la víctima que se encuentra reclamando un predio en restitución. Así, de acuerdo con la norma, quien pretenda vender o adquirir un bien en proceso de restitución deberá acudir al proceso de expropiación y efectuar la compensación respectiva en favor del restituido.</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Finalmente, indicó que no todos los proyectos mineros son PINE, y por lo tanto, las cifras aportadas en la demanda no demuestran ningún tipo de impacto en la política de restitución de tierras.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Intervenciones ciudadanas</w:t>
      </w:r>
    </w:p>
    <w:p w:rsidR="00CC23A9" w:rsidRPr="0078289D" w:rsidRDefault="00CC23A9"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CC23A9" w:rsidRDefault="00CC23A9" w:rsidP="0078289D">
      <w:pPr>
        <w:pStyle w:val="Prrafodelista"/>
        <w:numPr>
          <w:ilvl w:val="0"/>
          <w:numId w:val="12"/>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Las ciudadanas María Paula Saffón Sanín y Tatiana Andrea Alfonso Sierra coadyuvan la demanda de inconstitucionalidad y solicitan la </w:t>
      </w:r>
      <w:r w:rsidRPr="0078289D">
        <w:rPr>
          <w:rFonts w:hAnsi="Times New Roman" w:cs="Times New Roman"/>
          <w:b/>
          <w:sz w:val="28"/>
          <w:szCs w:val="28"/>
        </w:rPr>
        <w:t xml:space="preserve">inexequibilidad </w:t>
      </w:r>
      <w:r w:rsidRPr="0078289D">
        <w:rPr>
          <w:rFonts w:hAnsi="Times New Roman" w:cs="Times New Roman"/>
          <w:sz w:val="28"/>
          <w:szCs w:val="28"/>
        </w:rPr>
        <w:t>de las normas demandadas, y especialmente, del inciso 2º artículo 50 de Ley 1448 de 2011</w:t>
      </w:r>
      <w:r w:rsidRPr="0078289D">
        <w:rPr>
          <w:rStyle w:val="Refdenotaalpie"/>
          <w:rFonts w:hAnsi="Times New Roman"/>
          <w:sz w:val="28"/>
          <w:szCs w:val="28"/>
        </w:rPr>
        <w:footnoteReference w:id="46"/>
      </w:r>
      <w:r w:rsidRPr="0078289D">
        <w:rPr>
          <w:rFonts w:hAnsi="Times New Roman" w:cs="Times New Roman"/>
          <w:sz w:val="28"/>
          <w:szCs w:val="28"/>
        </w:rPr>
        <w:t xml:space="preserve">. Particularmente, indican que el texto acusado contraría el primer punto de las negociaciones de paz pactadas en la Habana, que exige la restitución de tierras despojadas o abandonadas, y el acceso de los pequeños campesinos a los predios rurales. En este sentido, las normas demandadas son inconsistentes con la búsqueda de una paz negociada y pueden, incluso, ser generadoras de conflictos futuros. </w:t>
      </w:r>
    </w:p>
    <w:p w:rsidR="003F76A7" w:rsidRPr="0078289D" w:rsidRDefault="003F76A7" w:rsidP="003F76A7">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sz w:val="28"/>
          <w:szCs w:val="28"/>
        </w:rPr>
      </w:pPr>
    </w:p>
    <w:p w:rsidR="00CC23A9" w:rsidRPr="0078289D" w:rsidRDefault="00CC23A9" w:rsidP="0078289D">
      <w:pPr>
        <w:pStyle w:val="Prrafodelista"/>
        <w:numPr>
          <w:ilvl w:val="0"/>
          <w:numId w:val="12"/>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Los ciudadanos Claudia López Hernández, Angélica Lozano Correa, Jorge Prieto Riveros, Inti Asprilla y Jorge Iván Ospina, coadyuvan la demanda de inconstitucionalidad y solicitan la </w:t>
      </w:r>
      <w:r w:rsidRPr="0078289D">
        <w:rPr>
          <w:rFonts w:hAnsi="Times New Roman" w:cs="Times New Roman"/>
          <w:b/>
          <w:sz w:val="28"/>
          <w:szCs w:val="28"/>
        </w:rPr>
        <w:t xml:space="preserve">inexequibilidad </w:t>
      </w:r>
      <w:r w:rsidRPr="0078289D">
        <w:rPr>
          <w:rFonts w:hAnsi="Times New Roman" w:cs="Times New Roman"/>
          <w:sz w:val="28"/>
          <w:szCs w:val="28"/>
        </w:rPr>
        <w:t>de las normas demandadas, y especialmente, del inciso 2º artículo 50 de Ley 1448 de 2011,</w:t>
      </w:r>
      <w:r w:rsidRPr="0078289D">
        <w:rPr>
          <w:rFonts w:hAnsi="Times New Roman" w:cs="Times New Roman"/>
          <w:b/>
          <w:sz w:val="28"/>
          <w:szCs w:val="28"/>
        </w:rPr>
        <w:t xml:space="preserve"> </w:t>
      </w:r>
      <w:r w:rsidRPr="0078289D">
        <w:rPr>
          <w:rFonts w:hAnsi="Times New Roman" w:cs="Times New Roman"/>
          <w:sz w:val="28"/>
          <w:szCs w:val="28"/>
        </w:rPr>
        <w:t xml:space="preserve">por cuanto desconoce la autonomía de las víctimas y su </w:t>
      </w:r>
      <w:r w:rsidRPr="0078289D">
        <w:rPr>
          <w:rFonts w:hAnsi="Times New Roman" w:cs="Times New Roman"/>
          <w:sz w:val="28"/>
          <w:szCs w:val="28"/>
        </w:rPr>
        <w:lastRenderedPageBreak/>
        <w:t>derecho a acceder a un recurso judicial efectivo para solicitar reparaciones</w:t>
      </w:r>
      <w:r w:rsidRPr="0078289D">
        <w:rPr>
          <w:rStyle w:val="Refdenotaalpie"/>
          <w:rFonts w:hAnsi="Times New Roman"/>
          <w:sz w:val="28"/>
          <w:szCs w:val="28"/>
        </w:rPr>
        <w:footnoteReference w:id="47"/>
      </w:r>
      <w:r w:rsidRPr="0078289D">
        <w:rPr>
          <w:rFonts w:hAnsi="Times New Roman" w:cs="Times New Roman"/>
          <w:sz w:val="28"/>
          <w:szCs w:val="28"/>
        </w:rPr>
        <w:t xml:space="preserve">. En opinión de los intervinientes, la norma establece una restricción desproporcionada del derecho fundamental a la restitución, pues es el Gobierno Nacional el encargado de establecer, mediante un razonamiento puramente económico, la procedencia o no de la restitución de un bien en favor de una víctima del conflicto.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sz w:val="28"/>
          <w:szCs w:val="28"/>
        </w:rPr>
      </w:pPr>
      <w:r w:rsidRPr="0078289D">
        <w:rPr>
          <w:rFonts w:hAnsi="Times New Roman" w:cs="Times New Roman"/>
          <w:sz w:val="28"/>
          <w:szCs w:val="28"/>
        </w:rPr>
        <w:t xml:space="preserve">Ello, igualmente, implica un desconocimiento al derecho de acceso a un recurso judicial efectivo para solicitar reparaciones. Así, la previsión impedirá que los jueces realicen valoraciones y ponderaciones de la necesidad de efectuar una restitución, o, por el contrario, de proceder a ejecutar una compensación para salvaguardar el derecho de las víctimas, toda vez que dicha competencia estaría radicada en la </w:t>
      </w:r>
      <w:r w:rsidR="008215F7" w:rsidRPr="0078289D">
        <w:rPr>
          <w:rFonts w:hAnsi="Times New Roman" w:cs="Times New Roman"/>
          <w:sz w:val="28"/>
          <w:szCs w:val="28"/>
          <w:lang w:val="es-US"/>
        </w:rPr>
        <w:t xml:space="preserve">Comisión Intersectorial de Infraestructura y Proyectos Estratégicos, </w:t>
      </w:r>
      <w:r w:rsidRPr="0078289D">
        <w:rPr>
          <w:rFonts w:hAnsi="Times New Roman" w:cs="Times New Roman"/>
          <w:sz w:val="28"/>
          <w:szCs w:val="28"/>
        </w:rPr>
        <w:t xml:space="preserve">CIIPE. A su vez, implica una violación del derecho a la autonomía de las víctimas, quienes no podrán optar por solicitar la restitución en aquellos casos en que sus predios estén destinados a un proyecto PINE.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Style w:val="Prrafodelista"/>
        <w:numPr>
          <w:ilvl w:val="0"/>
          <w:numId w:val="12"/>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El Colectivo de Abogados José Alvear Restrepo solicita la </w:t>
      </w:r>
      <w:r w:rsidRPr="0078289D">
        <w:rPr>
          <w:rFonts w:hAnsi="Times New Roman" w:cs="Times New Roman"/>
          <w:b/>
          <w:sz w:val="28"/>
          <w:szCs w:val="28"/>
        </w:rPr>
        <w:t xml:space="preserve">inexequibilidad </w:t>
      </w:r>
      <w:r w:rsidRPr="0078289D">
        <w:rPr>
          <w:rFonts w:hAnsi="Times New Roman" w:cs="Times New Roman"/>
          <w:sz w:val="28"/>
          <w:szCs w:val="28"/>
        </w:rPr>
        <w:t xml:space="preserve">de la norma demandada. </w:t>
      </w:r>
      <w:r w:rsidR="00900C0E" w:rsidRPr="0078289D">
        <w:rPr>
          <w:rFonts w:hAnsi="Times New Roman" w:cs="Times New Roman"/>
          <w:sz w:val="28"/>
          <w:szCs w:val="28"/>
        </w:rPr>
        <w:t>S</w:t>
      </w:r>
      <w:r w:rsidRPr="0078289D">
        <w:rPr>
          <w:rFonts w:hAnsi="Times New Roman" w:cs="Times New Roman"/>
          <w:sz w:val="28"/>
          <w:szCs w:val="28"/>
        </w:rPr>
        <w:t xml:space="preserve">eñala que ésta desconoce concretamente el principio de dignidad humana, las garantías del debido proceso judicial y administrativo y el derecho de acceder a la justicia, y las obligaciones internacionales que ha adquirido Colombia a través de tratados internacionales en materia de derechos humanos.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Style w:val="Prrafodelista"/>
        <w:numPr>
          <w:ilvl w:val="0"/>
          <w:numId w:val="12"/>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El CINEP solicita la </w:t>
      </w:r>
      <w:r w:rsidRPr="0078289D">
        <w:rPr>
          <w:rFonts w:hAnsi="Times New Roman" w:cs="Times New Roman"/>
          <w:b/>
          <w:sz w:val="28"/>
          <w:szCs w:val="28"/>
        </w:rPr>
        <w:t>inexequibilidad</w:t>
      </w:r>
      <w:r w:rsidRPr="0078289D">
        <w:rPr>
          <w:rFonts w:hAnsi="Times New Roman" w:cs="Times New Roman"/>
          <w:sz w:val="28"/>
          <w:szCs w:val="28"/>
        </w:rPr>
        <w:t xml:space="preserve"> de las normas demandadas. </w:t>
      </w:r>
      <w:r w:rsidR="00900C0E" w:rsidRPr="0078289D">
        <w:rPr>
          <w:rFonts w:hAnsi="Times New Roman" w:cs="Times New Roman"/>
          <w:sz w:val="28"/>
          <w:szCs w:val="28"/>
        </w:rPr>
        <w:t>R</w:t>
      </w:r>
      <w:r w:rsidRPr="0078289D">
        <w:rPr>
          <w:rFonts w:hAnsi="Times New Roman" w:cs="Times New Roman"/>
          <w:sz w:val="28"/>
          <w:szCs w:val="28"/>
        </w:rPr>
        <w:t xml:space="preserve">eitera que la Corte Constitucional estableció el carácter preferente de la restitución como medida de reparación mediante </w:t>
      </w:r>
      <w:r w:rsidRPr="0078289D">
        <w:rPr>
          <w:rFonts w:hAnsi="Times New Roman" w:cs="Times New Roman"/>
          <w:b/>
          <w:sz w:val="28"/>
          <w:szCs w:val="28"/>
        </w:rPr>
        <w:t>Sentencia C-715 de 2012</w:t>
      </w:r>
      <w:r w:rsidRPr="0078289D">
        <w:rPr>
          <w:rFonts w:hAnsi="Times New Roman" w:cs="Times New Roman"/>
          <w:sz w:val="28"/>
          <w:szCs w:val="28"/>
        </w:rPr>
        <w:t xml:space="preserve">. En este sentido, la previsión contenida en la norma jurídica demandada deviene en una degradación de la naturaleza de este derecho fundamental, y en una abierta contradicción con la Carta Política.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C23A9" w:rsidRPr="0078289D" w:rsidRDefault="00CC23A9" w:rsidP="0078289D">
      <w:pPr>
        <w:pStyle w:val="Prrafodelista"/>
        <w:numPr>
          <w:ilvl w:val="0"/>
          <w:numId w:val="12"/>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Dejusticia y la Comisión Colombiana de Juristas solicitaron la declaratoria de </w:t>
      </w:r>
      <w:r w:rsidRPr="0078289D">
        <w:rPr>
          <w:rFonts w:hAnsi="Times New Roman" w:cs="Times New Roman"/>
          <w:b/>
          <w:sz w:val="28"/>
          <w:szCs w:val="28"/>
        </w:rPr>
        <w:t>inexequibilidad</w:t>
      </w:r>
      <w:r w:rsidRPr="0078289D">
        <w:rPr>
          <w:rFonts w:hAnsi="Times New Roman" w:cs="Times New Roman"/>
          <w:sz w:val="28"/>
          <w:szCs w:val="28"/>
        </w:rPr>
        <w:t xml:space="preserve"> de la norma demandada. </w:t>
      </w:r>
      <w:r w:rsidR="00900C0E" w:rsidRPr="0078289D">
        <w:rPr>
          <w:rFonts w:hAnsi="Times New Roman" w:cs="Times New Roman"/>
          <w:sz w:val="28"/>
          <w:szCs w:val="28"/>
        </w:rPr>
        <w:t>S</w:t>
      </w:r>
      <w:r w:rsidRPr="0078289D">
        <w:rPr>
          <w:rFonts w:hAnsi="Times New Roman" w:cs="Times New Roman"/>
          <w:sz w:val="28"/>
          <w:szCs w:val="28"/>
        </w:rPr>
        <w:t xml:space="preserve">eñalaron que la limitación del derecho a la restitución resulta desproporcionada, pues i) omite el carácter prevalente de este derecho fundamental, ii) reduce su alcance de protección, iii) sacrifica el derecho de las víctimas a recibir el predio del que fueron despojados sin que exista un fin que justifique dicha decisión. Adicionalmente, Dejusticia indicó que la norma vulnera el principio de reserva legal, toda vez que no se especifica con claridad en qué situaciones operaría la restitución, y por el contrario, se delega dicha función a una entidad administrativa, como es el caso de la CIIPE. </w:t>
      </w:r>
    </w:p>
    <w:p w:rsidR="00CC23A9" w:rsidRPr="0078289D" w:rsidRDefault="00CC23A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F2479D" w:rsidRPr="0078289D" w:rsidRDefault="00EA6102" w:rsidP="0078289D">
      <w:pPr>
        <w:pBdr>
          <w:top w:val="none" w:sz="0" w:space="0" w:color="auto"/>
          <w:left w:val="none" w:sz="0" w:space="0" w:color="auto"/>
          <w:bottom w:val="none" w:sz="0" w:space="0" w:color="auto"/>
          <w:right w:val="none" w:sz="0" w:space="0" w:color="auto"/>
        </w:pBdr>
        <w:contextualSpacing/>
        <w:jc w:val="both"/>
        <w:rPr>
          <w:b/>
          <w:sz w:val="28"/>
          <w:szCs w:val="28"/>
          <w:u w:color="000000"/>
          <w:lang w:val="es-ES_tradnl" w:eastAsia="es-ES"/>
        </w:rPr>
      </w:pPr>
      <w:r w:rsidRPr="0078289D">
        <w:rPr>
          <w:b/>
          <w:sz w:val="28"/>
          <w:szCs w:val="28"/>
          <w:u w:color="000000"/>
          <w:lang w:val="es-ES_tradnl" w:eastAsia="es-ES"/>
        </w:rPr>
        <w:t>CONSIDERACIONES DE LA CORTE CONSTITUCIONAL</w:t>
      </w:r>
    </w:p>
    <w:p w:rsidR="005E0F53" w:rsidRPr="0078289D" w:rsidRDefault="005E0F53" w:rsidP="0078289D">
      <w:pPr>
        <w:pBdr>
          <w:top w:val="none" w:sz="0" w:space="0" w:color="auto"/>
          <w:left w:val="none" w:sz="0" w:space="0" w:color="auto"/>
          <w:bottom w:val="none" w:sz="0" w:space="0" w:color="auto"/>
          <w:right w:val="none" w:sz="0" w:space="0" w:color="auto"/>
        </w:pBdr>
        <w:contextualSpacing/>
        <w:jc w:val="both"/>
        <w:rPr>
          <w:sz w:val="28"/>
          <w:szCs w:val="28"/>
          <w:u w:color="000000"/>
          <w:lang w:val="es-ES_tradnl" w:eastAsia="es-ES"/>
        </w:rPr>
      </w:pPr>
    </w:p>
    <w:p w:rsidR="00840465" w:rsidRPr="0078289D" w:rsidRDefault="00E744D3"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37</w:t>
      </w:r>
      <w:r w:rsidR="00580AAB" w:rsidRPr="0078289D">
        <w:rPr>
          <w:sz w:val="28"/>
          <w:szCs w:val="28"/>
          <w:lang w:val="es-ES_tradnl"/>
        </w:rPr>
        <w:t xml:space="preserve">. </w:t>
      </w:r>
      <w:r w:rsidR="00840465" w:rsidRPr="0078289D">
        <w:rPr>
          <w:sz w:val="28"/>
          <w:szCs w:val="28"/>
          <w:lang w:val="es-ES_tradnl"/>
        </w:rPr>
        <w:t xml:space="preserve">En esta sección de la demanda los accionantes presentan dos cargos contra el inciso 2º del artículo 50 de la Ley 1753 de 2015. </w:t>
      </w:r>
      <w:r w:rsidR="00A267A4" w:rsidRPr="0078289D">
        <w:rPr>
          <w:sz w:val="28"/>
          <w:szCs w:val="28"/>
          <w:lang w:val="es-ES_tradnl"/>
        </w:rPr>
        <w:t>E</w:t>
      </w:r>
      <w:r w:rsidR="00840465" w:rsidRPr="0078289D">
        <w:rPr>
          <w:sz w:val="28"/>
          <w:szCs w:val="28"/>
          <w:lang w:val="es-ES_tradnl"/>
        </w:rPr>
        <w:t xml:space="preserve">l </w:t>
      </w:r>
      <w:r w:rsidR="00840465" w:rsidRPr="0078289D">
        <w:rPr>
          <w:b/>
          <w:sz w:val="28"/>
          <w:szCs w:val="28"/>
          <w:lang w:val="es-ES_tradnl"/>
        </w:rPr>
        <w:t>primer cargo</w:t>
      </w:r>
      <w:r w:rsidR="00A267A4" w:rsidRPr="0078289D">
        <w:rPr>
          <w:sz w:val="28"/>
          <w:szCs w:val="28"/>
          <w:lang w:val="es-ES_tradnl"/>
        </w:rPr>
        <w:t xml:space="preserve"> sostiene</w:t>
      </w:r>
      <w:r w:rsidR="00840465" w:rsidRPr="0078289D">
        <w:rPr>
          <w:sz w:val="28"/>
          <w:szCs w:val="28"/>
          <w:lang w:val="es-ES_tradnl"/>
        </w:rPr>
        <w:t xml:space="preserve"> que la declaratoria de imposibilidad jurídica de la restitución de tierras en predios en los que existan PINES, y consecuentemente, la procedencia de la figura de la compensación, desconocen los derechos de las víctimas a la verdad, justicia, y reparación integral</w:t>
      </w:r>
      <w:r w:rsidR="000643BE" w:rsidRPr="0078289D">
        <w:rPr>
          <w:sz w:val="28"/>
          <w:szCs w:val="28"/>
          <w:lang w:val="es-ES_tradnl"/>
        </w:rPr>
        <w:t>,</w:t>
      </w:r>
      <w:r w:rsidR="00840465" w:rsidRPr="0078289D">
        <w:rPr>
          <w:sz w:val="28"/>
          <w:szCs w:val="28"/>
          <w:vertAlign w:val="superscript"/>
          <w:lang w:val="es-ES_tradnl"/>
        </w:rPr>
        <w:footnoteReference w:id="48"/>
      </w:r>
      <w:r w:rsidR="00840465" w:rsidRPr="0078289D">
        <w:rPr>
          <w:sz w:val="28"/>
          <w:szCs w:val="28"/>
          <w:lang w:val="es-ES_tradnl"/>
        </w:rPr>
        <w:t xml:space="preserve"> </w:t>
      </w:r>
      <w:r w:rsidR="000643BE" w:rsidRPr="0078289D">
        <w:rPr>
          <w:sz w:val="28"/>
          <w:szCs w:val="28"/>
          <w:lang w:val="es-ES_tradnl"/>
        </w:rPr>
        <w:t xml:space="preserve">y </w:t>
      </w:r>
      <w:r w:rsidR="00840465" w:rsidRPr="0078289D">
        <w:rPr>
          <w:sz w:val="28"/>
          <w:szCs w:val="28"/>
          <w:lang w:val="es-ES_tradnl"/>
        </w:rPr>
        <w:t>el carácter preferente de la restitución</w:t>
      </w:r>
      <w:r w:rsidR="00840465" w:rsidRPr="0078289D">
        <w:rPr>
          <w:sz w:val="28"/>
          <w:szCs w:val="28"/>
          <w:vertAlign w:val="superscript"/>
          <w:lang w:val="es-ES_tradnl"/>
        </w:rPr>
        <w:footnoteReference w:id="49"/>
      </w:r>
      <w:r w:rsidR="00840465" w:rsidRPr="0078289D">
        <w:rPr>
          <w:sz w:val="28"/>
          <w:szCs w:val="28"/>
          <w:lang w:val="es-ES_tradnl"/>
        </w:rPr>
        <w:t xml:space="preserve">, al supeditar la protección de </w:t>
      </w:r>
      <w:r w:rsidR="00DA51A6" w:rsidRPr="0078289D">
        <w:rPr>
          <w:sz w:val="28"/>
          <w:szCs w:val="28"/>
          <w:lang w:val="es-ES_tradnl"/>
        </w:rPr>
        <w:t>estos</w:t>
      </w:r>
      <w:r w:rsidR="00840465" w:rsidRPr="0078289D">
        <w:rPr>
          <w:sz w:val="28"/>
          <w:szCs w:val="28"/>
          <w:lang w:val="es-ES_tradnl"/>
        </w:rPr>
        <w:t xml:space="preserve"> derechos a un facto</w:t>
      </w:r>
      <w:r w:rsidR="00A267A4" w:rsidRPr="0078289D">
        <w:rPr>
          <w:sz w:val="28"/>
          <w:szCs w:val="28"/>
          <w:lang w:val="es-ES_tradnl"/>
        </w:rPr>
        <w:t>r exclusivamente económico. E</w:t>
      </w:r>
      <w:r w:rsidR="00840465" w:rsidRPr="0078289D">
        <w:rPr>
          <w:sz w:val="28"/>
          <w:szCs w:val="28"/>
          <w:lang w:val="es-ES_tradnl"/>
        </w:rPr>
        <w:t xml:space="preserve">l </w:t>
      </w:r>
      <w:r w:rsidR="00840465" w:rsidRPr="0078289D">
        <w:rPr>
          <w:b/>
          <w:sz w:val="28"/>
          <w:szCs w:val="28"/>
          <w:lang w:val="es-ES_tradnl"/>
        </w:rPr>
        <w:t xml:space="preserve">segundo </w:t>
      </w:r>
      <w:r w:rsidR="00521FDC" w:rsidRPr="0078289D">
        <w:rPr>
          <w:sz w:val="28"/>
          <w:szCs w:val="28"/>
          <w:lang w:val="es-ES_tradnl"/>
        </w:rPr>
        <w:t>aduce</w:t>
      </w:r>
      <w:r w:rsidR="00840465" w:rsidRPr="0078289D">
        <w:rPr>
          <w:sz w:val="28"/>
          <w:szCs w:val="28"/>
          <w:lang w:val="es-ES_tradnl"/>
        </w:rPr>
        <w:t xml:space="preserve"> que la disposición demandada vulnera el derecho a la igualdad de las víctimas de despojo y abandono forzado de tierras, pues</w:t>
      </w:r>
      <w:r w:rsidR="00840465" w:rsidRPr="0078289D">
        <w:rPr>
          <w:sz w:val="28"/>
          <w:szCs w:val="28"/>
          <w:u w:color="000000"/>
          <w:lang w:val="es-ES_tradnl" w:eastAsia="es-ES"/>
        </w:rPr>
        <w:t xml:space="preserve"> </w:t>
      </w:r>
      <w:r w:rsidR="00840465" w:rsidRPr="0078289D">
        <w:rPr>
          <w:sz w:val="28"/>
          <w:szCs w:val="28"/>
          <w:lang w:val="es-ES_tradnl"/>
        </w:rPr>
        <w:t>genera un trato discriminatorio para aquéllas en cuyas tierras se adelantarán proyectos PINE, en contraposición con aquéllas en las que no se adelantan</w:t>
      </w:r>
      <w:r w:rsidR="000643BE" w:rsidRPr="0078289D">
        <w:rPr>
          <w:sz w:val="28"/>
          <w:szCs w:val="28"/>
          <w:lang w:val="es-ES_tradnl"/>
        </w:rPr>
        <w:t xml:space="preserve"> tales proyectos</w:t>
      </w:r>
      <w:r w:rsidR="00840465"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El Procurador General de la Nación y el Departamento Nacional de Planeación solicitaron la declaratoria de exequibilidad de la norma demandada. Las autoridades consideran que si bien existe una limitación del derecho a la restitución en el caso concreto, ésta obedece a un interés superior.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Por otro lado, los ciudadanos y organizaciones de ciudadanos intervinientes solicitaron la declaratoria de inconstitucionalidad de la disposición demandada. Particularmente, explicaron que ésta desconoce el derecho de restitución a favor de las víctimas del conflicto, el cual es preferente. </w:t>
      </w:r>
      <w:r w:rsidR="00EE3A54" w:rsidRPr="0078289D">
        <w:rPr>
          <w:sz w:val="28"/>
          <w:szCs w:val="28"/>
          <w:lang w:val="es-ES_tradnl"/>
        </w:rPr>
        <w:t>Así mismo</w:t>
      </w:r>
      <w:r w:rsidRPr="0078289D">
        <w:rPr>
          <w:sz w:val="28"/>
          <w:szCs w:val="28"/>
          <w:lang w:val="es-ES_tradnl"/>
        </w:rPr>
        <w:t xml:space="preserve">, aludieron que la ponderación realizada por el </w:t>
      </w:r>
      <w:r w:rsidR="00CA0A76" w:rsidRPr="0078289D">
        <w:rPr>
          <w:sz w:val="28"/>
          <w:szCs w:val="28"/>
          <w:lang w:val="es-ES_tradnl"/>
        </w:rPr>
        <w:t>Legislador</w:t>
      </w:r>
      <w:r w:rsidRPr="0078289D">
        <w:rPr>
          <w:sz w:val="28"/>
          <w:szCs w:val="28"/>
          <w:lang w:val="es-ES_tradnl"/>
        </w:rPr>
        <w:t xml:space="preserve"> era desproporcionada, al dar prelación a un proyecto económico sobre el derecho de reparación de las víctimas. </w:t>
      </w:r>
    </w:p>
    <w:p w:rsidR="00141B17" w:rsidRPr="0078289D" w:rsidRDefault="00141B17"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p>
    <w:p w:rsidR="00840465" w:rsidRPr="0078289D" w:rsidRDefault="00024769" w:rsidP="0078289D">
      <w:pPr>
        <w:pBdr>
          <w:top w:val="none" w:sz="0" w:space="0" w:color="auto"/>
          <w:left w:val="none" w:sz="0" w:space="0" w:color="auto"/>
          <w:bottom w:val="none" w:sz="0" w:space="0" w:color="auto"/>
          <w:right w:val="none" w:sz="0" w:space="0" w:color="auto"/>
        </w:pBdr>
        <w:contextualSpacing/>
        <w:jc w:val="both"/>
        <w:rPr>
          <w:b/>
          <w:i/>
          <w:sz w:val="28"/>
          <w:szCs w:val="28"/>
          <w:lang w:val="es-ES_tradnl"/>
        </w:rPr>
      </w:pPr>
      <w:r w:rsidRPr="0078289D">
        <w:rPr>
          <w:b/>
          <w:i/>
          <w:sz w:val="28"/>
          <w:szCs w:val="28"/>
          <w:lang w:val="es-ES_tradnl"/>
        </w:rPr>
        <w:t xml:space="preserve">Alcances </w:t>
      </w:r>
      <w:r w:rsidR="00CA5E2C" w:rsidRPr="0078289D">
        <w:rPr>
          <w:b/>
          <w:i/>
          <w:sz w:val="28"/>
          <w:szCs w:val="28"/>
          <w:lang w:val="es-ES_tradnl"/>
        </w:rPr>
        <w:t>del derecho fundamental a la</w:t>
      </w:r>
      <w:r w:rsidR="002C6B85" w:rsidRPr="0078289D">
        <w:rPr>
          <w:b/>
          <w:i/>
          <w:sz w:val="28"/>
          <w:szCs w:val="28"/>
          <w:lang w:val="es-ES_tradnl"/>
        </w:rPr>
        <w:t xml:space="preserve"> restitución de tierras</w:t>
      </w:r>
      <w:r w:rsidR="00521FDC" w:rsidRPr="0078289D">
        <w:rPr>
          <w:b/>
          <w:i/>
          <w:sz w:val="28"/>
          <w:szCs w:val="28"/>
          <w:lang w:val="es-ES_tradnl"/>
        </w:rPr>
        <w:t xml:space="preserve"> de las víctimas del conflicto armado</w:t>
      </w:r>
      <w:r w:rsidR="002C6B85" w:rsidRPr="0078289D">
        <w:rPr>
          <w:b/>
          <w:i/>
          <w:sz w:val="28"/>
          <w:szCs w:val="28"/>
          <w:lang w:val="es-ES_tradnl"/>
        </w:rPr>
        <w:t xml:space="preserve"> </w:t>
      </w:r>
      <w:r w:rsidR="00840465" w:rsidRPr="0078289D">
        <w:rPr>
          <w:b/>
          <w:i/>
          <w:sz w:val="28"/>
          <w:szCs w:val="28"/>
          <w:lang w:val="es-ES_tradnl"/>
        </w:rPr>
        <w:t>y plant</w:t>
      </w:r>
      <w:r w:rsidR="00580AAB" w:rsidRPr="0078289D">
        <w:rPr>
          <w:b/>
          <w:i/>
          <w:sz w:val="28"/>
          <w:szCs w:val="28"/>
          <w:lang w:val="es-ES_tradnl"/>
        </w:rPr>
        <w:t>eamiento del problema jurídico</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textAlignment w:val="baseline"/>
        <w:rPr>
          <w:sz w:val="28"/>
          <w:szCs w:val="28"/>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contextualSpacing/>
        <w:jc w:val="both"/>
        <w:textAlignment w:val="baseline"/>
        <w:rPr>
          <w:sz w:val="28"/>
          <w:szCs w:val="28"/>
          <w:lang w:val="es-ES_tradnl"/>
        </w:rPr>
      </w:pPr>
      <w:r w:rsidRPr="0078289D">
        <w:rPr>
          <w:sz w:val="28"/>
          <w:szCs w:val="28"/>
          <w:lang w:val="es-ES_tradnl"/>
        </w:rPr>
        <w:t>38</w:t>
      </w:r>
      <w:r w:rsidR="00580AAB" w:rsidRPr="0078289D">
        <w:rPr>
          <w:sz w:val="28"/>
          <w:szCs w:val="28"/>
          <w:lang w:val="es-ES_tradnl"/>
        </w:rPr>
        <w:t xml:space="preserve">. </w:t>
      </w:r>
      <w:r w:rsidR="00840465" w:rsidRPr="0078289D">
        <w:rPr>
          <w:sz w:val="28"/>
          <w:szCs w:val="28"/>
          <w:lang w:val="es-ES_tradnl"/>
        </w:rPr>
        <w:t xml:space="preserve">La disposición acusada establece que la inclusión de un predio en un proyecto PINE será entendida como una imposibilidad jurídica para efectuar la restitución de los predios a favor de las víctimas del conflicto armado interno, en los términos del artículo 72 de la Ley 1448 de 2011. En consecuencia, la norma establece la obligación de compensar a las víctimas con un predio de similares condiciones con cargo a los recursos que se consignen en el depósito judicial del PINE, en virtud del proceso de expropiación, lo que implica la adición de una nueva causal de improcedencia de la restitución a las inicialmente contempladas en el artículo 72 de la Ley 1448 de 2011.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textAlignment w:val="baseline"/>
        <w:rPr>
          <w:sz w:val="28"/>
          <w:szCs w:val="28"/>
          <w:lang w:val="es-ES_tradnl"/>
        </w:rPr>
      </w:pPr>
      <w:r w:rsidRPr="0078289D">
        <w:rPr>
          <w:sz w:val="28"/>
          <w:szCs w:val="28"/>
          <w:lang w:val="es-ES_tradnl"/>
        </w:rPr>
        <w:t>E</w:t>
      </w:r>
      <w:r w:rsidRPr="0078289D">
        <w:rPr>
          <w:sz w:val="28"/>
          <w:szCs w:val="28"/>
          <w:bdr w:val="none" w:sz="0" w:space="0" w:color="auto" w:frame="1"/>
          <w:lang w:val="es-ES_tradnl"/>
        </w:rPr>
        <w:t xml:space="preserve">l artículo 72 de la Ley 1448 de 2011 consagró la obligación del Estado de adoptar las medidas requeridas para la restitución jurídica y material de los predios de los cuales las víctimas de la violencia han sido desplazadas. No </w:t>
      </w:r>
      <w:r w:rsidRPr="0078289D">
        <w:rPr>
          <w:sz w:val="28"/>
          <w:szCs w:val="28"/>
          <w:bdr w:val="none" w:sz="0" w:space="0" w:color="auto" w:frame="1"/>
          <w:lang w:val="es-ES_tradnl"/>
        </w:rPr>
        <w:lastRenderedPageBreak/>
        <w:t>obstante, el inciso final del artículo 72 de la Ley 1448 de 2011 señaló algunas excepciones al deber de restituir. Particularmente, indicó que, en caso de que la restitución no fuese posible, o cuando la persona despojada no pudiese retornar al bien sin poner en riesgo su seguridad, podría acudirse a i) la restitución por equivalente, esto es, la restitución de un predio de similares condiciones a las de aquél del que fue ilegalmente despojado, y, como última medida, y de forma excepcional, a ii) la compensación</w:t>
      </w:r>
      <w:r w:rsidR="004E2634" w:rsidRPr="0078289D">
        <w:rPr>
          <w:sz w:val="28"/>
          <w:szCs w:val="28"/>
          <w:bdr w:val="none" w:sz="0" w:space="0" w:color="auto" w:frame="1"/>
          <w:lang w:val="es-ES_tradnl"/>
        </w:rPr>
        <w:t xml:space="preserve"> en dinero</w:t>
      </w:r>
      <w:r w:rsidRPr="0078289D">
        <w:rPr>
          <w:sz w:val="28"/>
          <w:szCs w:val="28"/>
          <w:bdr w:val="none" w:sz="0" w:space="0" w:color="auto" w:frame="1"/>
          <w:lang w:val="es-ES_tradnl"/>
        </w:rPr>
        <w:t xml:space="preserve">, así: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r w:rsidRPr="0078289D">
        <w:rPr>
          <w:b/>
          <w:bCs/>
          <w:i/>
          <w:sz w:val="28"/>
          <w:szCs w:val="28"/>
          <w:u w:color="000000"/>
          <w:lang w:val="es-ES_tradnl" w:eastAsia="es-ES"/>
        </w:rPr>
        <w:t>“ARTÍCULO 72. ACCIONES DE RESTITUCIÓN DE LOS DES-POJADOS. </w:t>
      </w:r>
      <w:r w:rsidRPr="0078289D">
        <w:rPr>
          <w:i/>
          <w:sz w:val="28"/>
          <w:szCs w:val="28"/>
          <w:u w:color="000000"/>
          <w:lang w:val="es-ES_tradnl" w:eastAsia="es-ES"/>
        </w:rPr>
        <w:t>El Estado colombiano adoptará las medidas requeridas para la restitución jurídica y material de las tierras a los despojados y desplazados. De no ser posible la restitución, para determinar y reconocer la compensación correspondiente.</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rFonts w:eastAsia="Times New Roman"/>
          <w:i/>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r w:rsidRPr="0078289D">
        <w:rPr>
          <w:i/>
          <w:sz w:val="28"/>
          <w:szCs w:val="28"/>
          <w:u w:color="000000"/>
          <w:lang w:val="es-ES_tradnl" w:eastAsia="es-ES"/>
        </w:rPr>
        <w:t xml:space="preserve">Las acciones de reparación de los despojados son: la restitución jurídica y material del inmueble despojado. </w:t>
      </w:r>
      <w:r w:rsidRPr="0078289D">
        <w:rPr>
          <w:b/>
          <w:i/>
          <w:sz w:val="28"/>
          <w:szCs w:val="28"/>
          <w:u w:val="single" w:color="000000"/>
          <w:lang w:val="es-ES_tradnl" w:eastAsia="es-ES"/>
        </w:rPr>
        <w:t>En subsidio, procederá, en su orden, la restitución por equivalente o el reconocimiento de una compensación</w:t>
      </w:r>
      <w:r w:rsidRPr="0078289D">
        <w:rPr>
          <w:i/>
          <w:sz w:val="28"/>
          <w:szCs w:val="28"/>
          <w:u w:color="000000"/>
          <w:lang w:val="es-ES_tradnl" w:eastAsia="es-ES"/>
        </w:rPr>
        <w:t>.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b/>
          <w:bCs/>
          <w:i/>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r w:rsidRPr="0078289D">
        <w:rPr>
          <w:i/>
          <w:sz w:val="28"/>
          <w:szCs w:val="28"/>
          <w:u w:color="000000"/>
          <w:lang w:val="es-ES_tradnl" w:eastAsia="es-ES"/>
        </w:rPr>
        <w:t>En el caso de bienes baldíos se procederá con la adjudicación del derecho de propiedad del baldío a favor de la persona que venía ejerciendo su explotación económica si durante el despojo o abandono se cumplieron las condiciones para la adjudicación.</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r w:rsidRPr="0078289D">
        <w:rPr>
          <w:i/>
          <w:sz w:val="28"/>
          <w:szCs w:val="28"/>
          <w:u w:color="000000"/>
          <w:lang w:val="es-ES_tradnl" w:eastAsia="es-ES"/>
        </w:rPr>
        <w:t>La restitución jurídica del inmueble despojado se realizará con el restablecimiento de los derechos de propiedad o posesión, según el caso. El restablecimiento del derecho de propiedad exigirá el registro de la medida en el folio de matrícula inmobiliaria. En el caso del derecho de posesión, su restablecimiento podrá acompañarse con la declaración de pertenencia, en los términos señalados en la ley.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3212"/>
        </w:tabs>
        <w:autoSpaceDE w:val="0"/>
        <w:autoSpaceDN w:val="0"/>
        <w:adjustRightInd w:val="0"/>
        <w:ind w:left="720"/>
        <w:contextualSpacing/>
        <w:jc w:val="both"/>
        <w:rPr>
          <w:sz w:val="28"/>
          <w:szCs w:val="28"/>
          <w:bdr w:val="none" w:sz="0" w:space="0" w:color="auto" w:frame="1"/>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sz w:val="28"/>
          <w:szCs w:val="28"/>
          <w:u w:color="000000"/>
          <w:lang w:val="es-ES_tradnl" w:eastAsia="es-ES"/>
        </w:rPr>
      </w:pPr>
      <w:r w:rsidRPr="0078289D">
        <w:rPr>
          <w:b/>
          <w:i/>
          <w:sz w:val="28"/>
          <w:szCs w:val="28"/>
          <w:u w:val="single" w:color="000000"/>
          <w:lang w:val="es-ES_tradnl" w:eastAsia="es-ES"/>
        </w:rPr>
        <w:t>En los casos en los cuales la restitución jurídica y material del inmueble despojado sea imposible o cuando el despojado no pueda retornar al mismo, por razones de riesgo para su vida e integridad personal, se le ofrecerán alternativas de restitución por equivalente para acceder a terrenos de similares características y condiciones en otra ubicación, previa consulta con el afectado. La compensación en dinero sólo procederá en el evento en que no sea posible ninguna de las formas de restitución</w:t>
      </w:r>
      <w:r w:rsidRPr="0078289D">
        <w:rPr>
          <w:i/>
          <w:sz w:val="28"/>
          <w:szCs w:val="28"/>
          <w:u w:color="000000"/>
          <w:lang w:val="es-ES_tradnl" w:eastAsia="es-ES"/>
        </w:rPr>
        <w:t>”.</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De esta manera, el artículo 72 de la Ley 1448 reiteró el deber de restitución a cargo del Estado. Sin embargo, estableció que en el evento en que ésta no pudiese realizarse, bien porque fuese material</w:t>
      </w:r>
      <w:r w:rsidRPr="0078289D">
        <w:rPr>
          <w:b/>
          <w:sz w:val="28"/>
          <w:szCs w:val="28"/>
          <w:lang w:val="es-ES_tradnl"/>
        </w:rPr>
        <w:t xml:space="preserve"> </w:t>
      </w:r>
      <w:r w:rsidRPr="0078289D">
        <w:rPr>
          <w:sz w:val="28"/>
          <w:szCs w:val="28"/>
          <w:lang w:val="es-ES_tradnl"/>
        </w:rPr>
        <w:t xml:space="preserve">y jurídicamente imposible, o porque de </w:t>
      </w:r>
      <w:r w:rsidR="00E145D2" w:rsidRPr="0078289D">
        <w:rPr>
          <w:sz w:val="28"/>
          <w:szCs w:val="28"/>
          <w:lang w:val="es-ES_tradnl"/>
        </w:rPr>
        <w:t>efectuarse</w:t>
      </w:r>
      <w:r w:rsidRPr="0078289D">
        <w:rPr>
          <w:sz w:val="28"/>
          <w:szCs w:val="28"/>
          <w:lang w:val="es-ES_tradnl"/>
        </w:rPr>
        <w:t xml:space="preserve"> pondría en peligro la vida e integridad personal de la</w:t>
      </w:r>
      <w:r w:rsidR="00E145D2" w:rsidRPr="0078289D">
        <w:rPr>
          <w:sz w:val="28"/>
          <w:szCs w:val="28"/>
          <w:lang w:val="es-ES_tradnl"/>
        </w:rPr>
        <w:t>s</w:t>
      </w:r>
      <w:r w:rsidRPr="0078289D">
        <w:rPr>
          <w:sz w:val="28"/>
          <w:szCs w:val="28"/>
          <w:lang w:val="es-ES_tradnl"/>
        </w:rPr>
        <w:t xml:space="preserve"> víctima</w:t>
      </w:r>
      <w:r w:rsidR="00E145D2" w:rsidRPr="0078289D">
        <w:rPr>
          <w:sz w:val="28"/>
          <w:szCs w:val="28"/>
          <w:lang w:val="es-ES_tradnl"/>
        </w:rPr>
        <w:t>s</w:t>
      </w:r>
      <w:r w:rsidR="00C61F83" w:rsidRPr="0078289D">
        <w:rPr>
          <w:sz w:val="28"/>
          <w:szCs w:val="28"/>
          <w:lang w:val="es-ES_tradnl"/>
        </w:rPr>
        <w:t>, el Estado está</w:t>
      </w:r>
      <w:r w:rsidRPr="0078289D">
        <w:rPr>
          <w:sz w:val="28"/>
          <w:szCs w:val="28"/>
          <w:lang w:val="es-ES_tradnl"/>
        </w:rPr>
        <w:t xml:space="preserve"> en la obligación de cumplir el deber de reparación a través de otras dos figuras: la restitución </w:t>
      </w:r>
      <w:r w:rsidR="00C61F83" w:rsidRPr="0078289D">
        <w:rPr>
          <w:sz w:val="28"/>
          <w:szCs w:val="28"/>
          <w:lang w:val="es-ES_tradnl"/>
        </w:rPr>
        <w:t>mediante un bien inmueble</w:t>
      </w:r>
      <w:r w:rsidRPr="0078289D">
        <w:rPr>
          <w:sz w:val="28"/>
          <w:szCs w:val="28"/>
          <w:lang w:val="es-ES_tradnl"/>
        </w:rPr>
        <w:t xml:space="preserve"> equivalente o, en última medida, la compensación</w:t>
      </w:r>
      <w:r w:rsidR="00C61F83" w:rsidRPr="0078289D">
        <w:rPr>
          <w:sz w:val="28"/>
          <w:szCs w:val="28"/>
          <w:lang w:val="es-ES_tradnl"/>
        </w:rPr>
        <w:t xml:space="preserve"> con dinero</w:t>
      </w:r>
      <w:r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rPr>
          <w:sz w:val="28"/>
          <w:szCs w:val="28"/>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lastRenderedPageBreak/>
        <w:t>39</w:t>
      </w:r>
      <w:r w:rsidR="00840465" w:rsidRPr="0078289D">
        <w:rPr>
          <w:sz w:val="28"/>
          <w:szCs w:val="28"/>
          <w:lang w:val="es-ES_tradnl"/>
        </w:rPr>
        <w:t xml:space="preserve">. En </w:t>
      </w:r>
      <w:r w:rsidR="004E2634" w:rsidRPr="0078289D">
        <w:rPr>
          <w:sz w:val="28"/>
          <w:szCs w:val="28"/>
          <w:lang w:val="es-ES_tradnl"/>
        </w:rPr>
        <w:t>otras palabras</w:t>
      </w:r>
      <w:r w:rsidR="00840465" w:rsidRPr="0078289D">
        <w:rPr>
          <w:sz w:val="28"/>
          <w:szCs w:val="28"/>
          <w:lang w:val="es-ES_tradnl"/>
        </w:rPr>
        <w:t>, el artículo 50 de la Ley 1753 de 2015 prevé una nueva causal de imposibilidad de restitución a las contempladas previamente en el art</w:t>
      </w:r>
      <w:r w:rsidR="004E2634" w:rsidRPr="0078289D">
        <w:rPr>
          <w:sz w:val="28"/>
          <w:szCs w:val="28"/>
          <w:lang w:val="es-ES_tradnl"/>
        </w:rPr>
        <w:t>ículo 72 de la Ley 1448 de 2011.</w:t>
      </w:r>
      <w:r w:rsidR="00840465" w:rsidRPr="0078289D">
        <w:rPr>
          <w:sz w:val="28"/>
          <w:szCs w:val="28"/>
          <w:lang w:val="es-ES_tradnl"/>
        </w:rPr>
        <w:t xml:space="preserve"> </w:t>
      </w:r>
      <w:r w:rsidR="004E2634" w:rsidRPr="0078289D">
        <w:rPr>
          <w:sz w:val="28"/>
          <w:szCs w:val="28"/>
          <w:lang w:val="es-ES_tradnl"/>
        </w:rPr>
        <w:t>En consecuencia</w:t>
      </w:r>
      <w:r w:rsidR="00840465" w:rsidRPr="0078289D">
        <w:rPr>
          <w:sz w:val="28"/>
          <w:szCs w:val="28"/>
          <w:lang w:val="es-ES_tradnl"/>
        </w:rPr>
        <w:t>, constituye una excepción adicional a la obligación del Estado de restituir a las víctimas del conflicto armado con los predios de los que fueron despojadas.</w:t>
      </w:r>
      <w:r w:rsidR="00840465" w:rsidRPr="0078289D">
        <w:rPr>
          <w:i/>
          <w:sz w:val="28"/>
          <w:szCs w:val="28"/>
          <w:bdr w:val="none" w:sz="0" w:space="0" w:color="auto" w:frame="1"/>
          <w:lang w:val="es-ES_tradnl"/>
        </w:rPr>
        <w:t>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r w:rsidRPr="0078289D">
        <w:rPr>
          <w:sz w:val="28"/>
          <w:szCs w:val="28"/>
          <w:bdr w:val="none" w:sz="0" w:space="0" w:color="auto" w:frame="1"/>
          <w:lang w:val="es-ES_tradnl"/>
        </w:rPr>
        <w:t>40</w:t>
      </w:r>
      <w:r w:rsidR="00840465" w:rsidRPr="0078289D">
        <w:rPr>
          <w:sz w:val="28"/>
          <w:szCs w:val="28"/>
          <w:bdr w:val="none" w:sz="0" w:space="0" w:color="auto" w:frame="1"/>
          <w:lang w:val="es-ES_tradnl"/>
        </w:rPr>
        <w:t xml:space="preserve">. Ahora bien, desde antes de la vigencia de la Ley 1448 de 2011, distintos instrumentos internacionales habían resaltado las obligaciones a cargo de los Estados en materia de protección de las víctimas de despojo o desplazamiento, y especialmente, en materia de restitución a víctimas del conflicto armado. Este es el caso de los Principios sobre la restitución de las viviendas y el patrimonio de los refugiados y las personas desplazadas - o Principios Pinheiro - y los Principios rectores de los desplazamientos internos, o Principios Deng.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r w:rsidRPr="0078289D">
        <w:rPr>
          <w:sz w:val="28"/>
          <w:szCs w:val="28"/>
          <w:bdr w:val="none" w:sz="0" w:space="0" w:color="auto" w:frame="1"/>
          <w:lang w:val="es-ES_tradnl"/>
        </w:rPr>
        <w:t>41</w:t>
      </w:r>
      <w:r w:rsidR="002D7FD8" w:rsidRPr="0078289D">
        <w:rPr>
          <w:sz w:val="28"/>
          <w:szCs w:val="28"/>
          <w:bdr w:val="none" w:sz="0" w:space="0" w:color="auto" w:frame="1"/>
          <w:lang w:val="es-ES_tradnl"/>
        </w:rPr>
        <w:t xml:space="preserve">. </w:t>
      </w:r>
      <w:r w:rsidR="00840465" w:rsidRPr="0078289D">
        <w:rPr>
          <w:sz w:val="28"/>
          <w:szCs w:val="28"/>
          <w:bdr w:val="none" w:sz="0" w:space="0" w:color="auto" w:frame="1"/>
          <w:lang w:val="es-ES_tradnl"/>
        </w:rPr>
        <w:t xml:space="preserve">Los mencionados instrumentos internacionales establecen ciertas características generales del derecho a la restitución. En efecto, los Principios Pinheiro consagran, en su numeral 2º, el derecho que tienen todos los refugiados y desplazados a que se les restituyan las viviendas, tierras, y en general, el patrimonio de los que hayan sido ilegalmente despojados, o a que se les indemnice en caso de que la restitución resulte materialmente imposible. </w:t>
      </w:r>
      <w:r w:rsidR="00EE3A54" w:rsidRPr="0078289D">
        <w:rPr>
          <w:sz w:val="28"/>
          <w:szCs w:val="28"/>
          <w:bdr w:val="none" w:sz="0" w:space="0" w:color="auto" w:frame="1"/>
          <w:lang w:val="es-ES_tradnl"/>
        </w:rPr>
        <w:t>Así mismo</w:t>
      </w:r>
      <w:r w:rsidR="00840465" w:rsidRPr="0078289D">
        <w:rPr>
          <w:sz w:val="28"/>
          <w:szCs w:val="28"/>
          <w:bdr w:val="none" w:sz="0" w:space="0" w:color="auto" w:frame="1"/>
          <w:lang w:val="es-ES_tradnl"/>
        </w:rPr>
        <w:t>, el numeral 2.2 del referido instrumento resalta el carácter preferente de la restitución y aclara que éste es un</w:t>
      </w:r>
      <w:r w:rsidR="00840465" w:rsidRPr="0078289D">
        <w:rPr>
          <w:sz w:val="28"/>
          <w:szCs w:val="28"/>
          <w:shd w:val="clear" w:color="auto" w:fill="FFFFFF"/>
          <w:lang w:val="es-ES_tradnl"/>
        </w:rPr>
        <w:t xml:space="preserve"> derecho en sí mismo, independientemente de la decisión que las víctimas adopten frente al retorno a sus predios, así:</w:t>
      </w:r>
    </w:p>
    <w:p w:rsidR="00141B17" w:rsidRPr="0078289D" w:rsidRDefault="00141B17"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shd w:val="clear" w:color="auto" w:fill="FFFFFF"/>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 xml:space="preserve">“2. Derecho a la restitución de las viviendas y el patrimonio </w:t>
      </w: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2.1. Todos los refugiados y desplazados tienen derecho a que se les restituyan las viviendas</w:t>
      </w:r>
      <w:r w:rsidRPr="0078289D">
        <w:rPr>
          <w:rFonts w:eastAsia="Times New Roman"/>
          <w:b/>
          <w:i/>
          <w:sz w:val="28"/>
          <w:szCs w:val="28"/>
          <w:u w:val="single"/>
          <w:lang w:val="es-ES_tradnl" w:eastAsia="es-ES"/>
        </w:rPr>
        <w:t>, las tierras y el patrimonio de que hayan sido privados arbitraria o ilegalmente</w:t>
      </w:r>
      <w:r w:rsidRPr="0078289D">
        <w:rPr>
          <w:rFonts w:eastAsia="Times New Roman"/>
          <w:i/>
          <w:sz w:val="28"/>
          <w:szCs w:val="28"/>
          <w:lang w:val="es-ES_tradnl" w:eastAsia="es-ES"/>
        </w:rPr>
        <w:t xml:space="preserve"> o a que se les indemnice por cualquier vivienda, tierra o bien </w:t>
      </w:r>
      <w:r w:rsidRPr="0078289D">
        <w:rPr>
          <w:rFonts w:eastAsia="Times New Roman"/>
          <w:b/>
          <w:i/>
          <w:sz w:val="28"/>
          <w:szCs w:val="28"/>
          <w:u w:val="single"/>
          <w:lang w:val="es-ES_tradnl" w:eastAsia="es-ES"/>
        </w:rPr>
        <w:t>cuya restitución sea considerada de hecho imposible por un tribunal independiente e imparcial.</w:t>
      </w:r>
      <w:r w:rsidRPr="0078289D">
        <w:rPr>
          <w:rFonts w:eastAsia="Times New Roman"/>
          <w:i/>
          <w:sz w:val="28"/>
          <w:szCs w:val="28"/>
          <w:lang w:val="es-ES_tradnl" w:eastAsia="es-ES"/>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 xml:space="preserve">2.2. Los Estados darán prioridad de forma manifiesta al derecho de restitución </w:t>
      </w:r>
      <w:r w:rsidRPr="0078289D">
        <w:rPr>
          <w:rFonts w:eastAsia="Times New Roman"/>
          <w:b/>
          <w:i/>
          <w:sz w:val="28"/>
          <w:szCs w:val="28"/>
          <w:u w:val="single"/>
          <w:lang w:val="es-ES_tradnl" w:eastAsia="es-ES"/>
        </w:rPr>
        <w:t>como medio preferente de reparación</w:t>
      </w:r>
      <w:r w:rsidRPr="0078289D">
        <w:rPr>
          <w:i/>
          <w:sz w:val="28"/>
          <w:szCs w:val="28"/>
          <w:lang w:val="es-ES_tradnl" w:eastAsia="es-ES"/>
        </w:rPr>
        <w:t xml:space="preserve"> en los casos de desplazamiento y como elemento fundamental de la justicia restitutiva. El derecho a la restitución de las viviendas, las tierras y el patrimonio es un derecho en sí mismo y es independiente de que se haga o no efectivo el regreso de los r</w:t>
      </w:r>
      <w:r w:rsidRPr="0078289D">
        <w:rPr>
          <w:rFonts w:eastAsia="Times New Roman"/>
          <w:i/>
          <w:sz w:val="28"/>
          <w:szCs w:val="28"/>
          <w:lang w:val="es-ES_tradnl" w:eastAsia="es-ES"/>
        </w:rPr>
        <w:t xml:space="preserve">efugiados y desplazados a quienes les asista ese derecho”.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Ahora bien, </w:t>
      </w:r>
      <w:r w:rsidR="00C565C6" w:rsidRPr="0078289D">
        <w:rPr>
          <w:rFonts w:eastAsia="Times New Roman"/>
          <w:sz w:val="28"/>
          <w:szCs w:val="28"/>
          <w:lang w:val="es-ES_tradnl" w:eastAsia="es-ES"/>
        </w:rPr>
        <w:t xml:space="preserve">podría ponerse en tela de juicio la incorporación de los Principios Pinheiro y Deng al bloque de constitucionalidad, en la medida en que </w:t>
      </w:r>
      <w:r w:rsidR="000B0B66" w:rsidRPr="0078289D">
        <w:rPr>
          <w:rFonts w:eastAsia="Times New Roman"/>
          <w:sz w:val="28"/>
          <w:szCs w:val="28"/>
          <w:lang w:val="es-ES_tradnl" w:eastAsia="es-ES"/>
        </w:rPr>
        <w:t xml:space="preserve">estos dos instrumentos </w:t>
      </w:r>
      <w:r w:rsidR="00C565C6" w:rsidRPr="0078289D">
        <w:rPr>
          <w:rFonts w:eastAsia="Times New Roman"/>
          <w:sz w:val="28"/>
          <w:szCs w:val="28"/>
          <w:lang w:val="es-ES_tradnl" w:eastAsia="es-ES"/>
        </w:rPr>
        <w:t>no const</w:t>
      </w:r>
      <w:r w:rsidR="000B0B66" w:rsidRPr="0078289D">
        <w:rPr>
          <w:rFonts w:eastAsia="Times New Roman"/>
          <w:sz w:val="28"/>
          <w:szCs w:val="28"/>
          <w:lang w:val="es-ES_tradnl" w:eastAsia="es-ES"/>
        </w:rPr>
        <w:t>i</w:t>
      </w:r>
      <w:r w:rsidR="00C565C6" w:rsidRPr="0078289D">
        <w:rPr>
          <w:rFonts w:eastAsia="Times New Roman"/>
          <w:sz w:val="28"/>
          <w:szCs w:val="28"/>
          <w:lang w:val="es-ES_tradnl" w:eastAsia="es-ES"/>
        </w:rPr>
        <w:t xml:space="preserve">tuyen tratados </w:t>
      </w:r>
      <w:r w:rsidR="000B0B66" w:rsidRPr="0078289D">
        <w:rPr>
          <w:rFonts w:eastAsia="Times New Roman"/>
          <w:sz w:val="28"/>
          <w:szCs w:val="28"/>
          <w:lang w:val="es-ES_tradnl" w:eastAsia="es-ES"/>
        </w:rPr>
        <w:t xml:space="preserve">internacionales ratificados por Colombia. En efecto, </w:t>
      </w:r>
      <w:r w:rsidR="004638C1" w:rsidRPr="0078289D">
        <w:rPr>
          <w:rFonts w:eastAsia="Times New Roman"/>
          <w:sz w:val="28"/>
          <w:szCs w:val="28"/>
          <w:lang w:val="es-ES_tradnl" w:eastAsia="es-ES"/>
        </w:rPr>
        <w:t xml:space="preserve">el artículo 93 de la Constitución Política </w:t>
      </w:r>
      <w:r w:rsidR="00B24DB6" w:rsidRPr="0078289D">
        <w:rPr>
          <w:rFonts w:eastAsia="Times New Roman"/>
          <w:sz w:val="28"/>
          <w:szCs w:val="28"/>
          <w:lang w:val="es-ES_tradnl" w:eastAsia="es-ES"/>
        </w:rPr>
        <w:t xml:space="preserve">sostiene que </w:t>
      </w:r>
      <w:r w:rsidR="000B0B66" w:rsidRPr="0078289D">
        <w:rPr>
          <w:rFonts w:eastAsia="Times New Roman"/>
          <w:sz w:val="28"/>
          <w:szCs w:val="28"/>
          <w:lang w:val="es-ES_tradnl" w:eastAsia="es-ES"/>
        </w:rPr>
        <w:t xml:space="preserve">los instrumentos de derechos humanos que prevalecen en el orden interno son </w:t>
      </w:r>
      <w:r w:rsidR="00B24DB6" w:rsidRPr="0078289D">
        <w:rPr>
          <w:rFonts w:eastAsia="Times New Roman"/>
          <w:sz w:val="28"/>
          <w:szCs w:val="28"/>
          <w:lang w:val="es-ES_tradnl" w:eastAsia="es-ES"/>
        </w:rPr>
        <w:t xml:space="preserve">los tratados y convenios </w:t>
      </w:r>
      <w:r w:rsidR="00582345" w:rsidRPr="0078289D">
        <w:rPr>
          <w:rFonts w:eastAsia="Times New Roman"/>
          <w:sz w:val="28"/>
          <w:szCs w:val="28"/>
          <w:lang w:val="es-ES_tradnl" w:eastAsia="es-ES"/>
        </w:rPr>
        <w:t xml:space="preserve">internacionales </w:t>
      </w:r>
      <w:r w:rsidR="00B24DB6" w:rsidRPr="0078289D">
        <w:rPr>
          <w:rFonts w:eastAsia="Times New Roman"/>
          <w:sz w:val="28"/>
          <w:szCs w:val="28"/>
          <w:lang w:val="es-ES_tradnl" w:eastAsia="es-ES"/>
        </w:rPr>
        <w:t>ratificados por Colombia</w:t>
      </w:r>
      <w:r w:rsidR="00582345" w:rsidRPr="0078289D">
        <w:rPr>
          <w:rFonts w:eastAsia="Times New Roman"/>
          <w:sz w:val="28"/>
          <w:szCs w:val="28"/>
          <w:lang w:val="es-ES_tradnl" w:eastAsia="es-ES"/>
        </w:rPr>
        <w:t>.</w:t>
      </w:r>
      <w:r w:rsidR="00B24DB6" w:rsidRPr="0078289D">
        <w:rPr>
          <w:rFonts w:eastAsia="Times New Roman"/>
          <w:sz w:val="28"/>
          <w:szCs w:val="28"/>
          <w:lang w:val="es-ES_tradnl" w:eastAsia="es-ES"/>
        </w:rPr>
        <w:t xml:space="preserve"> </w:t>
      </w:r>
      <w:r w:rsidR="00582345" w:rsidRPr="0078289D">
        <w:rPr>
          <w:rFonts w:eastAsia="Times New Roman"/>
          <w:sz w:val="28"/>
          <w:szCs w:val="28"/>
          <w:lang w:val="es-ES_tradnl" w:eastAsia="es-ES"/>
        </w:rPr>
        <w:t xml:space="preserve">Según esta </w:t>
      </w:r>
      <w:r w:rsidR="00582345" w:rsidRPr="0078289D">
        <w:rPr>
          <w:rFonts w:eastAsia="Times New Roman"/>
          <w:sz w:val="28"/>
          <w:szCs w:val="28"/>
          <w:lang w:val="es-ES_tradnl" w:eastAsia="es-ES"/>
        </w:rPr>
        <w:lastRenderedPageBreak/>
        <w:t>interpretación</w:t>
      </w:r>
      <w:r w:rsidRPr="0078289D">
        <w:rPr>
          <w:rFonts w:eastAsia="Times New Roman"/>
          <w:sz w:val="28"/>
          <w:szCs w:val="28"/>
          <w:lang w:val="es-ES_tradnl" w:eastAsia="es-ES"/>
        </w:rPr>
        <w:t xml:space="preserve">, </w:t>
      </w:r>
      <w:r w:rsidR="00582345" w:rsidRPr="0078289D">
        <w:rPr>
          <w:rFonts w:eastAsia="Times New Roman"/>
          <w:sz w:val="28"/>
          <w:szCs w:val="28"/>
          <w:lang w:val="es-ES_tradnl" w:eastAsia="es-ES"/>
        </w:rPr>
        <w:t xml:space="preserve">los mencionados principios sólo </w:t>
      </w:r>
      <w:r w:rsidRPr="0078289D">
        <w:rPr>
          <w:rFonts w:eastAsia="Times New Roman"/>
          <w:sz w:val="28"/>
          <w:szCs w:val="28"/>
          <w:lang w:val="es-ES_tradnl" w:eastAsia="es-ES"/>
        </w:rPr>
        <w:t xml:space="preserve">constituyen recomendaciones sin ningún carácter vinculante. </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477424" w:rsidRPr="0078289D" w:rsidRDefault="0049417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Sin embargo, </w:t>
      </w:r>
      <w:r w:rsidR="00C26AD4" w:rsidRPr="0078289D">
        <w:rPr>
          <w:rFonts w:eastAsia="Times New Roman"/>
          <w:sz w:val="28"/>
          <w:szCs w:val="28"/>
          <w:lang w:val="es-ES_tradnl" w:eastAsia="es-ES"/>
        </w:rPr>
        <w:t>esta interpretación no re</w:t>
      </w:r>
      <w:r w:rsidR="00912F2F" w:rsidRPr="0078289D">
        <w:rPr>
          <w:rFonts w:eastAsia="Times New Roman"/>
          <w:sz w:val="28"/>
          <w:szCs w:val="28"/>
          <w:lang w:val="es-ES_tradnl" w:eastAsia="es-ES"/>
        </w:rPr>
        <w:t>sulta aceptable para la Corte. N</w:t>
      </w:r>
      <w:r w:rsidR="00C26AD4" w:rsidRPr="0078289D">
        <w:rPr>
          <w:rFonts w:eastAsia="Times New Roman"/>
          <w:sz w:val="28"/>
          <w:szCs w:val="28"/>
          <w:lang w:val="es-ES_tradnl" w:eastAsia="es-ES"/>
        </w:rPr>
        <w:t xml:space="preserve">o sólo </w:t>
      </w:r>
      <w:r w:rsidR="0032351E" w:rsidRPr="0078289D">
        <w:rPr>
          <w:rFonts w:eastAsia="Times New Roman"/>
          <w:sz w:val="28"/>
          <w:szCs w:val="28"/>
          <w:lang w:val="es-ES_tradnl" w:eastAsia="es-ES"/>
        </w:rPr>
        <w:t>simplifica indebidamente</w:t>
      </w:r>
      <w:r w:rsidR="00C26AD4" w:rsidRPr="0078289D">
        <w:rPr>
          <w:rFonts w:eastAsia="Times New Roman"/>
          <w:sz w:val="28"/>
          <w:szCs w:val="28"/>
          <w:lang w:val="es-ES_tradnl" w:eastAsia="es-ES"/>
        </w:rPr>
        <w:t xml:space="preserve"> la jurisprudencia de esta Corporación en materia de incorporación de </w:t>
      </w:r>
      <w:r w:rsidR="009C22AD" w:rsidRPr="0078289D">
        <w:rPr>
          <w:rFonts w:eastAsia="Times New Roman"/>
          <w:sz w:val="28"/>
          <w:szCs w:val="28"/>
          <w:lang w:val="es-ES_tradnl" w:eastAsia="es-ES"/>
        </w:rPr>
        <w:t>instrumentos internacionales al bloque de constitucionalidad, sino que desconoce la dinámica prop</w:t>
      </w:r>
      <w:r w:rsidR="0032351E" w:rsidRPr="0078289D">
        <w:rPr>
          <w:rFonts w:eastAsia="Times New Roman"/>
          <w:sz w:val="28"/>
          <w:szCs w:val="28"/>
          <w:lang w:val="es-ES_tradnl" w:eastAsia="es-ES"/>
        </w:rPr>
        <w:t>ia de la política internacional.</w:t>
      </w:r>
      <w:r w:rsidR="009C22AD" w:rsidRPr="0078289D">
        <w:rPr>
          <w:rFonts w:eastAsia="Times New Roman"/>
          <w:sz w:val="28"/>
          <w:szCs w:val="28"/>
          <w:lang w:val="es-ES_tradnl" w:eastAsia="es-ES"/>
        </w:rPr>
        <w:t xml:space="preserve"> </w:t>
      </w:r>
      <w:r w:rsidR="0032351E" w:rsidRPr="0078289D">
        <w:rPr>
          <w:rFonts w:eastAsia="Times New Roman"/>
          <w:sz w:val="28"/>
          <w:szCs w:val="28"/>
          <w:lang w:val="es-ES_tradnl" w:eastAsia="es-ES"/>
        </w:rPr>
        <w:t>E</w:t>
      </w:r>
      <w:r w:rsidR="009C22AD" w:rsidRPr="0078289D">
        <w:rPr>
          <w:rFonts w:eastAsia="Times New Roman"/>
          <w:sz w:val="28"/>
          <w:szCs w:val="28"/>
          <w:lang w:val="es-ES_tradnl" w:eastAsia="es-ES"/>
        </w:rPr>
        <w:t xml:space="preserve">n particular, </w:t>
      </w:r>
      <w:r w:rsidR="0032351E" w:rsidRPr="0078289D">
        <w:rPr>
          <w:rFonts w:eastAsia="Times New Roman"/>
          <w:sz w:val="28"/>
          <w:szCs w:val="28"/>
          <w:lang w:val="es-ES_tradnl" w:eastAsia="es-ES"/>
        </w:rPr>
        <w:t xml:space="preserve">una interpretación semejante </w:t>
      </w:r>
      <w:r w:rsidR="008B521B" w:rsidRPr="0078289D">
        <w:rPr>
          <w:rFonts w:eastAsia="Times New Roman"/>
          <w:sz w:val="28"/>
          <w:szCs w:val="28"/>
          <w:lang w:val="es-ES_tradnl" w:eastAsia="es-ES"/>
        </w:rPr>
        <w:t>haría</w:t>
      </w:r>
      <w:r w:rsidR="00F20DA5" w:rsidRPr="0078289D">
        <w:rPr>
          <w:rFonts w:eastAsia="Times New Roman"/>
          <w:sz w:val="28"/>
          <w:szCs w:val="28"/>
          <w:lang w:val="es-ES_tradnl" w:eastAsia="es-ES"/>
        </w:rPr>
        <w:t xml:space="preserve"> caso omiso al hecho de que los tratados de derechos humanos </w:t>
      </w:r>
      <w:r w:rsidR="00F33A9F" w:rsidRPr="0078289D">
        <w:rPr>
          <w:rFonts w:eastAsia="Times New Roman"/>
          <w:sz w:val="28"/>
          <w:szCs w:val="28"/>
          <w:lang w:val="es-ES_tradnl" w:eastAsia="es-ES"/>
        </w:rPr>
        <w:t xml:space="preserve">son el resultado de negociaciones complejas entre Estados con diferentes concepciones respecto de la naturaleza, objeto y alcance de estos derechos. </w:t>
      </w:r>
      <w:r w:rsidR="007C1958" w:rsidRPr="0078289D">
        <w:rPr>
          <w:rFonts w:eastAsia="Times New Roman"/>
          <w:sz w:val="28"/>
          <w:szCs w:val="28"/>
          <w:lang w:val="es-ES_tradnl" w:eastAsia="es-ES"/>
        </w:rPr>
        <w:t>En esa medida, los tratados sobre derechos humanos suelen tener</w:t>
      </w:r>
      <w:r w:rsidR="00653FB0" w:rsidRPr="0078289D">
        <w:rPr>
          <w:rFonts w:eastAsia="Times New Roman"/>
          <w:sz w:val="28"/>
          <w:szCs w:val="28"/>
          <w:lang w:val="es-ES_tradnl" w:eastAsia="es-ES"/>
        </w:rPr>
        <w:t xml:space="preserve"> un lenguaje </w:t>
      </w:r>
      <w:r w:rsidR="00210D07" w:rsidRPr="0078289D">
        <w:rPr>
          <w:rFonts w:eastAsia="Times New Roman"/>
          <w:sz w:val="28"/>
          <w:szCs w:val="28"/>
          <w:lang w:val="es-ES_tradnl" w:eastAsia="es-ES"/>
        </w:rPr>
        <w:t>bastante general</w:t>
      </w:r>
      <w:r w:rsidR="00653FB0" w:rsidRPr="0078289D">
        <w:rPr>
          <w:rFonts w:eastAsia="Times New Roman"/>
          <w:sz w:val="28"/>
          <w:szCs w:val="28"/>
          <w:lang w:val="es-ES_tradnl" w:eastAsia="es-ES"/>
        </w:rPr>
        <w:t>,</w:t>
      </w:r>
      <w:r w:rsidR="008F1F23" w:rsidRPr="0078289D">
        <w:rPr>
          <w:rFonts w:eastAsia="Times New Roman"/>
          <w:sz w:val="28"/>
          <w:szCs w:val="28"/>
          <w:lang w:val="es-ES_tradnl" w:eastAsia="es-ES"/>
        </w:rPr>
        <w:t xml:space="preserve"> disposiciones ambiguas y conceptos</w:t>
      </w:r>
      <w:r w:rsidR="00210D07" w:rsidRPr="0078289D">
        <w:rPr>
          <w:rFonts w:eastAsia="Times New Roman"/>
          <w:sz w:val="28"/>
          <w:szCs w:val="28"/>
          <w:lang w:val="es-ES_tradnl" w:eastAsia="es-ES"/>
        </w:rPr>
        <w:t xml:space="preserve"> indeterminados</w:t>
      </w:r>
      <w:r w:rsidR="008F1F23" w:rsidRPr="0078289D">
        <w:rPr>
          <w:rFonts w:eastAsia="Times New Roman"/>
          <w:sz w:val="28"/>
          <w:szCs w:val="28"/>
          <w:lang w:val="es-ES_tradnl" w:eastAsia="es-ES"/>
        </w:rPr>
        <w:t>, lo cual</w:t>
      </w:r>
      <w:r w:rsidR="00653FB0" w:rsidRPr="0078289D">
        <w:rPr>
          <w:rFonts w:eastAsia="Times New Roman"/>
          <w:sz w:val="28"/>
          <w:szCs w:val="28"/>
          <w:lang w:val="es-ES_tradnl" w:eastAsia="es-ES"/>
        </w:rPr>
        <w:t xml:space="preserve"> </w:t>
      </w:r>
      <w:r w:rsidR="008B521B" w:rsidRPr="0078289D">
        <w:rPr>
          <w:rFonts w:eastAsia="Times New Roman"/>
          <w:sz w:val="28"/>
          <w:szCs w:val="28"/>
          <w:lang w:val="es-ES_tradnl" w:eastAsia="es-ES"/>
        </w:rPr>
        <w:t>obedece a la lógica necesidad de articular</w:t>
      </w:r>
      <w:r w:rsidR="007C1958" w:rsidRPr="0078289D">
        <w:rPr>
          <w:rFonts w:eastAsia="Times New Roman"/>
          <w:sz w:val="28"/>
          <w:szCs w:val="28"/>
          <w:lang w:val="es-ES_tradnl" w:eastAsia="es-ES"/>
        </w:rPr>
        <w:t xml:space="preserve"> diferentes visiones y culturas a </w:t>
      </w:r>
      <w:r w:rsidR="00653FB0" w:rsidRPr="0078289D">
        <w:rPr>
          <w:rFonts w:eastAsia="Times New Roman"/>
          <w:sz w:val="28"/>
          <w:szCs w:val="28"/>
          <w:lang w:val="es-ES_tradnl" w:eastAsia="es-ES"/>
        </w:rPr>
        <w:t>los tratados sobre derechos humanos.</w:t>
      </w:r>
      <w:r w:rsidR="00912F2F" w:rsidRPr="0078289D">
        <w:rPr>
          <w:rFonts w:eastAsia="Times New Roman"/>
          <w:sz w:val="28"/>
          <w:szCs w:val="28"/>
          <w:lang w:val="es-ES_tradnl" w:eastAsia="es-ES"/>
        </w:rPr>
        <w:t xml:space="preserve"> </w:t>
      </w:r>
      <w:r w:rsidR="00276690" w:rsidRPr="0078289D">
        <w:rPr>
          <w:rFonts w:eastAsia="Times New Roman"/>
          <w:sz w:val="28"/>
          <w:szCs w:val="28"/>
          <w:lang w:val="es-ES_tradnl" w:eastAsia="es-ES"/>
        </w:rPr>
        <w:t>Esto es lo que se ha llamado la textura abierta de los tratados sobre derechos humanos.</w:t>
      </w:r>
      <w:r w:rsidR="00477424" w:rsidRPr="0078289D">
        <w:rPr>
          <w:rStyle w:val="Refdenotaalpie"/>
          <w:rFonts w:eastAsia="Times New Roman"/>
          <w:sz w:val="28"/>
          <w:szCs w:val="28"/>
          <w:lang w:val="es-ES_tradnl" w:eastAsia="es-ES"/>
        </w:rPr>
        <w:footnoteReference w:id="50"/>
      </w:r>
      <w:r w:rsidR="00460C74" w:rsidRPr="0078289D">
        <w:rPr>
          <w:rFonts w:eastAsia="Times New Roman"/>
          <w:sz w:val="28"/>
          <w:szCs w:val="28"/>
          <w:lang w:val="es-ES_tradnl" w:eastAsia="es-ES"/>
        </w:rPr>
        <w:t xml:space="preserve"> Por tal motivo, para darle un efecto útil a las disposiciones del bloque de constitucionalidad </w:t>
      </w:r>
      <w:r w:rsidR="00FE79ED" w:rsidRPr="0078289D">
        <w:rPr>
          <w:rFonts w:eastAsia="Times New Roman"/>
          <w:sz w:val="28"/>
          <w:szCs w:val="28"/>
          <w:lang w:val="es-ES_tradnl" w:eastAsia="es-ES"/>
        </w:rPr>
        <w:t xml:space="preserve">incorporadas vía artículo 93 de la Constitución Política resulta indispensable </w:t>
      </w:r>
      <w:r w:rsidR="00322A23" w:rsidRPr="0078289D">
        <w:rPr>
          <w:rFonts w:eastAsia="Times New Roman"/>
          <w:sz w:val="28"/>
          <w:szCs w:val="28"/>
          <w:lang w:val="es-ES_tradnl" w:eastAsia="es-ES"/>
        </w:rPr>
        <w:t xml:space="preserve">contar con instrumentos que le permitan a esta Corporación </w:t>
      </w:r>
      <w:r w:rsidR="00FE79ED" w:rsidRPr="0078289D">
        <w:rPr>
          <w:rFonts w:eastAsia="Times New Roman"/>
          <w:sz w:val="28"/>
          <w:szCs w:val="28"/>
          <w:lang w:val="es-ES_tradnl" w:eastAsia="es-ES"/>
        </w:rPr>
        <w:t>precisar el contenido y alcance de las disposiciones sobre derechos humanos contenidas en estos tratados internacionales.</w:t>
      </w:r>
    </w:p>
    <w:p w:rsidR="00477424" w:rsidRPr="0078289D" w:rsidRDefault="00477424"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B31542" w:rsidRPr="0078289D" w:rsidRDefault="00276690"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 </w:t>
      </w:r>
      <w:r w:rsidR="00322A23" w:rsidRPr="0078289D">
        <w:rPr>
          <w:rFonts w:eastAsia="Times New Roman"/>
          <w:sz w:val="28"/>
          <w:szCs w:val="28"/>
          <w:lang w:val="es-ES_tradnl" w:eastAsia="es-ES"/>
        </w:rPr>
        <w:t xml:space="preserve">Aquí es donde resulta pertinente </w:t>
      </w:r>
      <w:r w:rsidR="003B3004" w:rsidRPr="0078289D">
        <w:rPr>
          <w:rFonts w:eastAsia="Times New Roman"/>
          <w:sz w:val="28"/>
          <w:szCs w:val="28"/>
          <w:lang w:val="es-ES_tradnl" w:eastAsia="es-ES"/>
        </w:rPr>
        <w:t xml:space="preserve">reiterar que la jurisprudencia de la Corte ha establecido una importante distinción entre el bloque de constitucionalidad en sentido estricto, </w:t>
      </w:r>
      <w:r w:rsidR="00991C23" w:rsidRPr="0078289D">
        <w:rPr>
          <w:rFonts w:eastAsia="Times New Roman"/>
          <w:sz w:val="28"/>
          <w:szCs w:val="28"/>
          <w:lang w:val="es-ES_tradnl" w:eastAsia="es-ES"/>
        </w:rPr>
        <w:t xml:space="preserve">al cual pertenecen los tratados internacionales ratificados por Colombia, y el bloque en sentido lato, </w:t>
      </w:r>
      <w:r w:rsidR="002179C7" w:rsidRPr="0078289D">
        <w:rPr>
          <w:rFonts w:eastAsia="Times New Roman"/>
          <w:sz w:val="28"/>
          <w:szCs w:val="28"/>
          <w:lang w:val="es-ES_tradnl" w:eastAsia="es-ES"/>
        </w:rPr>
        <w:t>compuesto por un conjunto más heterogéneo de normas y criterios auxiliares de interpretación,</w:t>
      </w:r>
      <w:r w:rsidR="00991C23" w:rsidRPr="0078289D">
        <w:rPr>
          <w:rFonts w:eastAsia="Times New Roman"/>
          <w:sz w:val="28"/>
          <w:szCs w:val="28"/>
          <w:lang w:val="es-ES_tradnl" w:eastAsia="es-ES"/>
        </w:rPr>
        <w:t xml:space="preserve"> </w:t>
      </w:r>
      <w:r w:rsidR="002179C7" w:rsidRPr="0078289D">
        <w:rPr>
          <w:rFonts w:eastAsia="Times New Roman"/>
          <w:sz w:val="28"/>
          <w:szCs w:val="28"/>
          <w:lang w:val="es-ES_tradnl" w:eastAsia="es-ES"/>
        </w:rPr>
        <w:t xml:space="preserve">que </w:t>
      </w:r>
      <w:r w:rsidR="00991C23" w:rsidRPr="0078289D">
        <w:rPr>
          <w:rFonts w:eastAsia="Times New Roman"/>
          <w:sz w:val="28"/>
          <w:szCs w:val="28"/>
          <w:lang w:val="es-ES_tradnl" w:eastAsia="es-ES"/>
        </w:rPr>
        <w:t>sirve</w:t>
      </w:r>
      <w:r w:rsidR="002179C7" w:rsidRPr="0078289D">
        <w:rPr>
          <w:rFonts w:eastAsia="Times New Roman"/>
          <w:sz w:val="28"/>
          <w:szCs w:val="28"/>
          <w:lang w:val="es-ES_tradnl" w:eastAsia="es-ES"/>
        </w:rPr>
        <w:t>n</w:t>
      </w:r>
      <w:r w:rsidR="00991C23" w:rsidRPr="0078289D">
        <w:rPr>
          <w:rFonts w:eastAsia="Times New Roman"/>
          <w:sz w:val="28"/>
          <w:szCs w:val="28"/>
          <w:lang w:val="es-ES_tradnl" w:eastAsia="es-ES"/>
        </w:rPr>
        <w:t xml:space="preserve"> </w:t>
      </w:r>
      <w:r w:rsidR="00494175" w:rsidRPr="0078289D">
        <w:rPr>
          <w:rFonts w:eastAsia="Times New Roman"/>
          <w:sz w:val="28"/>
          <w:szCs w:val="28"/>
          <w:lang w:val="es-ES_tradnl" w:eastAsia="es-ES"/>
        </w:rPr>
        <w:t xml:space="preserve">a </w:t>
      </w:r>
      <w:r w:rsidR="002179C7" w:rsidRPr="0078289D">
        <w:rPr>
          <w:rFonts w:eastAsia="Times New Roman"/>
          <w:sz w:val="28"/>
          <w:szCs w:val="28"/>
          <w:lang w:val="es-ES_tradnl" w:eastAsia="es-ES"/>
        </w:rPr>
        <w:t xml:space="preserve">esta Corporación para interpretar </w:t>
      </w:r>
      <w:r w:rsidR="00754749" w:rsidRPr="0078289D">
        <w:rPr>
          <w:rFonts w:eastAsia="Times New Roman"/>
          <w:sz w:val="28"/>
          <w:szCs w:val="28"/>
          <w:lang w:val="es-ES_tradnl" w:eastAsia="es-ES"/>
        </w:rPr>
        <w:t xml:space="preserve">la naturaleza, </w:t>
      </w:r>
      <w:r w:rsidR="002179C7" w:rsidRPr="0078289D">
        <w:rPr>
          <w:rFonts w:eastAsia="Times New Roman"/>
          <w:sz w:val="28"/>
          <w:szCs w:val="28"/>
          <w:lang w:val="es-ES_tradnl" w:eastAsia="es-ES"/>
        </w:rPr>
        <w:t xml:space="preserve">el contenido, </w:t>
      </w:r>
      <w:r w:rsidR="00754749" w:rsidRPr="0078289D">
        <w:rPr>
          <w:rFonts w:eastAsia="Times New Roman"/>
          <w:sz w:val="28"/>
          <w:szCs w:val="28"/>
          <w:lang w:val="es-ES_tradnl" w:eastAsia="es-ES"/>
        </w:rPr>
        <w:t xml:space="preserve">y el alcance de las normas contenidas en los tratados sobre derechos humanos ratificadas por Colombia. </w:t>
      </w:r>
      <w:r w:rsidR="00B31542" w:rsidRPr="0078289D">
        <w:rPr>
          <w:rFonts w:eastAsia="Times New Roman"/>
          <w:sz w:val="28"/>
          <w:szCs w:val="28"/>
          <w:lang w:val="es-ES_tradnl" w:eastAsia="es-ES"/>
        </w:rPr>
        <w:t xml:space="preserve">En esa medida, </w:t>
      </w:r>
      <w:r w:rsidR="0022397A" w:rsidRPr="0078289D">
        <w:rPr>
          <w:rFonts w:eastAsia="Times New Roman"/>
          <w:sz w:val="28"/>
          <w:szCs w:val="28"/>
          <w:lang w:val="es-ES_tradnl" w:eastAsia="es-ES"/>
        </w:rPr>
        <w:t xml:space="preserve">el bloque de constitucionalidad en sentido lato constituye un complemento que permite </w:t>
      </w:r>
      <w:r w:rsidR="00974EA4" w:rsidRPr="0078289D">
        <w:rPr>
          <w:rFonts w:eastAsia="Times New Roman"/>
          <w:sz w:val="28"/>
          <w:szCs w:val="28"/>
          <w:lang w:val="es-ES_tradnl" w:eastAsia="es-ES"/>
        </w:rPr>
        <w:t xml:space="preserve">que el bloque en sentido estricto tenga un efecto útil dentro de nuestro ordenamiento constitucional. </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i/>
          <w:sz w:val="28"/>
          <w:szCs w:val="28"/>
          <w:lang w:val="es-ES_tradnl" w:eastAsia="es-ES"/>
        </w:rPr>
      </w:pPr>
    </w:p>
    <w:p w:rsidR="00B31542" w:rsidRPr="0078289D" w:rsidRDefault="006F6204"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b/>
          <w:bCs/>
          <w:color w:val="242424"/>
          <w:sz w:val="28"/>
          <w:szCs w:val="28"/>
          <w:lang w:val="es-ES"/>
        </w:rPr>
      </w:pPr>
      <w:r w:rsidRPr="0078289D">
        <w:rPr>
          <w:rFonts w:eastAsia="Times New Roman"/>
          <w:sz w:val="28"/>
          <w:szCs w:val="28"/>
          <w:lang w:val="es-ES_tradnl" w:eastAsia="es-ES"/>
        </w:rPr>
        <w:t xml:space="preserve">Sin duda, los Principios Deng y Pinheiro constituyen la concreción </w:t>
      </w:r>
      <w:r w:rsidR="00D91C55" w:rsidRPr="0078289D">
        <w:rPr>
          <w:rFonts w:eastAsia="Times New Roman"/>
          <w:sz w:val="28"/>
          <w:szCs w:val="28"/>
          <w:lang w:val="es-ES_tradnl" w:eastAsia="es-ES"/>
        </w:rPr>
        <w:t xml:space="preserve">autorizada </w:t>
      </w:r>
      <w:r w:rsidRPr="0078289D">
        <w:rPr>
          <w:rFonts w:eastAsia="Times New Roman"/>
          <w:sz w:val="28"/>
          <w:szCs w:val="28"/>
          <w:lang w:val="es-ES_tradnl" w:eastAsia="es-ES"/>
        </w:rPr>
        <w:t xml:space="preserve">de </w:t>
      </w:r>
      <w:r w:rsidR="00F47D4E" w:rsidRPr="0078289D">
        <w:rPr>
          <w:rFonts w:eastAsia="Times New Roman"/>
          <w:sz w:val="28"/>
          <w:szCs w:val="28"/>
          <w:lang w:val="es-ES_tradnl" w:eastAsia="es-ES"/>
        </w:rPr>
        <w:t xml:space="preserve">diversos </w:t>
      </w:r>
      <w:r w:rsidRPr="0078289D">
        <w:rPr>
          <w:rFonts w:eastAsia="Times New Roman"/>
          <w:sz w:val="28"/>
          <w:szCs w:val="28"/>
          <w:lang w:val="es-ES_tradnl" w:eastAsia="es-ES"/>
        </w:rPr>
        <w:t>tratados internacionales de derechos humanos.</w:t>
      </w:r>
      <w:r w:rsidR="00B41A1D" w:rsidRPr="0078289D">
        <w:rPr>
          <w:rFonts w:eastAsia="Times New Roman"/>
          <w:sz w:val="28"/>
          <w:szCs w:val="28"/>
          <w:lang w:val="es-ES_tradnl" w:eastAsia="es-ES"/>
        </w:rPr>
        <w:t xml:space="preserve"> </w:t>
      </w:r>
      <w:r w:rsidR="00B31542" w:rsidRPr="0078289D">
        <w:rPr>
          <w:rFonts w:eastAsia="Times New Roman"/>
          <w:sz w:val="28"/>
          <w:szCs w:val="28"/>
          <w:lang w:val="es-ES_tradnl" w:eastAsia="es-ES"/>
        </w:rPr>
        <w:t xml:space="preserve">Esta misma </w:t>
      </w:r>
      <w:r w:rsidR="00F47D4E" w:rsidRPr="0078289D">
        <w:rPr>
          <w:rFonts w:eastAsia="Times New Roman"/>
          <w:sz w:val="28"/>
          <w:szCs w:val="28"/>
          <w:lang w:val="es-ES_tradnl" w:eastAsia="es-ES"/>
        </w:rPr>
        <w:t>posición</w:t>
      </w:r>
      <w:r w:rsidR="00B31542" w:rsidRPr="0078289D">
        <w:rPr>
          <w:rFonts w:eastAsia="Times New Roman"/>
          <w:sz w:val="28"/>
          <w:szCs w:val="28"/>
          <w:lang w:val="es-ES_tradnl" w:eastAsia="es-ES"/>
        </w:rPr>
        <w:t xml:space="preserve"> ha sido adoptada por la Asamblea General de las Naciones Unidas, tal y como consta en el Preámbulo de los “</w:t>
      </w:r>
      <w:r w:rsidR="00B31542" w:rsidRPr="0078289D">
        <w:rPr>
          <w:rFonts w:eastAsia="Times New Roman"/>
          <w:bCs/>
          <w:i/>
          <w:sz w:val="28"/>
          <w:szCs w:val="28"/>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r w:rsidR="00B31542" w:rsidRPr="0078289D">
        <w:rPr>
          <w:rFonts w:eastAsia="Times New Roman"/>
          <w:bCs/>
          <w:sz w:val="28"/>
          <w:szCs w:val="28"/>
          <w:lang w:val="es-ES"/>
        </w:rPr>
        <w:t>, aprobados el 16 de marzo de 2005. En efecto, en el referido instrumento internacional</w:t>
      </w:r>
      <w:r w:rsidR="00D91C55" w:rsidRPr="0078289D">
        <w:rPr>
          <w:rFonts w:eastAsia="Times New Roman"/>
          <w:bCs/>
          <w:sz w:val="28"/>
          <w:szCs w:val="28"/>
          <w:lang w:val="es-ES"/>
        </w:rPr>
        <w:t>,</w:t>
      </w:r>
      <w:r w:rsidR="00B31542" w:rsidRPr="0078289D">
        <w:rPr>
          <w:rFonts w:eastAsia="Times New Roman"/>
          <w:bCs/>
          <w:sz w:val="28"/>
          <w:szCs w:val="28"/>
          <w:lang w:val="es-ES"/>
        </w:rPr>
        <w:t xml:space="preserve"> la Asamblea reconoció que la importancia de determinar los principios para efectuar la reparación a las víctimas de graves violaciones del Derecho Internacional Humanitario devenía directamente del Estatuto de Roma, y que por lo tanto, no constituía una nueva fuente de obligaciones internacionales. Así, manifestó:</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i/>
          <w:sz w:val="28"/>
          <w:szCs w:val="28"/>
          <w:lang w:val="es-ES_tradnl" w:eastAsia="es-ES"/>
        </w:rPr>
      </w:pPr>
    </w:p>
    <w:p w:rsidR="00B31542" w:rsidRPr="0078289D" w:rsidRDefault="00B31542"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
        </w:rPr>
      </w:pPr>
      <w:r w:rsidRPr="0078289D">
        <w:rPr>
          <w:rFonts w:eastAsia="Times New Roman"/>
          <w:i/>
          <w:iCs/>
          <w:sz w:val="28"/>
          <w:szCs w:val="28"/>
          <w:lang w:val="es-ES"/>
        </w:rPr>
        <w:lastRenderedPageBreak/>
        <w:t>“Observando</w:t>
      </w:r>
      <w:r w:rsidRPr="0078289D">
        <w:rPr>
          <w:rFonts w:eastAsia="Times New Roman"/>
          <w:i/>
          <w:sz w:val="28"/>
          <w:szCs w:val="28"/>
          <w:lang w:val="es-ES"/>
        </w:rPr>
        <w:t xml:space="preserve"> que el Estatuto de Roma de la Corte Penal Internacional requiere el establecimiento de “principios aplicables a la reparación, incluidas la restitución, la indemnización y la rehabilitación”, obliga a la Asamblea de los Estados Partes a establecer un fondo fiduciario en beneficio de las víctimas de crímenes que son de la competencia de la Corte, así como en beneficio de sus familias, y encomienda a la Corte que proteja “la seguridad, el bienestar físico y psicológico, la dignidad y la vida privada de las víctimas” y que permita la participación de éstas en todas “las fases del juicio que considere conveniente”,</w:t>
      </w:r>
    </w:p>
    <w:p w:rsidR="00B31542" w:rsidRPr="0078289D" w:rsidRDefault="00B31542"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iCs/>
          <w:sz w:val="28"/>
          <w:szCs w:val="28"/>
          <w:lang w:val="es-ES"/>
        </w:rPr>
      </w:pPr>
      <w:r w:rsidRPr="0078289D">
        <w:rPr>
          <w:rFonts w:eastAsia="Times New Roman"/>
          <w:i/>
          <w:iCs/>
          <w:sz w:val="28"/>
          <w:szCs w:val="28"/>
          <w:lang w:val="es-ES"/>
        </w:rPr>
        <w:t>(…)</w:t>
      </w:r>
    </w:p>
    <w:p w:rsidR="00B31542" w:rsidRPr="0078289D" w:rsidRDefault="00B31542" w:rsidP="0078289D">
      <w:pPr>
        <w:pBdr>
          <w:top w:val="none" w:sz="0" w:space="0" w:color="auto"/>
          <w:left w:val="none" w:sz="0" w:space="0" w:color="auto"/>
          <w:bottom w:val="none" w:sz="0" w:space="0" w:color="auto"/>
          <w:right w:val="none" w:sz="0" w:space="0" w:color="auto"/>
        </w:pBdr>
        <w:ind w:left="567"/>
        <w:contextualSpacing/>
        <w:jc w:val="both"/>
        <w:rPr>
          <w:rFonts w:eastAsia="Times New Roman"/>
          <w:sz w:val="28"/>
          <w:szCs w:val="28"/>
          <w:lang w:val="es-ES"/>
        </w:rPr>
      </w:pPr>
      <w:r w:rsidRPr="0078289D">
        <w:rPr>
          <w:rFonts w:eastAsia="Times New Roman"/>
          <w:i/>
          <w:iCs/>
          <w:sz w:val="28"/>
          <w:szCs w:val="28"/>
          <w:lang w:val="es-ES"/>
        </w:rPr>
        <w:t>Destacando</w:t>
      </w:r>
      <w:r w:rsidRPr="0078289D">
        <w:rPr>
          <w:rFonts w:eastAsia="Times New Roman"/>
          <w:i/>
          <w:sz w:val="28"/>
          <w:szCs w:val="28"/>
          <w:lang w:val="es-ES"/>
        </w:rPr>
        <w:t xml:space="preserve"> que los Principios y directrices básicos que figuran en el presente documento </w:t>
      </w:r>
      <w:r w:rsidRPr="0078289D">
        <w:rPr>
          <w:rFonts w:eastAsia="Times New Roman"/>
          <w:b/>
          <w:i/>
          <w:sz w:val="28"/>
          <w:szCs w:val="28"/>
          <w:u w:val="single"/>
          <w:lang w:val="es-ES"/>
        </w:rPr>
        <w:t>no entrañan nuevas obligaciones jurídicas internacionales o nacionales, sino que indican mecanismos, modalidades, procedimientos y métodos para el cumplimiento de las obligaciones jurídicas existentes conforme a las normas internacionales de derechos humanos y al derecho internacional humanitario, que son complementarios, aunque diferentes en su contenido</w:t>
      </w:r>
      <w:r w:rsidRPr="0078289D">
        <w:rPr>
          <w:rFonts w:eastAsia="Times New Roman"/>
          <w:i/>
          <w:sz w:val="28"/>
          <w:szCs w:val="28"/>
          <w:lang w:val="es-ES"/>
        </w:rPr>
        <w:t>”.</w:t>
      </w:r>
      <w:r w:rsidRPr="0078289D">
        <w:rPr>
          <w:rFonts w:eastAsia="Times New Roman"/>
          <w:sz w:val="28"/>
          <w:szCs w:val="28"/>
          <w:lang w:val="es-ES"/>
        </w:rPr>
        <w:t>(Subraya y negrilla fuera del texto)</w:t>
      </w:r>
    </w:p>
    <w:p w:rsidR="00B31542" w:rsidRPr="0078289D" w:rsidRDefault="00B31542" w:rsidP="0078289D">
      <w:pPr>
        <w:pBdr>
          <w:top w:val="none" w:sz="0" w:space="0" w:color="auto"/>
          <w:left w:val="none" w:sz="0" w:space="0" w:color="auto"/>
          <w:bottom w:val="none" w:sz="0" w:space="0" w:color="auto"/>
          <w:right w:val="none" w:sz="0" w:space="0" w:color="auto"/>
        </w:pBdr>
        <w:ind w:left="567"/>
        <w:contextualSpacing/>
        <w:jc w:val="both"/>
        <w:rPr>
          <w:rFonts w:eastAsia="Times New Roman"/>
          <w:sz w:val="28"/>
          <w:szCs w:val="28"/>
          <w:lang w:val="es-ES"/>
        </w:rPr>
      </w:pP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Ahora bien, no sólo en el sistema universal de los derechos humanos se ha consagrado el </w:t>
      </w:r>
      <w:r w:rsidRPr="0078289D">
        <w:rPr>
          <w:rFonts w:eastAsia="Times New Roman"/>
          <w:b/>
          <w:sz w:val="28"/>
          <w:szCs w:val="28"/>
          <w:lang w:val="es-ES_tradnl" w:eastAsia="es-ES"/>
        </w:rPr>
        <w:t xml:space="preserve">derecho </w:t>
      </w:r>
      <w:r w:rsidR="000D2A4D" w:rsidRPr="0078289D">
        <w:rPr>
          <w:rFonts w:eastAsia="Times New Roman"/>
          <w:b/>
          <w:sz w:val="28"/>
          <w:szCs w:val="28"/>
          <w:lang w:val="es-ES_tradnl" w:eastAsia="es-ES"/>
        </w:rPr>
        <w:t xml:space="preserve">fundamental </w:t>
      </w:r>
      <w:r w:rsidRPr="0078289D">
        <w:rPr>
          <w:rFonts w:eastAsia="Times New Roman"/>
          <w:b/>
          <w:sz w:val="28"/>
          <w:szCs w:val="28"/>
          <w:lang w:val="es-ES_tradnl" w:eastAsia="es-ES"/>
        </w:rPr>
        <w:t>a la reparación de las víctimas</w:t>
      </w:r>
      <w:r w:rsidRPr="0078289D">
        <w:rPr>
          <w:rFonts w:eastAsia="Times New Roman"/>
          <w:sz w:val="28"/>
          <w:szCs w:val="28"/>
          <w:lang w:val="es-ES_tradnl" w:eastAsia="es-ES"/>
        </w:rPr>
        <w:t>. En el sistema interamericano esta garantía ha sido desarrollada tanto por los tratados internacionales y demás instrumentos jurídicos, como por la jurisprudencia de la Corte Interamericana de Derechos Humanos. Así, el numeral primero de la Convención Americana sobre Derechos Humanos expresamente faculta a la Corte interamericana a garantizar a la víctima la protección de sus derechos vulnerados, y disponer la reparación, incluyendo incluso el pago de una indemnización. La norma consagra:</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B31542" w:rsidRPr="0078289D" w:rsidRDefault="00B31542"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_tradnl" w:eastAsia="es-ES"/>
        </w:rPr>
      </w:pPr>
      <w:r w:rsidRPr="0078289D">
        <w:rPr>
          <w:rFonts w:eastAsia="Times New Roman"/>
          <w:i/>
          <w:sz w:val="28"/>
          <w:szCs w:val="28"/>
          <w:lang w:val="es-ES_tradnl" w:eastAsia="es-ES"/>
        </w:rPr>
        <w:t xml:space="preserve">“Artículo 63. 1. Cuando decida que hubo violación de un derecho o libertad protegidos en esta Convención, la Corte dispondrá que se garantice al lesionado en el goce de su derecho o libertad conculcados.  Dispondrá asimismo, </w:t>
      </w:r>
      <w:r w:rsidRPr="0078289D">
        <w:rPr>
          <w:rFonts w:eastAsia="Times New Roman"/>
          <w:b/>
          <w:i/>
          <w:sz w:val="28"/>
          <w:szCs w:val="28"/>
          <w:u w:val="single"/>
          <w:lang w:val="es-ES_tradnl" w:eastAsia="es-ES"/>
        </w:rPr>
        <w:t xml:space="preserve">si ello fuera procedente, que se reparen las consecuencias de la medida o situación que ha configurado la vulneración de esos derechos y el pago de una justa indemnización a la parte lesionada”. </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Por su parte, la Corte Interamericana de Derechos Humanos ha desarrollado y determinado el alcance del derecho a la reparación de las víctimas en el ámbito internacional a través de diversas </w:t>
      </w:r>
      <w:r w:rsidR="00D91C55" w:rsidRPr="0078289D">
        <w:rPr>
          <w:rFonts w:eastAsia="Times New Roman"/>
          <w:sz w:val="28"/>
          <w:szCs w:val="28"/>
          <w:lang w:val="es-ES_tradnl" w:eastAsia="es-ES"/>
        </w:rPr>
        <w:t>decisiones</w:t>
      </w:r>
      <w:r w:rsidRPr="0078289D">
        <w:rPr>
          <w:rFonts w:eastAsia="Times New Roman"/>
          <w:sz w:val="28"/>
          <w:szCs w:val="28"/>
          <w:lang w:val="es-ES_tradnl" w:eastAsia="es-ES"/>
        </w:rPr>
        <w:t xml:space="preserve"> judiciales. Así, en uno de los casos más emblemáticos sobre la materia, </w:t>
      </w:r>
      <w:r w:rsidRPr="0078289D">
        <w:rPr>
          <w:i/>
          <w:sz w:val="28"/>
          <w:szCs w:val="28"/>
          <w:lang w:val="es-ES_tradnl" w:eastAsia="es-ES"/>
        </w:rPr>
        <w:t xml:space="preserve">Velásquez Rodríguez </w:t>
      </w:r>
      <w:r w:rsidRPr="0078289D">
        <w:rPr>
          <w:rFonts w:eastAsia="Times New Roman"/>
          <w:i/>
          <w:iCs/>
          <w:sz w:val="28"/>
          <w:szCs w:val="28"/>
          <w:lang w:val="es-ES_tradnl" w:eastAsia="es-ES"/>
        </w:rPr>
        <w:t>v</w:t>
      </w:r>
      <w:r w:rsidR="00D91C55" w:rsidRPr="0078289D">
        <w:rPr>
          <w:rFonts w:eastAsia="Times New Roman"/>
          <w:i/>
          <w:iCs/>
          <w:sz w:val="28"/>
          <w:szCs w:val="28"/>
          <w:lang w:val="es-ES_tradnl" w:eastAsia="es-ES"/>
        </w:rPr>
        <w:t>s</w:t>
      </w:r>
      <w:r w:rsidRPr="0078289D">
        <w:rPr>
          <w:rFonts w:eastAsia="Times New Roman"/>
          <w:i/>
          <w:sz w:val="28"/>
          <w:szCs w:val="28"/>
          <w:lang w:val="es-ES_tradnl" w:eastAsia="es-ES"/>
        </w:rPr>
        <w:t>. Honduras</w:t>
      </w:r>
      <w:r w:rsidRPr="0078289D">
        <w:rPr>
          <w:rStyle w:val="Refdenotaalpie"/>
          <w:rFonts w:eastAsia="Times New Roman"/>
          <w:i/>
          <w:sz w:val="28"/>
          <w:szCs w:val="28"/>
          <w:lang w:val="es-ES_tradnl" w:eastAsia="es-ES"/>
        </w:rPr>
        <w:footnoteReference w:id="51"/>
      </w:r>
      <w:r w:rsidRPr="0078289D">
        <w:rPr>
          <w:rFonts w:eastAsia="Times New Roman"/>
          <w:sz w:val="28"/>
          <w:szCs w:val="28"/>
          <w:lang w:val="es-ES_tradnl" w:eastAsia="es-ES"/>
        </w:rPr>
        <w:t xml:space="preserve">, la Corte expresamente afirmó que la </w:t>
      </w:r>
      <w:r w:rsidR="00C207BA" w:rsidRPr="0078289D">
        <w:rPr>
          <w:rFonts w:eastAsia="Times New Roman"/>
          <w:sz w:val="28"/>
          <w:szCs w:val="28"/>
          <w:lang w:val="es-ES_tradnl" w:eastAsia="es-ES"/>
        </w:rPr>
        <w:t>reparación</w:t>
      </w:r>
      <w:r w:rsidRPr="0078289D">
        <w:rPr>
          <w:rFonts w:eastAsia="Times New Roman"/>
          <w:sz w:val="28"/>
          <w:szCs w:val="28"/>
          <w:lang w:val="es-ES_tradnl" w:eastAsia="es-ES"/>
        </w:rPr>
        <w:t xml:space="preserve"> del </w:t>
      </w:r>
      <w:r w:rsidR="00C207BA" w:rsidRPr="0078289D">
        <w:rPr>
          <w:rFonts w:eastAsia="Times New Roman"/>
          <w:sz w:val="28"/>
          <w:szCs w:val="28"/>
          <w:lang w:val="es-ES_tradnl" w:eastAsia="es-ES"/>
        </w:rPr>
        <w:t>daño</w:t>
      </w:r>
      <w:r w:rsidRPr="0078289D">
        <w:rPr>
          <w:rFonts w:eastAsia="Times New Roman"/>
          <w:sz w:val="28"/>
          <w:szCs w:val="28"/>
          <w:lang w:val="es-ES_tradnl" w:eastAsia="es-ES"/>
        </w:rPr>
        <w:t xml:space="preserve"> ocasionado por la </w:t>
      </w:r>
      <w:r w:rsidR="00D91C55" w:rsidRPr="0078289D">
        <w:rPr>
          <w:rFonts w:eastAsia="Times New Roman"/>
          <w:sz w:val="28"/>
          <w:szCs w:val="28"/>
          <w:lang w:val="es-ES_tradnl" w:eastAsia="es-ES"/>
        </w:rPr>
        <w:t>infracción</w:t>
      </w:r>
      <w:r w:rsidRPr="0078289D">
        <w:rPr>
          <w:rFonts w:eastAsia="Times New Roman"/>
          <w:sz w:val="28"/>
          <w:szCs w:val="28"/>
          <w:lang w:val="es-ES_tradnl" w:eastAsia="es-ES"/>
        </w:rPr>
        <w:t xml:space="preserve"> de una </w:t>
      </w:r>
      <w:r w:rsidR="00D91C55" w:rsidRPr="0078289D">
        <w:rPr>
          <w:rFonts w:eastAsia="Times New Roman"/>
          <w:sz w:val="28"/>
          <w:szCs w:val="28"/>
          <w:lang w:val="es-ES_tradnl" w:eastAsia="es-ES"/>
        </w:rPr>
        <w:t>obligación</w:t>
      </w:r>
      <w:r w:rsidRPr="0078289D">
        <w:rPr>
          <w:rFonts w:eastAsia="Times New Roman"/>
          <w:sz w:val="28"/>
          <w:szCs w:val="28"/>
          <w:lang w:val="es-ES_tradnl" w:eastAsia="es-ES"/>
        </w:rPr>
        <w:t xml:space="preserve"> internacional consiste en la plena </w:t>
      </w:r>
      <w:r w:rsidR="00D91C55" w:rsidRPr="0078289D">
        <w:rPr>
          <w:rFonts w:eastAsia="Times New Roman"/>
          <w:sz w:val="28"/>
          <w:szCs w:val="28"/>
          <w:lang w:val="es-ES_tradnl" w:eastAsia="es-ES"/>
        </w:rPr>
        <w:t>restitución</w:t>
      </w:r>
      <w:r w:rsidRPr="0078289D">
        <w:rPr>
          <w:rFonts w:eastAsia="Times New Roman"/>
          <w:sz w:val="28"/>
          <w:szCs w:val="28"/>
          <w:lang w:val="es-ES_tradnl" w:eastAsia="es-ES"/>
        </w:rPr>
        <w:t xml:space="preserve">. El concepto de “plena restitución” o de “restitución integral” supone el cumplimiento de dos elementos esenciales que deben ser </w:t>
      </w:r>
      <w:r w:rsidRPr="0078289D">
        <w:rPr>
          <w:rFonts w:eastAsia="Times New Roman"/>
          <w:sz w:val="28"/>
          <w:szCs w:val="28"/>
          <w:lang w:val="es-ES_tradnl" w:eastAsia="es-ES"/>
        </w:rPr>
        <w:lastRenderedPageBreak/>
        <w:t xml:space="preserve">garantizados, a saber: i) el restablecimiento de la </w:t>
      </w:r>
      <w:r w:rsidR="00C207BA" w:rsidRPr="0078289D">
        <w:rPr>
          <w:rFonts w:eastAsia="Times New Roman"/>
          <w:sz w:val="28"/>
          <w:szCs w:val="28"/>
          <w:lang w:val="es-ES_tradnl" w:eastAsia="es-ES"/>
        </w:rPr>
        <w:t>situación</w:t>
      </w:r>
      <w:r w:rsidRPr="0078289D">
        <w:rPr>
          <w:rFonts w:eastAsia="Times New Roman"/>
          <w:sz w:val="28"/>
          <w:szCs w:val="28"/>
          <w:lang w:val="es-ES_tradnl" w:eastAsia="es-ES"/>
        </w:rPr>
        <w:t xml:space="preserve"> anterior</w:t>
      </w:r>
      <w:r w:rsidR="00C207BA" w:rsidRPr="0078289D">
        <w:rPr>
          <w:rFonts w:eastAsia="Times New Roman"/>
          <w:sz w:val="28"/>
          <w:szCs w:val="28"/>
          <w:lang w:val="es-ES_tradnl" w:eastAsia="es-ES"/>
        </w:rPr>
        <w:t xml:space="preserve"> al daño</w:t>
      </w:r>
      <w:r w:rsidRPr="0078289D">
        <w:rPr>
          <w:rFonts w:eastAsia="Times New Roman"/>
          <w:sz w:val="28"/>
          <w:szCs w:val="28"/>
          <w:lang w:val="es-ES_tradnl" w:eastAsia="es-ES"/>
        </w:rPr>
        <w:t xml:space="preserve"> y ii) el pago de una indemnización, que comprenda tanto el </w:t>
      </w:r>
      <w:r w:rsidR="00C207BA" w:rsidRPr="0078289D">
        <w:rPr>
          <w:rFonts w:eastAsia="Times New Roman"/>
          <w:sz w:val="28"/>
          <w:szCs w:val="28"/>
          <w:lang w:val="es-ES_tradnl" w:eastAsia="es-ES"/>
        </w:rPr>
        <w:t>perjuicio</w:t>
      </w:r>
      <w:r w:rsidRPr="0078289D">
        <w:rPr>
          <w:rFonts w:eastAsia="Times New Roman"/>
          <w:sz w:val="28"/>
          <w:szCs w:val="28"/>
          <w:lang w:val="es-ES_tradnl" w:eastAsia="es-ES"/>
        </w:rPr>
        <w:t xml:space="preserve"> material como el </w:t>
      </w:r>
      <w:r w:rsidR="00C207BA" w:rsidRPr="0078289D">
        <w:rPr>
          <w:rFonts w:eastAsia="Times New Roman"/>
          <w:sz w:val="28"/>
          <w:szCs w:val="28"/>
          <w:lang w:val="es-ES_tradnl" w:eastAsia="es-ES"/>
        </w:rPr>
        <w:t>inmaterial</w:t>
      </w:r>
      <w:r w:rsidRPr="0078289D">
        <w:rPr>
          <w:rFonts w:eastAsia="Times New Roman"/>
          <w:sz w:val="28"/>
          <w:szCs w:val="28"/>
          <w:lang w:val="es-ES_tradnl" w:eastAsia="es-ES"/>
        </w:rPr>
        <w:t xml:space="preserve">. Así, manifestó dicha Corporación: </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B31542" w:rsidRPr="0078289D" w:rsidRDefault="00B31542"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sz w:val="28"/>
          <w:szCs w:val="28"/>
          <w:lang w:val="es-ES_tradnl" w:eastAsia="es-ES"/>
        </w:rPr>
        <w:t>“</w:t>
      </w:r>
      <w:r w:rsidRPr="0078289D">
        <w:rPr>
          <w:rFonts w:eastAsia="Times New Roman"/>
          <w:i/>
          <w:sz w:val="28"/>
          <w:szCs w:val="28"/>
          <w:lang w:val="es-ES_tradnl" w:eastAsia="es-ES"/>
        </w:rPr>
        <w:t xml:space="preserve">25. Es un principio de Derecho internacional, que la jurisprudencia ha </w:t>
      </w:r>
      <w:r w:rsidRPr="0078289D">
        <w:rPr>
          <w:i/>
          <w:sz w:val="28"/>
          <w:szCs w:val="28"/>
          <w:lang w:val="es-ES_tradnl" w:eastAsia="es-ES"/>
        </w:rPr>
        <w:t>considerado "incluso una concepción general de derecho", que toda violación a una obligación internacional que haya producido un daño comporta el deber de repararlo adecuadamente. La indemnización, por su parte, constituye la forma más usual de hacer</w:t>
      </w:r>
      <w:r w:rsidRPr="0078289D">
        <w:rPr>
          <w:rFonts w:eastAsia="Times New Roman"/>
          <w:i/>
          <w:sz w:val="28"/>
          <w:szCs w:val="28"/>
          <w:lang w:val="es-ES_tradnl" w:eastAsia="es-ES"/>
        </w:rPr>
        <w:t>lo (…)</w:t>
      </w:r>
    </w:p>
    <w:p w:rsidR="00B31542" w:rsidRPr="0078289D" w:rsidRDefault="00B31542" w:rsidP="0078289D">
      <w:pPr>
        <w:pBdr>
          <w:top w:val="none" w:sz="0" w:space="0" w:color="auto"/>
          <w:left w:val="none" w:sz="0" w:space="0" w:color="auto"/>
          <w:bottom w:val="none" w:sz="0" w:space="0" w:color="auto"/>
          <w:right w:val="none" w:sz="0" w:space="0" w:color="auto"/>
        </w:pBdr>
        <w:ind w:left="567"/>
        <w:contextualSpacing/>
        <w:jc w:val="both"/>
        <w:rPr>
          <w:rFonts w:eastAsia="Times New Roman"/>
          <w:sz w:val="28"/>
          <w:szCs w:val="28"/>
          <w:lang w:val="es-ES_tradnl" w:eastAsia="es-ES"/>
        </w:rPr>
      </w:pPr>
    </w:p>
    <w:p w:rsidR="00B31542" w:rsidRPr="0078289D" w:rsidRDefault="00B31542" w:rsidP="0078289D">
      <w:pPr>
        <w:pBdr>
          <w:top w:val="none" w:sz="0" w:space="0" w:color="auto"/>
          <w:left w:val="none" w:sz="0" w:space="0" w:color="auto"/>
          <w:bottom w:val="none" w:sz="0" w:space="0" w:color="auto"/>
          <w:right w:val="none" w:sz="0" w:space="0" w:color="auto"/>
        </w:pBdr>
        <w:ind w:left="567"/>
        <w:jc w:val="both"/>
        <w:rPr>
          <w:rFonts w:eastAsia="Times New Roman"/>
          <w:sz w:val="28"/>
          <w:szCs w:val="28"/>
          <w:lang w:val="es-ES_tradnl" w:eastAsia="es-ES"/>
        </w:rPr>
      </w:pPr>
      <w:r w:rsidRPr="0078289D">
        <w:rPr>
          <w:i/>
          <w:sz w:val="28"/>
          <w:szCs w:val="28"/>
          <w:lang w:val="es-ES_tradnl" w:eastAsia="es-ES"/>
        </w:rPr>
        <w:t>26. La reparación del daño ocasionado por la infracción de una obligación internacional consiste en la plena restitución (</w:t>
      </w:r>
      <w:r w:rsidRPr="0078289D">
        <w:rPr>
          <w:rFonts w:eastAsia="Times New Roman"/>
          <w:b/>
          <w:bCs/>
          <w:i/>
          <w:sz w:val="28"/>
          <w:szCs w:val="28"/>
          <w:lang w:val="es-ES_tradnl" w:eastAsia="es-ES"/>
        </w:rPr>
        <w:t>restitutio in integrum</w:t>
      </w:r>
      <w:r w:rsidRPr="0078289D">
        <w:rPr>
          <w:i/>
          <w:sz w:val="28"/>
          <w:szCs w:val="28"/>
          <w:lang w:val="es-ES_tradnl" w:eastAsia="es-ES"/>
        </w:rPr>
        <w:t xml:space="preserve">), lo que incluye el restablecimiento de la situación anterior y la reparación de las consecuencias que la infracción produjo y el pago de </w:t>
      </w:r>
      <w:r w:rsidRPr="0078289D">
        <w:rPr>
          <w:sz w:val="28"/>
          <w:szCs w:val="28"/>
          <w:lang w:val="es-ES_tradnl" w:eastAsia="es-ES"/>
        </w:rPr>
        <w:t xml:space="preserve">una indemnización como compensación por los daños patrimoniales y extrapatrimoniales incluyendo el daño moral”. </w:t>
      </w:r>
    </w:p>
    <w:p w:rsidR="00B31542" w:rsidRPr="0078289D" w:rsidRDefault="00B31542"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_tradnl" w:eastAsia="es-ES"/>
        </w:rPr>
      </w:pPr>
    </w:p>
    <w:p w:rsidR="00B31542" w:rsidRPr="0078289D" w:rsidRDefault="00B3154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Así mismo, el derecho a la reparación integral no sólo ha sido reconocido por los tratados internacionales anteriormente reseñados, sino por un gran número de instrumentos pertenecientes tanto al sistema universal de derechos humanos como a otros sistemas regionales. Así, por ejemplo, el Pacto Internacional de Derechos Civiles y Políticos reconoce en su artículo 14 la procedencia de la indemnización por error en el juicio penal. A su vez, el Convenio Europeo para la Protección de los Derechos Humanos y de las Libertades Fundamentales, además de garantizar el derecho de reparación en casos de error judicial, establece en su artículo 41 la procedencia de la reparación a las víctimas por razón de la violación de cualquiera de los derechos humanos del tratado</w:t>
      </w:r>
      <w:r w:rsidRPr="0078289D">
        <w:rPr>
          <w:rStyle w:val="Refdenotaalpie"/>
          <w:rFonts w:ascii="Times New Roman" w:hAnsi="Times New Roman"/>
          <w:sz w:val="28"/>
          <w:szCs w:val="28"/>
        </w:rPr>
        <w:footnoteReference w:id="52"/>
      </w:r>
      <w:r w:rsidRPr="0078289D">
        <w:rPr>
          <w:rFonts w:ascii="Times New Roman" w:hAnsi="Times New Roman" w:cs="Times New Roman"/>
          <w:sz w:val="28"/>
          <w:szCs w:val="28"/>
        </w:rPr>
        <w:t>. Adicionalmente, el artículo 75 del Estatuto de Roma desarrolla más ampliamente la garantía de reparación a las víctimas, y prevé específicamente las medidas de i) restitución, indemnización y iii) rehabilitación, bien sea a favor de éstas o de sus familiares</w:t>
      </w:r>
      <w:r w:rsidRPr="0078289D">
        <w:rPr>
          <w:rStyle w:val="Refdenotaalpie"/>
          <w:rFonts w:ascii="Times New Roman" w:hAnsi="Times New Roman"/>
          <w:sz w:val="28"/>
          <w:szCs w:val="28"/>
        </w:rPr>
        <w:footnoteReference w:id="53"/>
      </w:r>
      <w:r w:rsidRPr="0078289D">
        <w:rPr>
          <w:rFonts w:ascii="Times New Roman" w:hAnsi="Times New Roman" w:cs="Times New Roman"/>
          <w:sz w:val="28"/>
          <w:szCs w:val="28"/>
        </w:rPr>
        <w:t xml:space="preserve">. </w:t>
      </w:r>
    </w:p>
    <w:p w:rsidR="00B31542" w:rsidRPr="0078289D" w:rsidRDefault="00B3154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p>
    <w:p w:rsidR="00B31542" w:rsidRPr="0078289D" w:rsidRDefault="00B31542" w:rsidP="0078289D">
      <w:pPr>
        <w:pStyle w:val="NormalWeb"/>
        <w:pBdr>
          <w:top w:val="none" w:sz="0" w:space="0" w:color="auto"/>
          <w:left w:val="none" w:sz="0" w:space="0" w:color="auto"/>
          <w:bottom w:val="none" w:sz="0" w:space="0" w:color="auto"/>
          <w:right w:val="none" w:sz="0" w:space="0" w:color="auto"/>
        </w:pBdr>
        <w:spacing w:before="0" w:after="0"/>
        <w:jc w:val="both"/>
        <w:rPr>
          <w:rFonts w:ascii="Times New Roman" w:hAnsi="Times New Roman" w:cs="Times New Roman"/>
          <w:sz w:val="28"/>
          <w:szCs w:val="28"/>
        </w:rPr>
      </w:pPr>
      <w:r w:rsidRPr="0078289D">
        <w:rPr>
          <w:rFonts w:ascii="Times New Roman" w:hAnsi="Times New Roman" w:cs="Times New Roman"/>
          <w:sz w:val="28"/>
          <w:szCs w:val="28"/>
        </w:rPr>
        <w:t xml:space="preserve">Así, la Sala advierte que el derecho a la reparación integral es una noción que no sólo deviene del sistema jurídico colombiano, sino que ha sido ampliamente reconocida por el derecho internacional como una obligación que debe ser observada por parte de los Estados. </w:t>
      </w:r>
    </w:p>
    <w:p w:rsidR="00B31542" w:rsidRPr="0078289D" w:rsidRDefault="00B31542"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B31542" w:rsidRPr="0078289D" w:rsidRDefault="00B31542"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r w:rsidRPr="0078289D">
        <w:rPr>
          <w:sz w:val="28"/>
          <w:szCs w:val="28"/>
          <w:bdr w:val="none" w:sz="0" w:space="0" w:color="auto" w:frame="1"/>
          <w:lang w:val="es-ES_tradnl"/>
        </w:rPr>
        <w:t xml:space="preserve">De esta manera, la Corte Constitucional ha establecido que pese a que los Principios Pinheiro no son normas que hagan parte de un tratado internacional, </w:t>
      </w:r>
      <w:r w:rsidR="00B437D1" w:rsidRPr="0078289D">
        <w:rPr>
          <w:sz w:val="28"/>
          <w:szCs w:val="28"/>
          <w:bdr w:val="none" w:sz="0" w:space="0" w:color="auto" w:frame="1"/>
          <w:lang w:val="es-ES_tradnl"/>
        </w:rPr>
        <w:t xml:space="preserve">y por lo tanto, no harían parte del bloque de constitucionalidad en sentido estricto, </w:t>
      </w:r>
      <w:r w:rsidRPr="0078289D">
        <w:rPr>
          <w:sz w:val="28"/>
          <w:szCs w:val="28"/>
          <w:bdr w:val="none" w:sz="0" w:space="0" w:color="auto" w:frame="1"/>
          <w:lang w:val="es-ES_tradnl"/>
        </w:rPr>
        <w:t>sí hacen parte del bloque de constitucionalidad en sentido lato</w:t>
      </w:r>
      <w:r w:rsidR="004579FF" w:rsidRPr="0078289D">
        <w:rPr>
          <w:sz w:val="28"/>
          <w:szCs w:val="28"/>
          <w:bdr w:val="none" w:sz="0" w:space="0" w:color="auto" w:frame="1"/>
          <w:lang w:val="es-ES_tradnl"/>
        </w:rPr>
        <w:t xml:space="preserve">, en la </w:t>
      </w:r>
      <w:r w:rsidR="004579FF" w:rsidRPr="0078289D">
        <w:rPr>
          <w:sz w:val="28"/>
          <w:szCs w:val="28"/>
          <w:bdr w:val="none" w:sz="0" w:space="0" w:color="auto" w:frame="1"/>
          <w:lang w:val="es-ES_tradnl"/>
        </w:rPr>
        <w:lastRenderedPageBreak/>
        <w:t>medida en que concretan el sentido de normas contenidas en tratados internacionales de derechos humanos ratificados por Colombia</w:t>
      </w:r>
      <w:r w:rsidRPr="0078289D">
        <w:rPr>
          <w:sz w:val="28"/>
          <w:szCs w:val="28"/>
          <w:bdr w:val="none" w:sz="0" w:space="0" w:color="auto" w:frame="1"/>
          <w:lang w:val="es-ES_tradnl"/>
        </w:rPr>
        <w:t>. En efecto, la Corte ha entendido que los referidos principios constituyen un desarrollo de la doctrina internacional sobre el derecho fundamental a la reparación integral que ha sido consagrado en el ámbito internacional a través de diversos tratados y que ha sido aplicado por distintos organismos. Por lo tanto, los Principios Pinheiro pueden ser parámetros para el análisis de constitucionalidad de las leyes que desarrollan estos derechos</w:t>
      </w:r>
      <w:r w:rsidRPr="0078289D">
        <w:rPr>
          <w:sz w:val="28"/>
          <w:szCs w:val="28"/>
          <w:bdr w:val="none" w:sz="0" w:space="0" w:color="auto" w:frame="1"/>
          <w:vertAlign w:val="superscript"/>
          <w:lang w:val="es-ES_tradnl"/>
        </w:rPr>
        <w:footnoteReference w:id="54"/>
      </w:r>
      <w:r w:rsidRPr="0078289D">
        <w:rPr>
          <w:sz w:val="28"/>
          <w:szCs w:val="28"/>
          <w:bdr w:val="none" w:sz="0" w:space="0" w:color="auto" w:frame="1"/>
          <w:lang w:val="es-ES_tradnl"/>
        </w:rPr>
        <w:t xml:space="preserve">, como lo ha concluido la Corte Constitucional en la </w:t>
      </w:r>
      <w:r w:rsidRPr="0078289D">
        <w:rPr>
          <w:b/>
          <w:sz w:val="28"/>
          <w:szCs w:val="28"/>
          <w:bdr w:val="none" w:sz="0" w:space="0" w:color="auto" w:frame="1"/>
          <w:lang w:val="es-ES_tradnl"/>
        </w:rPr>
        <w:t>Sentencia T-821 de 2007</w:t>
      </w:r>
      <w:r w:rsidRPr="0078289D">
        <w:rPr>
          <w:sz w:val="28"/>
          <w:szCs w:val="28"/>
          <w:bdr w:val="none" w:sz="0" w:space="0" w:color="auto" w:frame="1"/>
          <w:vertAlign w:val="superscript"/>
          <w:lang w:val="es-ES_tradnl"/>
        </w:rPr>
        <w:footnoteReference w:id="55"/>
      </w:r>
      <w:r w:rsidRPr="0078289D">
        <w:rPr>
          <w:sz w:val="28"/>
          <w:szCs w:val="28"/>
          <w:bdr w:val="none" w:sz="0" w:space="0" w:color="auto" w:frame="1"/>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i/>
          <w:sz w:val="28"/>
          <w:szCs w:val="28"/>
          <w:bdr w:val="none" w:sz="0" w:space="0" w:color="auto" w:frame="1"/>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sz w:val="28"/>
          <w:szCs w:val="28"/>
          <w:u w:color="0000FF"/>
          <w:lang w:val="es-ES_tradnl"/>
        </w:rPr>
      </w:pPr>
      <w:r w:rsidRPr="0078289D">
        <w:rPr>
          <w:rFonts w:eastAsia="Times New Roman"/>
          <w:i/>
          <w:sz w:val="28"/>
          <w:szCs w:val="28"/>
          <w:lang w:val="es-ES_tradnl"/>
        </w:rPr>
        <w:t>“</w:t>
      </w:r>
      <w:r w:rsidRPr="0078289D">
        <w:rPr>
          <w:rFonts w:eastAsia="Times New Roman"/>
          <w:i/>
          <w:sz w:val="28"/>
          <w:szCs w:val="28"/>
          <w:u w:color="0000FF"/>
          <w:lang w:val="es-ES_tradnl"/>
        </w:rPr>
        <w:t>Ciertamente, si el derecho a la reparación integral del daño causado a víctimas de violaciones masivas y sistemáticas de derechos humanos, es un derecho fundamental, no puede menos que afirmarse que el derecho a la restitución de los bienes de los cuales las personas en situación de desplazamiento han sido despojadas, es también un derecho fundamental. Como bien se sabe, el derecho a la restitución es uno de los derechos que surgen del derecho a la reparación integral. En este sentido es necesario recordar que el artículo 17 del Protocolo Adicional de los Convenios de Ginebra de 1949 y los Principios Rectores de los Desplazamientos Internos, consagrados en el Informe del Representante Especial del Secretario General de Naciones Unidas para el Tema de los Desplazamientos Internos de Personas (los llamados principios Deng), y entre ellos, los Principios 21, 28 y 29</w:t>
      </w:r>
      <w:r w:rsidRPr="0078289D">
        <w:rPr>
          <w:rFonts w:eastAsia="Times New Roman"/>
          <w:i/>
          <w:sz w:val="28"/>
          <w:szCs w:val="28"/>
          <w:u w:val="single" w:color="0000FF"/>
          <w:vertAlign w:val="superscript"/>
          <w:lang w:val="es-ES_tradnl"/>
        </w:rPr>
        <w:t xml:space="preserve"> </w:t>
      </w:r>
      <w:r w:rsidRPr="0078289D">
        <w:rPr>
          <w:rFonts w:eastAsia="Times New Roman"/>
          <w:i/>
          <w:sz w:val="28"/>
          <w:szCs w:val="28"/>
          <w:u w:color="0000FF"/>
          <w:lang w:val="es-ES_tradnl"/>
        </w:rPr>
        <w:t>y los Principios sobre la restitución de las viviendas y el patrimonio de los refugiados y las Personas desplazadas</w:t>
      </w:r>
      <w:r w:rsidRPr="0078289D">
        <w:rPr>
          <w:rFonts w:eastAsia="Times New Roman"/>
          <w:b/>
          <w:i/>
          <w:sz w:val="28"/>
          <w:szCs w:val="28"/>
          <w:u w:val="single"/>
          <w:lang w:val="es-ES_tradnl"/>
        </w:rPr>
        <w:t>, hacen parte del Bloque de constitucionalidad en sentido lato, en tanto son desarrollos adoptados por la doctrina internacional, del derecho fundamental a la reparación integral por el daño causado</w:t>
      </w:r>
      <w:r w:rsidRPr="0078289D">
        <w:rPr>
          <w:rFonts w:eastAsia="Times New Roman"/>
          <w:i/>
          <w:sz w:val="28"/>
          <w:szCs w:val="28"/>
          <w:u w:color="6B006D"/>
          <w:lang w:val="es-ES_tradnl"/>
        </w:rPr>
        <w:t xml:space="preserve"> (C.P. art. 93.2)”</w:t>
      </w:r>
      <w:r w:rsidRPr="0078289D">
        <w:rPr>
          <w:rFonts w:eastAsia="Times New Roman"/>
          <w:sz w:val="28"/>
          <w:szCs w:val="28"/>
          <w:u w:color="6B006D"/>
          <w:lang w:val="es-ES_tradnl"/>
        </w:rPr>
        <w:t xml:space="preserve"> (Subraya y negrilla fuera del texto)</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i/>
          <w:sz w:val="28"/>
          <w:szCs w:val="28"/>
          <w:u w:color="0000FF"/>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r w:rsidRPr="0078289D">
        <w:rPr>
          <w:sz w:val="28"/>
          <w:szCs w:val="28"/>
          <w:bdr w:val="none" w:sz="0" w:space="0" w:color="auto" w:frame="1"/>
          <w:lang w:val="es-ES_tradnl"/>
        </w:rPr>
        <w:t>42</w:t>
      </w:r>
      <w:r w:rsidR="002D7FD8" w:rsidRPr="0078289D">
        <w:rPr>
          <w:sz w:val="28"/>
          <w:szCs w:val="28"/>
          <w:bdr w:val="none" w:sz="0" w:space="0" w:color="auto" w:frame="1"/>
          <w:lang w:val="es-ES_tradnl"/>
        </w:rPr>
        <w:t xml:space="preserve">. </w:t>
      </w:r>
      <w:r w:rsidR="00840465" w:rsidRPr="0078289D">
        <w:rPr>
          <w:sz w:val="28"/>
          <w:szCs w:val="28"/>
          <w:bdr w:val="none" w:sz="0" w:space="0" w:color="auto" w:frame="1"/>
          <w:lang w:val="es-ES_tradnl"/>
        </w:rPr>
        <w:t xml:space="preserve">La Corte Constitucional ha avalado la importancia de los anteriores principios, y la determinación que los instrumentos internacionales han realizado sobre el objeto del derecho a la restitución. Particularmente, ha reconocido que </w:t>
      </w:r>
      <w:r w:rsidR="00840465" w:rsidRPr="0078289D">
        <w:rPr>
          <w:sz w:val="28"/>
          <w:szCs w:val="28"/>
          <w:lang w:val="es-ES_tradnl"/>
        </w:rPr>
        <w:t xml:space="preserve">el derecho a la restitución tiene como fundamento el deber de garantía de los derechos de los ciudadanos por parte del Estado, consagrado en el artículo 2º de la Constitución; el principio de dignidad humana reconocido en el artículo 1º de la Carta Política, los derechos de acceso a la administración de justicia (artículo 229), debido proceso (artículo 29) y la cláusula general de responsabilidad del Estado (artículo 90). </w:t>
      </w:r>
      <w:r w:rsidR="00EE3A54" w:rsidRPr="0078289D">
        <w:rPr>
          <w:sz w:val="28"/>
          <w:szCs w:val="28"/>
          <w:lang w:val="es-ES_tradnl"/>
        </w:rPr>
        <w:t>Así mismo</w:t>
      </w:r>
      <w:r w:rsidR="00840465" w:rsidRPr="0078289D">
        <w:rPr>
          <w:sz w:val="28"/>
          <w:szCs w:val="28"/>
          <w:lang w:val="es-ES_tradnl"/>
        </w:rPr>
        <w:t xml:space="preserve">, ha señalado que </w:t>
      </w:r>
      <w:r w:rsidR="00840465" w:rsidRPr="0078289D">
        <w:rPr>
          <w:sz w:val="28"/>
          <w:szCs w:val="28"/>
          <w:bdr w:val="none" w:sz="0" w:space="0" w:color="auto" w:frame="1"/>
          <w:lang w:val="es-ES_tradnl"/>
        </w:rPr>
        <w:t>el propósito de la restitución es el retorno de las víctimas a sus hogares, y evitar, de esta manera, que sean terceros quienes exploten económicamente los predios de los cuales han sido desarraigados</w:t>
      </w:r>
      <w:r w:rsidR="007B3F28" w:rsidRPr="0078289D">
        <w:rPr>
          <w:sz w:val="28"/>
          <w:szCs w:val="28"/>
          <w:bdr w:val="none" w:sz="0" w:space="0" w:color="auto" w:frame="1"/>
          <w:lang w:val="es-ES_tradnl"/>
        </w:rPr>
        <w:t>, así:</w:t>
      </w:r>
      <w:r w:rsidR="00840465" w:rsidRPr="0078289D">
        <w:rPr>
          <w:sz w:val="28"/>
          <w:szCs w:val="28"/>
          <w:bdr w:val="none" w:sz="0" w:space="0" w:color="auto" w:frame="1"/>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bdr w:val="none" w:sz="0" w:space="0" w:color="auto" w:frame="1"/>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textAlignment w:val="baseline"/>
        <w:rPr>
          <w:sz w:val="28"/>
          <w:szCs w:val="28"/>
          <w:bdr w:val="none" w:sz="0" w:space="0" w:color="auto" w:frame="1"/>
          <w:shd w:val="clear" w:color="auto" w:fill="FFFFFF"/>
          <w:lang w:val="es-ES_tradnl"/>
        </w:rPr>
      </w:pPr>
      <w:r w:rsidRPr="0078289D">
        <w:rPr>
          <w:i/>
          <w:sz w:val="28"/>
          <w:szCs w:val="28"/>
          <w:bdr w:val="none" w:sz="0" w:space="0" w:color="auto" w:frame="1"/>
          <w:shd w:val="clear" w:color="auto" w:fill="FFFFFF"/>
          <w:lang w:val="es-ES_tradnl"/>
        </w:rPr>
        <w:lastRenderedPageBreak/>
        <w:t xml:space="preserve">“El objeto principal de la restitución de tierras es que las víctimas que sufrieron una situación de desplazamiento puedan regresar a sus hogares, derecho que se vulnera al permitir que sean terceros y no el desplazado quien explote económicamente su propiedad, situación que implicará el desarraigo de las víctimas y continuará la situación de desplazamiento de la población rural en Colombia, vulnerando su derecho al retorno, reconocido en el principio rector 28 de los Desplazamientos Internos formulados en 1998 por las Naciones Unidas, en la sección cuarta de los Principios sobre la restitución de las viviendas y el patrimonio de los refugiados y las personas desplazadas de las Naciones Unidas de 2005 y en las sentencias </w:t>
      </w:r>
      <w:hyperlink r:id="rId13" w:history="1">
        <w:r w:rsidRPr="0078289D">
          <w:rPr>
            <w:i/>
            <w:sz w:val="28"/>
            <w:szCs w:val="28"/>
            <w:shd w:val="clear" w:color="auto" w:fill="FFFFFF"/>
            <w:lang w:val="es-ES_tradnl"/>
          </w:rPr>
          <w:t>T-602 de 2003</w:t>
        </w:r>
      </w:hyperlink>
      <w:r w:rsidRPr="0078289D">
        <w:rPr>
          <w:i/>
          <w:sz w:val="28"/>
          <w:szCs w:val="28"/>
          <w:bdr w:val="none" w:sz="0" w:space="0" w:color="auto" w:frame="1"/>
          <w:shd w:val="clear" w:color="auto" w:fill="FFFFFF"/>
          <w:lang w:val="es-ES_tradnl"/>
        </w:rPr>
        <w:t>,</w:t>
      </w:r>
      <w:r w:rsidRPr="0078289D">
        <w:rPr>
          <w:i/>
          <w:sz w:val="28"/>
          <w:szCs w:val="28"/>
          <w:lang w:val="es-ES_tradnl"/>
        </w:rPr>
        <w:t> </w:t>
      </w:r>
      <w:hyperlink r:id="rId14" w:history="1">
        <w:r w:rsidRPr="0078289D">
          <w:rPr>
            <w:i/>
            <w:sz w:val="28"/>
            <w:szCs w:val="28"/>
            <w:shd w:val="clear" w:color="auto" w:fill="FFFFFF"/>
            <w:lang w:val="es-ES_tradnl"/>
          </w:rPr>
          <w:t>T-528 de 2010</w:t>
        </w:r>
      </w:hyperlink>
      <w:r w:rsidRPr="0078289D">
        <w:rPr>
          <w:i/>
          <w:sz w:val="28"/>
          <w:szCs w:val="28"/>
          <w:bdr w:val="none" w:sz="0" w:space="0" w:color="auto" w:frame="1"/>
          <w:shd w:val="clear" w:color="auto" w:fill="FFFFFF"/>
          <w:lang w:val="es-ES_tradnl"/>
        </w:rPr>
        <w:t>,</w:t>
      </w:r>
      <w:r w:rsidRPr="0078289D">
        <w:rPr>
          <w:i/>
          <w:sz w:val="28"/>
          <w:szCs w:val="28"/>
          <w:lang w:val="es-ES_tradnl"/>
        </w:rPr>
        <w:t> </w:t>
      </w:r>
      <w:hyperlink r:id="rId15" w:history="1">
        <w:r w:rsidRPr="0078289D">
          <w:rPr>
            <w:i/>
            <w:sz w:val="28"/>
            <w:szCs w:val="28"/>
            <w:shd w:val="clear" w:color="auto" w:fill="FFFFFF"/>
            <w:lang w:val="es-ES_tradnl"/>
          </w:rPr>
          <w:t>T-1115 de 2008</w:t>
        </w:r>
      </w:hyperlink>
      <w:r w:rsidRPr="0078289D">
        <w:rPr>
          <w:i/>
          <w:sz w:val="28"/>
          <w:szCs w:val="28"/>
          <w:bdr w:val="none" w:sz="0" w:space="0" w:color="auto" w:frame="1"/>
          <w:shd w:val="clear" w:color="auto" w:fill="FFFFFF"/>
          <w:lang w:val="es-ES_tradnl"/>
        </w:rPr>
        <w:t>,</w:t>
      </w:r>
      <w:r w:rsidRPr="0078289D">
        <w:rPr>
          <w:i/>
          <w:sz w:val="28"/>
          <w:szCs w:val="28"/>
          <w:lang w:val="es-ES_tradnl"/>
        </w:rPr>
        <w:t> </w:t>
      </w:r>
      <w:hyperlink r:id="rId16" w:history="1">
        <w:r w:rsidRPr="0078289D">
          <w:rPr>
            <w:i/>
            <w:sz w:val="28"/>
            <w:szCs w:val="28"/>
            <w:shd w:val="clear" w:color="auto" w:fill="FFFFFF"/>
            <w:lang w:val="es-ES_tradnl"/>
          </w:rPr>
          <w:t>T-515 de 2010</w:t>
        </w:r>
      </w:hyperlink>
      <w:r w:rsidRPr="0078289D">
        <w:rPr>
          <w:i/>
          <w:sz w:val="28"/>
          <w:szCs w:val="28"/>
          <w:lang w:val="es-ES_tradnl"/>
        </w:rPr>
        <w:t> </w:t>
      </w:r>
      <w:r w:rsidRPr="0078289D">
        <w:rPr>
          <w:i/>
          <w:sz w:val="28"/>
          <w:szCs w:val="28"/>
          <w:bdr w:val="none" w:sz="0" w:space="0" w:color="auto" w:frame="1"/>
          <w:shd w:val="clear" w:color="auto" w:fill="FFFFFF"/>
          <w:lang w:val="es-ES_tradnl"/>
        </w:rPr>
        <w:t>y</w:t>
      </w:r>
      <w:r w:rsidRPr="0078289D">
        <w:rPr>
          <w:i/>
          <w:sz w:val="28"/>
          <w:szCs w:val="28"/>
          <w:lang w:val="es-ES_tradnl"/>
        </w:rPr>
        <w:t> </w:t>
      </w:r>
      <w:hyperlink r:id="rId17" w:history="1">
        <w:r w:rsidRPr="0078289D">
          <w:rPr>
            <w:i/>
            <w:sz w:val="28"/>
            <w:szCs w:val="28"/>
            <w:shd w:val="clear" w:color="auto" w:fill="FFFFFF"/>
            <w:lang w:val="es-ES_tradnl"/>
          </w:rPr>
          <w:t>T-159 de 2011</w:t>
        </w:r>
      </w:hyperlink>
      <w:r w:rsidRPr="0078289D">
        <w:rPr>
          <w:i/>
          <w:sz w:val="28"/>
          <w:szCs w:val="28"/>
          <w:lang w:val="es-ES_tradnl"/>
        </w:rPr>
        <w:t> </w:t>
      </w:r>
      <w:r w:rsidRPr="0078289D">
        <w:rPr>
          <w:i/>
          <w:sz w:val="28"/>
          <w:szCs w:val="28"/>
          <w:bdr w:val="none" w:sz="0" w:space="0" w:color="auto" w:frame="1"/>
          <w:shd w:val="clear" w:color="auto" w:fill="FFFFFF"/>
          <w:lang w:val="es-ES_tradnl"/>
        </w:rPr>
        <w:t>de la Corte Constitucional”.</w:t>
      </w:r>
      <w:r w:rsidR="007E6D52" w:rsidRPr="0078289D">
        <w:rPr>
          <w:sz w:val="28"/>
          <w:szCs w:val="28"/>
          <w:vertAlign w:val="superscript"/>
          <w:lang w:val="es-ES_tradnl"/>
        </w:rPr>
        <w:t xml:space="preserve"> </w:t>
      </w:r>
      <w:r w:rsidR="007E6D52" w:rsidRPr="0078289D">
        <w:rPr>
          <w:sz w:val="28"/>
          <w:szCs w:val="28"/>
          <w:vertAlign w:val="superscript"/>
          <w:lang w:val="es-ES_tradnl"/>
        </w:rPr>
        <w:footnoteReference w:id="56"/>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i/>
          <w:sz w:val="28"/>
          <w:szCs w:val="28"/>
          <w:bdr w:val="none" w:sz="0" w:space="0" w:color="auto" w:frame="1"/>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lang w:val="es-ES_tradnl"/>
        </w:rPr>
        <w:t>43</w:t>
      </w:r>
      <w:r w:rsidR="00E277FE" w:rsidRPr="0078289D">
        <w:rPr>
          <w:sz w:val="28"/>
          <w:szCs w:val="28"/>
          <w:lang w:val="es-ES_tradnl"/>
        </w:rPr>
        <w:t xml:space="preserve">. </w:t>
      </w:r>
      <w:r w:rsidR="00840465" w:rsidRPr="0078289D">
        <w:rPr>
          <w:sz w:val="28"/>
          <w:szCs w:val="28"/>
          <w:lang w:val="es-ES_tradnl"/>
        </w:rPr>
        <w:t>Ahora bien, el ordenamiento jurídico colombiano reconoció el derecho a la restitución como un componente fundamental de los derechos a la verdad, justicia y reparación integral de las víctimas, y especialmente, de aquéllas que soportaron las consecuencias del conflicto armado interno al haber sido despojadas de sus predios.</w:t>
      </w:r>
      <w:r w:rsidR="00840465" w:rsidRPr="0078289D">
        <w:rPr>
          <w:rFonts w:eastAsia="Times New Roman"/>
          <w:sz w:val="28"/>
          <w:szCs w:val="28"/>
          <w:u w:color="0000FF"/>
          <w:lang w:val="es-ES_tradnl"/>
        </w:rPr>
        <w:t xml:space="preserve"> En consecuencia, la</w:t>
      </w:r>
      <w:r w:rsidR="00840465" w:rsidRPr="0078289D">
        <w:rPr>
          <w:sz w:val="28"/>
          <w:szCs w:val="28"/>
          <w:bdr w:val="none" w:sz="0" w:space="0" w:color="auto" w:frame="1"/>
          <w:lang w:val="es-ES_tradnl"/>
        </w:rPr>
        <w:t xml:space="preserve"> Ley 1448 de 2011 desarrolló el marco general de protección del derecho fundamental de las víctimas a la restitución, de acuerdo con los parámetros establecidos por los instrumentos internacionales sobre la materia, como es el caso de los Principios Pinheiro.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bdr w:val="none" w:sz="0" w:space="0" w:color="auto" w:frame="1"/>
          <w:lang w:val="es-ES_tradnl"/>
        </w:rPr>
        <w:t xml:space="preserve">De esta manera, la Ley 1448 de 2011 es el resultado de la codificación de una serie de principios previamente aceptados tanto por la comunidad internacional como por la misma Corte Constitucional, corporación que los integró al sistema normativo colombiano como parte del bloque de constitucionalidad en sentido lato. Por ello, pese a que la discrepancia entre una norma de rango legal y los Principios Pinheiro no implica necesariamente su inconstitucionalidad, éstos constituyen un criterio de interpretación para la Corte, toda vez que brindan el alcance del derecho fundamental a la restitución e imponen una serie de obligaciones a cargo de las autoridades públicas con el fin de garantizar el derecho a la reparación de las víctimas.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r w:rsidRPr="0078289D">
        <w:rPr>
          <w:sz w:val="28"/>
          <w:szCs w:val="28"/>
          <w:lang w:val="es-ES_tradnl"/>
        </w:rPr>
        <w:t>44</w:t>
      </w:r>
      <w:r w:rsidR="00E277FE" w:rsidRPr="0078289D">
        <w:rPr>
          <w:sz w:val="28"/>
          <w:szCs w:val="28"/>
          <w:lang w:val="es-ES_tradnl"/>
        </w:rPr>
        <w:t xml:space="preserve">. </w:t>
      </w:r>
      <w:r w:rsidR="00840465" w:rsidRPr="0078289D">
        <w:rPr>
          <w:sz w:val="28"/>
          <w:szCs w:val="28"/>
          <w:lang w:val="es-ES_tradnl"/>
        </w:rPr>
        <w:t xml:space="preserve">En conclusión, las directrices contenidas en los Principios Pinheiro imponen un deber en materia de restitución a cargo del Estado, el cual ha sido reconocido como prevalente tanto en el derecho internacional como en el derecho interno, a través de la Ley 1448 de 2011 y de la jurisprudencia de la Corte Constitucional. Por lo tanto, el establecimiento de una excepción al deber de restituir, como sucede en el caso analizado, deberá obedecer a un principio de razón suficiente.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r w:rsidRPr="0078289D">
        <w:rPr>
          <w:sz w:val="28"/>
          <w:szCs w:val="28"/>
          <w:lang w:val="es-ES_tradnl"/>
        </w:rPr>
        <w:t>45</w:t>
      </w:r>
      <w:r w:rsidR="00E277FE" w:rsidRPr="0078289D">
        <w:rPr>
          <w:sz w:val="28"/>
          <w:szCs w:val="28"/>
          <w:lang w:val="es-ES_tradnl"/>
        </w:rPr>
        <w:t xml:space="preserve">. </w:t>
      </w:r>
      <w:r w:rsidR="00E62818" w:rsidRPr="0078289D">
        <w:rPr>
          <w:sz w:val="28"/>
          <w:szCs w:val="28"/>
          <w:lang w:val="es-ES_tradnl"/>
        </w:rPr>
        <w:t>Teniendo en cuenta el alcance de la disposición demandada</w:t>
      </w:r>
      <w:r w:rsidR="00840465" w:rsidRPr="0078289D">
        <w:rPr>
          <w:sz w:val="28"/>
          <w:szCs w:val="28"/>
          <w:lang w:val="es-ES_tradnl"/>
        </w:rPr>
        <w:t>,</w:t>
      </w:r>
      <w:r w:rsidR="00E62818" w:rsidRPr="0078289D">
        <w:rPr>
          <w:sz w:val="28"/>
          <w:szCs w:val="28"/>
          <w:lang w:val="es-ES_tradnl"/>
        </w:rPr>
        <w:t xml:space="preserve"> los cargos de inconstitucionalidad planteados y las intervenciones,</w:t>
      </w:r>
      <w:r w:rsidR="00840465" w:rsidRPr="0078289D">
        <w:rPr>
          <w:sz w:val="28"/>
          <w:szCs w:val="28"/>
          <w:lang w:val="es-ES_tradnl"/>
        </w:rPr>
        <w:t xml:space="preserve"> la Corte deberá responder el siguiente problema jurídico:</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lastRenderedPageBreak/>
        <w:t>¿Una ley que adiciona como imposibilidad jurídica de restitución el hecho de que en los predios se desarrollen proyectos de interés estratégico nacional vulnera el carácter preferente de la restitución y el derecho a la igualdad de las víctimas?</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bdr w:val="none" w:sz="0" w:space="0" w:color="auto" w:frame="1"/>
          <w:lang w:val="es-ES_tradnl"/>
        </w:rPr>
        <w:t>Para resolver el anterior problema jurídico, la Corte abordará los siguientes temas:</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DD158D" w:rsidRPr="0078289D" w:rsidRDefault="00847C85" w:rsidP="0078289D">
      <w:pPr>
        <w:pStyle w:val="Prrafodelista"/>
        <w:widowControl w:val="0"/>
        <w:numPr>
          <w:ilvl w:val="0"/>
          <w:numId w:val="5"/>
        </w:numPr>
        <w:pBdr>
          <w:top w:val="none" w:sz="0" w:space="0" w:color="auto"/>
          <w:left w:val="none" w:sz="0" w:space="0" w:color="auto"/>
          <w:bottom w:val="none" w:sz="0" w:space="0" w:color="auto"/>
          <w:right w:val="none" w:sz="0" w:space="0" w:color="auto"/>
        </w:pBdr>
        <w:autoSpaceDE w:val="0"/>
        <w:autoSpaceDN w:val="0"/>
        <w:adjustRightInd w:val="0"/>
        <w:contextualSpacing/>
        <w:jc w:val="both"/>
        <w:rPr>
          <w:rFonts w:hAnsi="Times New Roman" w:cs="Times New Roman"/>
          <w:sz w:val="28"/>
          <w:szCs w:val="28"/>
          <w:bdr w:val="none" w:sz="0" w:space="0" w:color="auto" w:frame="1"/>
        </w:rPr>
      </w:pPr>
      <w:r w:rsidRPr="0078289D">
        <w:rPr>
          <w:rFonts w:hAnsi="Times New Roman" w:cs="Times New Roman"/>
          <w:sz w:val="28"/>
          <w:szCs w:val="28"/>
          <w:bdr w:val="none" w:sz="0" w:space="0" w:color="auto" w:frame="1"/>
        </w:rPr>
        <w:t>L</w:t>
      </w:r>
      <w:r w:rsidR="00D04FD3" w:rsidRPr="0078289D">
        <w:rPr>
          <w:rFonts w:hAnsi="Times New Roman" w:cs="Times New Roman"/>
          <w:sz w:val="28"/>
          <w:szCs w:val="28"/>
          <w:bdr w:val="none" w:sz="0" w:space="0" w:color="auto" w:frame="1"/>
        </w:rPr>
        <w:t>os l</w:t>
      </w:r>
      <w:r w:rsidRPr="0078289D">
        <w:rPr>
          <w:rFonts w:hAnsi="Times New Roman" w:cs="Times New Roman"/>
          <w:sz w:val="28"/>
          <w:szCs w:val="28"/>
          <w:bdr w:val="none" w:sz="0" w:space="0" w:color="auto" w:frame="1"/>
        </w:rPr>
        <w:t>ímites constitucionales del</w:t>
      </w:r>
      <w:r w:rsidR="00840465" w:rsidRPr="0078289D">
        <w:rPr>
          <w:rFonts w:hAnsi="Times New Roman" w:cs="Times New Roman"/>
          <w:sz w:val="28"/>
          <w:szCs w:val="28"/>
          <w:bdr w:val="none" w:sz="0" w:space="0" w:color="auto" w:frame="1"/>
        </w:rPr>
        <w:t xml:space="preserve"> derecho de propiedad </w:t>
      </w:r>
    </w:p>
    <w:p w:rsidR="00840465" w:rsidRPr="0078289D" w:rsidRDefault="00DD158D" w:rsidP="0078289D">
      <w:pPr>
        <w:pStyle w:val="Prrafodelista"/>
        <w:widowControl w:val="0"/>
        <w:numPr>
          <w:ilvl w:val="0"/>
          <w:numId w:val="5"/>
        </w:numPr>
        <w:pBdr>
          <w:top w:val="none" w:sz="0" w:space="0" w:color="auto"/>
          <w:left w:val="none" w:sz="0" w:space="0" w:color="auto"/>
          <w:bottom w:val="none" w:sz="0" w:space="0" w:color="auto"/>
          <w:right w:val="none" w:sz="0" w:space="0" w:color="auto"/>
        </w:pBdr>
        <w:autoSpaceDE w:val="0"/>
        <w:autoSpaceDN w:val="0"/>
        <w:adjustRightInd w:val="0"/>
        <w:contextualSpacing/>
        <w:jc w:val="both"/>
        <w:rPr>
          <w:rFonts w:hAnsi="Times New Roman" w:cs="Times New Roman"/>
          <w:sz w:val="28"/>
          <w:szCs w:val="28"/>
          <w:bdr w:val="none" w:sz="0" w:space="0" w:color="auto" w:frame="1"/>
        </w:rPr>
      </w:pPr>
      <w:r w:rsidRPr="0078289D">
        <w:rPr>
          <w:rFonts w:hAnsi="Times New Roman" w:cs="Times New Roman"/>
          <w:sz w:val="28"/>
          <w:szCs w:val="28"/>
          <w:bdr w:val="none" w:sz="0" w:space="0" w:color="auto" w:frame="1"/>
        </w:rPr>
        <w:t>La</w:t>
      </w:r>
      <w:r w:rsidR="00D04FD3" w:rsidRPr="0078289D">
        <w:rPr>
          <w:rFonts w:hAnsi="Times New Roman" w:cs="Times New Roman"/>
          <w:sz w:val="28"/>
          <w:szCs w:val="28"/>
          <w:bdr w:val="none" w:sz="0" w:space="0" w:color="auto" w:frame="1"/>
        </w:rPr>
        <w:t xml:space="preserve"> </w:t>
      </w:r>
      <w:r w:rsidR="00847C85" w:rsidRPr="0078289D">
        <w:rPr>
          <w:rFonts w:hAnsi="Times New Roman" w:cs="Times New Roman"/>
          <w:sz w:val="28"/>
          <w:szCs w:val="28"/>
          <w:bdr w:val="none" w:sz="0" w:space="0" w:color="auto" w:frame="1"/>
        </w:rPr>
        <w:t xml:space="preserve">protección reforzada </w:t>
      </w:r>
      <w:r w:rsidRPr="0078289D">
        <w:rPr>
          <w:rFonts w:hAnsi="Times New Roman" w:cs="Times New Roman"/>
          <w:sz w:val="28"/>
          <w:szCs w:val="28"/>
          <w:bdr w:val="none" w:sz="0" w:space="0" w:color="auto" w:frame="1"/>
        </w:rPr>
        <w:t xml:space="preserve">de la propiedad </w:t>
      </w:r>
      <w:r w:rsidR="00D670D0" w:rsidRPr="0078289D">
        <w:rPr>
          <w:rFonts w:hAnsi="Times New Roman" w:cs="Times New Roman"/>
          <w:sz w:val="28"/>
          <w:szCs w:val="28"/>
          <w:bdr w:val="none" w:sz="0" w:space="0" w:color="auto" w:frame="1"/>
        </w:rPr>
        <w:t>frente</w:t>
      </w:r>
      <w:r w:rsidR="00847C85" w:rsidRPr="0078289D">
        <w:rPr>
          <w:rFonts w:hAnsi="Times New Roman" w:cs="Times New Roman"/>
          <w:sz w:val="28"/>
          <w:szCs w:val="28"/>
          <w:bdr w:val="none" w:sz="0" w:space="0" w:color="auto" w:frame="1"/>
        </w:rPr>
        <w:t xml:space="preserve"> </w:t>
      </w:r>
      <w:r w:rsidR="00D670D0" w:rsidRPr="0078289D">
        <w:rPr>
          <w:rFonts w:hAnsi="Times New Roman" w:cs="Times New Roman"/>
          <w:sz w:val="28"/>
          <w:szCs w:val="28"/>
          <w:bdr w:val="none" w:sz="0" w:space="0" w:color="auto" w:frame="1"/>
        </w:rPr>
        <w:t xml:space="preserve">al derecho </w:t>
      </w:r>
      <w:r w:rsidRPr="0078289D">
        <w:rPr>
          <w:rFonts w:hAnsi="Times New Roman" w:cs="Times New Roman"/>
          <w:sz w:val="28"/>
          <w:szCs w:val="28"/>
          <w:bdr w:val="none" w:sz="0" w:space="0" w:color="auto" w:frame="1"/>
        </w:rPr>
        <w:t xml:space="preserve">fundamental </w:t>
      </w:r>
      <w:r w:rsidR="00D670D0" w:rsidRPr="0078289D">
        <w:rPr>
          <w:rFonts w:hAnsi="Times New Roman" w:cs="Times New Roman"/>
          <w:sz w:val="28"/>
          <w:szCs w:val="28"/>
          <w:bdr w:val="none" w:sz="0" w:space="0" w:color="auto" w:frame="1"/>
        </w:rPr>
        <w:t>a la r</w:t>
      </w:r>
      <w:r w:rsidR="00840465" w:rsidRPr="0078289D">
        <w:rPr>
          <w:rFonts w:hAnsi="Times New Roman" w:cs="Times New Roman"/>
          <w:sz w:val="28"/>
          <w:szCs w:val="28"/>
          <w:bdr w:val="none" w:sz="0" w:space="0" w:color="auto" w:frame="1"/>
        </w:rPr>
        <w:t>estitución de las víctimas</w:t>
      </w:r>
      <w:r w:rsidR="00D670D0" w:rsidRPr="0078289D">
        <w:rPr>
          <w:rFonts w:hAnsi="Times New Roman" w:cs="Times New Roman"/>
          <w:sz w:val="28"/>
          <w:szCs w:val="28"/>
          <w:bdr w:val="none" w:sz="0" w:space="0" w:color="auto" w:frame="1"/>
        </w:rPr>
        <w:t xml:space="preserve"> del conflicto armado</w:t>
      </w:r>
    </w:p>
    <w:p w:rsidR="00840465" w:rsidRPr="0078289D" w:rsidRDefault="00D670D0" w:rsidP="0078289D">
      <w:pPr>
        <w:pStyle w:val="Prrafodelista"/>
        <w:widowControl w:val="0"/>
        <w:numPr>
          <w:ilvl w:val="0"/>
          <w:numId w:val="5"/>
        </w:numPr>
        <w:pBdr>
          <w:top w:val="none" w:sz="0" w:space="0" w:color="auto"/>
          <w:left w:val="none" w:sz="0" w:space="0" w:color="auto"/>
          <w:bottom w:val="none" w:sz="0" w:space="0" w:color="auto"/>
          <w:right w:val="none" w:sz="0" w:space="0" w:color="auto"/>
        </w:pBdr>
        <w:autoSpaceDE w:val="0"/>
        <w:autoSpaceDN w:val="0"/>
        <w:adjustRightInd w:val="0"/>
        <w:contextualSpacing/>
        <w:jc w:val="both"/>
        <w:rPr>
          <w:rFonts w:hAnsi="Times New Roman" w:cs="Times New Roman"/>
          <w:sz w:val="28"/>
          <w:szCs w:val="28"/>
          <w:bdr w:val="none" w:sz="0" w:space="0" w:color="auto" w:frame="1"/>
        </w:rPr>
      </w:pPr>
      <w:r w:rsidRPr="0078289D">
        <w:rPr>
          <w:rFonts w:hAnsi="Times New Roman" w:cs="Times New Roman"/>
          <w:sz w:val="28"/>
          <w:szCs w:val="28"/>
          <w:bdr w:val="none" w:sz="0" w:space="0" w:color="auto" w:frame="1"/>
        </w:rPr>
        <w:t>Garantías de</w:t>
      </w:r>
      <w:r w:rsidR="00840465" w:rsidRPr="0078289D">
        <w:rPr>
          <w:rFonts w:hAnsi="Times New Roman" w:cs="Times New Roman"/>
          <w:sz w:val="28"/>
          <w:szCs w:val="28"/>
          <w:bdr w:val="none" w:sz="0" w:space="0" w:color="auto" w:frame="1"/>
        </w:rPr>
        <w:t>l</w:t>
      </w:r>
      <w:r w:rsidRPr="0078289D">
        <w:rPr>
          <w:rFonts w:hAnsi="Times New Roman" w:cs="Times New Roman"/>
          <w:sz w:val="28"/>
          <w:szCs w:val="28"/>
          <w:bdr w:val="none" w:sz="0" w:space="0" w:color="auto" w:frame="1"/>
        </w:rPr>
        <w:t xml:space="preserve"> procedimiento de expropiación</w:t>
      </w:r>
    </w:p>
    <w:p w:rsidR="00840465" w:rsidRPr="0078289D" w:rsidRDefault="00D670D0" w:rsidP="0078289D">
      <w:pPr>
        <w:pStyle w:val="Prrafodelista"/>
        <w:widowControl w:val="0"/>
        <w:numPr>
          <w:ilvl w:val="0"/>
          <w:numId w:val="5"/>
        </w:numPr>
        <w:pBdr>
          <w:top w:val="none" w:sz="0" w:space="0" w:color="auto"/>
          <w:left w:val="none" w:sz="0" w:space="0" w:color="auto"/>
          <w:bottom w:val="none" w:sz="0" w:space="0" w:color="auto"/>
          <w:right w:val="none" w:sz="0" w:space="0" w:color="auto"/>
        </w:pBdr>
        <w:autoSpaceDE w:val="0"/>
        <w:autoSpaceDN w:val="0"/>
        <w:adjustRightInd w:val="0"/>
        <w:contextualSpacing/>
        <w:jc w:val="both"/>
        <w:rPr>
          <w:rFonts w:hAnsi="Times New Roman" w:cs="Times New Roman"/>
          <w:sz w:val="28"/>
          <w:szCs w:val="28"/>
          <w:bdr w:val="none" w:sz="0" w:space="0" w:color="auto" w:frame="1"/>
        </w:rPr>
      </w:pPr>
      <w:r w:rsidRPr="0078289D">
        <w:rPr>
          <w:rFonts w:hAnsi="Times New Roman" w:cs="Times New Roman"/>
          <w:sz w:val="28"/>
          <w:szCs w:val="28"/>
          <w:bdr w:val="none" w:sz="0" w:space="0" w:color="auto" w:frame="1"/>
        </w:rPr>
        <w:t>Análisis del derecho a la igualdad</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840465" w:rsidRPr="0078289D" w:rsidRDefault="00D04F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b/>
          <w:i/>
          <w:sz w:val="28"/>
          <w:szCs w:val="28"/>
          <w:bdr w:val="none" w:sz="0" w:space="0" w:color="auto" w:frame="1"/>
          <w:lang w:val="es-US"/>
        </w:rPr>
      </w:pPr>
      <w:r w:rsidRPr="0078289D">
        <w:rPr>
          <w:b/>
          <w:i/>
          <w:sz w:val="28"/>
          <w:szCs w:val="28"/>
          <w:bdr w:val="none" w:sz="0" w:space="0" w:color="auto" w:frame="1"/>
          <w:lang w:val="es-US"/>
        </w:rPr>
        <w:t xml:space="preserve">Los límites constitucionales del derecho de propiedad </w:t>
      </w:r>
    </w:p>
    <w:p w:rsidR="00D04FD3" w:rsidRPr="0078289D" w:rsidRDefault="00D04F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bdr w:val="none" w:sz="0" w:space="0" w:color="auto" w:frame="1"/>
          <w:lang w:val="es-ES_tradnl"/>
        </w:rPr>
        <w:t>46</w:t>
      </w:r>
      <w:r w:rsidR="00E277FE" w:rsidRPr="0078289D">
        <w:rPr>
          <w:sz w:val="28"/>
          <w:szCs w:val="28"/>
          <w:bdr w:val="none" w:sz="0" w:space="0" w:color="auto" w:frame="1"/>
          <w:lang w:val="es-ES_tradnl"/>
        </w:rPr>
        <w:t xml:space="preserve">. </w:t>
      </w:r>
      <w:r w:rsidR="00840465" w:rsidRPr="0078289D">
        <w:rPr>
          <w:sz w:val="28"/>
          <w:szCs w:val="28"/>
          <w:bdr w:val="none" w:sz="0" w:space="0" w:color="auto" w:frame="1"/>
          <w:lang w:val="es-ES_tradnl"/>
        </w:rPr>
        <w:t xml:space="preserve">Para entender el alcance del cargo formulado por los accionantes, y determinar si existe una vulneración de los derechos </w:t>
      </w:r>
      <w:r w:rsidR="003262A9" w:rsidRPr="0078289D">
        <w:rPr>
          <w:sz w:val="28"/>
          <w:szCs w:val="28"/>
          <w:bdr w:val="none" w:sz="0" w:space="0" w:color="auto" w:frame="1"/>
          <w:lang w:val="es-ES_tradnl"/>
        </w:rPr>
        <w:t>de las víctimas del conflicto armado</w:t>
      </w:r>
      <w:r w:rsidR="00840465" w:rsidRPr="0078289D">
        <w:rPr>
          <w:sz w:val="28"/>
          <w:szCs w:val="28"/>
          <w:bdr w:val="none" w:sz="0" w:space="0" w:color="auto" w:frame="1"/>
          <w:lang w:val="es-ES_tradnl"/>
        </w:rPr>
        <w:t>, y particularmente, del de</w:t>
      </w:r>
      <w:r w:rsidR="003262A9" w:rsidRPr="0078289D">
        <w:rPr>
          <w:sz w:val="28"/>
          <w:szCs w:val="28"/>
          <w:bdr w:val="none" w:sz="0" w:space="0" w:color="auto" w:frame="1"/>
          <w:lang w:val="es-ES_tradnl"/>
        </w:rPr>
        <w:t>recho a la</w:t>
      </w:r>
      <w:r w:rsidR="00840465" w:rsidRPr="0078289D">
        <w:rPr>
          <w:sz w:val="28"/>
          <w:szCs w:val="28"/>
          <w:bdr w:val="none" w:sz="0" w:space="0" w:color="auto" w:frame="1"/>
          <w:lang w:val="es-ES_tradnl"/>
        </w:rPr>
        <w:t xml:space="preserve"> igualdad, la Corte Constitucional deberá indagar cuál sería el procedimiento que la Administración tendría que adelantar en caso de que la norma jurídica acusada no hubiese sido proferida. Es decir, deberá analizar el escenario de actuación de la Administración si no se hubiese previsto la imposibilidad jurídica de restituir y, a su vez, la procedencia de la compensación como primera medida de reparación a las víctimas del conflicto armado cuando en el predio del que fueron despojadas se ejecute un proyecto PINE.</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840465" w:rsidRPr="0078289D" w:rsidRDefault="00E744D3"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bdr w:val="none" w:sz="0" w:space="0" w:color="auto" w:frame="1"/>
          <w:lang w:val="es-ES_tradnl"/>
        </w:rPr>
        <w:t>47</w:t>
      </w:r>
      <w:r w:rsidR="00E277FE" w:rsidRPr="0078289D">
        <w:rPr>
          <w:sz w:val="28"/>
          <w:szCs w:val="28"/>
          <w:bdr w:val="none" w:sz="0" w:space="0" w:color="auto" w:frame="1"/>
          <w:lang w:val="es-ES_tradnl"/>
        </w:rPr>
        <w:t xml:space="preserve">. </w:t>
      </w:r>
      <w:r w:rsidR="00840465" w:rsidRPr="0078289D">
        <w:rPr>
          <w:sz w:val="28"/>
          <w:szCs w:val="28"/>
          <w:bdr w:val="none" w:sz="0" w:space="0" w:color="auto" w:frame="1"/>
          <w:lang w:val="es-ES_tradnl"/>
        </w:rPr>
        <w:t xml:space="preserve">En primer lugar, es menester advertir que </w:t>
      </w:r>
      <w:r w:rsidR="00840465" w:rsidRPr="0078289D">
        <w:rPr>
          <w:rFonts w:eastAsia="Times New Roman"/>
          <w:sz w:val="28"/>
          <w:szCs w:val="28"/>
          <w:lang w:val="es-ES_tradnl" w:eastAsia="es-CO"/>
        </w:rPr>
        <w:t xml:space="preserve">el artículo 58 de la Constitución Política consagra el derecho de dominio en favor de los particulares. La mencionada norma garantiza tanto la propiedad privada, como los demás derechos adquiridos con arreglo a las leyes civiles, los cuales no pueden ser pretermitidos por la expedición de leyes posteriores. No obstante, la norma señala que el derecho de propiedad no tiene un carácter absoluto, toda vez que le es asignada una función social. </w:t>
      </w:r>
      <w:r w:rsidR="00EE3A54" w:rsidRPr="0078289D">
        <w:rPr>
          <w:rFonts w:eastAsia="Times New Roman"/>
          <w:sz w:val="28"/>
          <w:szCs w:val="28"/>
          <w:lang w:val="es-ES_tradnl" w:eastAsia="es-CO"/>
        </w:rPr>
        <w:t>Así mismo</w:t>
      </w:r>
      <w:r w:rsidR="00840465" w:rsidRPr="0078289D">
        <w:rPr>
          <w:rFonts w:eastAsia="Times New Roman"/>
          <w:sz w:val="28"/>
          <w:szCs w:val="28"/>
          <w:lang w:val="es-ES_tradnl" w:eastAsia="es-CO"/>
        </w:rPr>
        <w:t>, el  primer inciso del artículo 58 contempla expresamente que el interés privado deberá ceder ante el interés público o social</w:t>
      </w:r>
      <w:r w:rsidR="00615240" w:rsidRPr="0078289D">
        <w:rPr>
          <w:rFonts w:eastAsia="Times New Roman"/>
          <w:sz w:val="28"/>
          <w:szCs w:val="28"/>
          <w:lang w:val="es-ES_tradnl" w:eastAsia="es-CO"/>
        </w:rPr>
        <w:t>. Sin embargo, a pesar de que el artículo</w:t>
      </w:r>
      <w:r w:rsidR="009B4D30" w:rsidRPr="0078289D">
        <w:rPr>
          <w:rFonts w:eastAsia="Times New Roman"/>
          <w:sz w:val="28"/>
          <w:szCs w:val="28"/>
          <w:lang w:val="es-ES_tradnl" w:eastAsia="es-CO"/>
        </w:rPr>
        <w:t xml:space="preserve"> 58 establece explícitamente el carácter limitado del derecho de propiedad, </w:t>
      </w:r>
      <w:r w:rsidR="00615240" w:rsidRPr="0078289D">
        <w:rPr>
          <w:rFonts w:eastAsia="Times New Roman"/>
          <w:sz w:val="28"/>
          <w:szCs w:val="28"/>
          <w:lang w:val="es-ES_tradnl" w:eastAsia="es-CO"/>
        </w:rPr>
        <w:t>esta disposición contiene un conjunto de garantías encaminadas a proteger</w:t>
      </w:r>
      <w:r w:rsidR="009B4D30" w:rsidRPr="0078289D">
        <w:rPr>
          <w:rFonts w:eastAsia="Times New Roman"/>
          <w:sz w:val="28"/>
          <w:szCs w:val="28"/>
          <w:lang w:val="es-ES_tradnl" w:eastAsia="es-CO"/>
        </w:rPr>
        <w:t>lo</w:t>
      </w:r>
      <w:r w:rsidR="00615240" w:rsidRPr="0078289D">
        <w:rPr>
          <w:rFonts w:eastAsia="Times New Roman"/>
          <w:sz w:val="28"/>
          <w:szCs w:val="28"/>
          <w:lang w:val="es-ES_tradnl" w:eastAsia="es-CO"/>
        </w:rPr>
        <w:t xml:space="preserve"> frente a la acción del legislador y de la administración, </w:t>
      </w:r>
      <w:r w:rsidR="009B4D30" w:rsidRPr="0078289D">
        <w:rPr>
          <w:rFonts w:eastAsia="Times New Roman"/>
          <w:sz w:val="28"/>
          <w:szCs w:val="28"/>
          <w:lang w:val="es-ES_tradnl" w:eastAsia="es-CO"/>
        </w:rPr>
        <w:t>precisamente</w:t>
      </w:r>
      <w:r w:rsidR="00615240" w:rsidRPr="0078289D">
        <w:rPr>
          <w:rFonts w:eastAsia="Times New Roman"/>
          <w:sz w:val="28"/>
          <w:szCs w:val="28"/>
          <w:lang w:val="es-ES_tradnl" w:eastAsia="es-CO"/>
        </w:rPr>
        <w:t>, en los casos de expropiación</w:t>
      </w:r>
      <w:r w:rsidR="00840465" w:rsidRPr="0078289D">
        <w:rPr>
          <w:rFonts w:eastAsia="Times New Roman"/>
          <w:sz w:val="28"/>
          <w:szCs w:val="28"/>
          <w:lang w:val="es-ES_tradnl" w:eastAsia="es-CO"/>
        </w:rPr>
        <w:t>:</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rPr>
          <w:rFonts w:eastAsia="Times New Roman"/>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i/>
          <w:sz w:val="28"/>
          <w:szCs w:val="28"/>
          <w:u w:color="000000"/>
          <w:lang w:val="es-ES_tradnl" w:eastAsia="es-ES"/>
        </w:rPr>
      </w:pPr>
      <w:r w:rsidRPr="0078289D">
        <w:rPr>
          <w:bCs/>
          <w:i/>
          <w:sz w:val="28"/>
          <w:szCs w:val="28"/>
          <w:u w:color="000000"/>
          <w:lang w:val="es-ES_tradnl" w:eastAsia="es-ES"/>
        </w:rPr>
        <w:t>“ARTICULO </w:t>
      </w:r>
      <w:bookmarkStart w:id="7" w:name="58"/>
      <w:bookmarkEnd w:id="7"/>
      <w:r w:rsidRPr="0078289D">
        <w:rPr>
          <w:bCs/>
          <w:i/>
          <w:sz w:val="28"/>
          <w:szCs w:val="28"/>
          <w:u w:color="000000"/>
          <w:lang w:val="es-ES_tradnl" w:eastAsia="es-ES"/>
        </w:rPr>
        <w:t> 58.</w:t>
      </w:r>
      <w:r w:rsidRPr="0078289D">
        <w:rPr>
          <w:rFonts w:eastAsia="Times New Roman"/>
          <w:bCs/>
          <w:i/>
          <w:sz w:val="28"/>
          <w:szCs w:val="28"/>
          <w:u w:color="000000"/>
          <w:lang w:val="es-ES_tradnl" w:eastAsia="es-ES"/>
        </w:rPr>
        <w:t> </w:t>
      </w:r>
      <w:r w:rsidRPr="0078289D">
        <w:rPr>
          <w:i/>
          <w:sz w:val="28"/>
          <w:szCs w:val="28"/>
          <w:u w:color="000000"/>
          <w:lang w:val="es-ES_tradnl" w:eastAsia="es-ES"/>
        </w:rPr>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rsidR="00A012E1" w:rsidRPr="0078289D" w:rsidRDefault="00A012E1"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i/>
          <w:sz w:val="28"/>
          <w:szCs w:val="28"/>
          <w:u w:color="000000"/>
          <w:lang w:val="es-ES_tradnl" w:eastAsia="es-ES"/>
        </w:rPr>
      </w:pPr>
    </w:p>
    <w:p w:rsidR="00840465" w:rsidRPr="0078289D" w:rsidRDefault="00A012E1"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i/>
          <w:sz w:val="28"/>
          <w:szCs w:val="28"/>
          <w:u w:color="000000"/>
          <w:lang w:val="es-ES_tradnl" w:eastAsia="es-ES"/>
        </w:rPr>
      </w:pPr>
      <w:r w:rsidRPr="0078289D">
        <w:rPr>
          <w:i/>
          <w:sz w:val="28"/>
          <w:szCs w:val="28"/>
          <w:u w:color="000000"/>
          <w:lang w:val="es-ES_tradnl" w:eastAsia="es-ES"/>
        </w:rPr>
        <w:t>“</w:t>
      </w:r>
      <w:r w:rsidR="00840465" w:rsidRPr="0078289D">
        <w:rPr>
          <w:i/>
          <w:sz w:val="28"/>
          <w:szCs w:val="28"/>
          <w:u w:color="000000"/>
          <w:lang w:val="es-ES_tradnl" w:eastAsia="es-ES"/>
        </w:rPr>
        <w:t>La propiedad es una función social que implica obligaciones. Como tal, le es inherente una función ecológica.</w:t>
      </w:r>
    </w:p>
    <w:p w:rsidR="00A012E1" w:rsidRPr="0078289D" w:rsidRDefault="00A012E1"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i/>
          <w:sz w:val="28"/>
          <w:szCs w:val="28"/>
          <w:u w:color="000000"/>
          <w:lang w:val="es-ES_tradnl" w:eastAsia="es-ES"/>
        </w:rPr>
      </w:pPr>
    </w:p>
    <w:p w:rsidR="00840465" w:rsidRPr="0078289D" w:rsidRDefault="00A012E1"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i/>
          <w:sz w:val="28"/>
          <w:szCs w:val="28"/>
          <w:u w:color="000000"/>
          <w:lang w:val="es-ES_tradnl" w:eastAsia="es-ES"/>
        </w:rPr>
      </w:pPr>
      <w:r w:rsidRPr="0078289D">
        <w:rPr>
          <w:i/>
          <w:sz w:val="28"/>
          <w:szCs w:val="28"/>
          <w:u w:color="000000"/>
          <w:lang w:val="es-ES_tradnl" w:eastAsia="es-ES"/>
        </w:rPr>
        <w:t>“</w:t>
      </w:r>
      <w:r w:rsidR="00840465" w:rsidRPr="0078289D">
        <w:rPr>
          <w:i/>
          <w:sz w:val="28"/>
          <w:szCs w:val="28"/>
          <w:u w:color="000000"/>
          <w:lang w:val="es-ES_tradnl" w:eastAsia="es-ES"/>
        </w:rPr>
        <w:t>El Estado protegerá y promoverá las formas asociativas y solidarias de propiedad.</w:t>
      </w:r>
      <w:r w:rsidRPr="0078289D">
        <w:rPr>
          <w:i/>
          <w:sz w:val="28"/>
          <w:szCs w:val="28"/>
          <w:u w:color="000000"/>
          <w:lang w:val="es-ES_tradnl" w:eastAsia="es-ES"/>
        </w:rPr>
        <w:t>”</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FA11A5" w:rsidRPr="0078289D" w:rsidRDefault="00FA11A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r w:rsidRPr="0078289D">
        <w:rPr>
          <w:rFonts w:eastAsia="Times New Roman"/>
          <w:sz w:val="28"/>
          <w:szCs w:val="28"/>
          <w:lang w:val="es-ES_tradnl" w:eastAsia="es-CO"/>
        </w:rPr>
        <w:t>Así, en un pronunciamiento reciente en el que se analizó el alcance de la figura de l</w:t>
      </w:r>
      <w:r w:rsidR="00CE40FB" w:rsidRPr="0078289D">
        <w:rPr>
          <w:rFonts w:eastAsia="Times New Roman"/>
          <w:sz w:val="28"/>
          <w:szCs w:val="28"/>
          <w:lang w:val="es-ES_tradnl" w:eastAsia="es-CO"/>
        </w:rPr>
        <w:t>a</w:t>
      </w:r>
      <w:r w:rsidRPr="0078289D">
        <w:rPr>
          <w:rFonts w:eastAsia="Times New Roman"/>
          <w:sz w:val="28"/>
          <w:szCs w:val="28"/>
          <w:lang w:val="es-ES_tradnl" w:eastAsia="es-CO"/>
        </w:rPr>
        <w:t xml:space="preserve"> exp</w:t>
      </w:r>
      <w:r w:rsidR="003706DF" w:rsidRPr="0078289D">
        <w:rPr>
          <w:rFonts w:eastAsia="Times New Roman"/>
          <w:sz w:val="28"/>
          <w:szCs w:val="28"/>
          <w:lang w:val="es-ES_tradnl" w:eastAsia="es-CO"/>
        </w:rPr>
        <w:t>r</w:t>
      </w:r>
      <w:r w:rsidRPr="0078289D">
        <w:rPr>
          <w:rFonts w:eastAsia="Times New Roman"/>
          <w:sz w:val="28"/>
          <w:szCs w:val="28"/>
          <w:lang w:val="es-ES_tradnl" w:eastAsia="es-CO"/>
        </w:rPr>
        <w:t xml:space="preserve">opiación, </w:t>
      </w:r>
      <w:r w:rsidR="003706DF" w:rsidRPr="0078289D">
        <w:rPr>
          <w:rFonts w:eastAsia="Times New Roman"/>
          <w:sz w:val="28"/>
          <w:szCs w:val="28"/>
          <w:lang w:val="es-ES_tradnl" w:eastAsia="es-CO"/>
        </w:rPr>
        <w:t xml:space="preserve">la </w:t>
      </w:r>
      <w:r w:rsidR="003706DF" w:rsidRPr="0078289D">
        <w:rPr>
          <w:rFonts w:eastAsia="Times New Roman"/>
          <w:b/>
          <w:sz w:val="28"/>
          <w:szCs w:val="28"/>
          <w:lang w:val="es-ES_tradnl" w:eastAsia="es-CO"/>
        </w:rPr>
        <w:t>Sentencia C-750 de 2015</w:t>
      </w:r>
      <w:r w:rsidR="003706DF" w:rsidRPr="0078289D">
        <w:rPr>
          <w:rFonts w:eastAsia="Times New Roman"/>
          <w:sz w:val="28"/>
          <w:szCs w:val="28"/>
          <w:lang w:val="es-ES_tradnl" w:eastAsia="es-CO"/>
        </w:rPr>
        <w:t xml:space="preserve"> (M.P. Alberto Rojas Ríos), la Corte se refirió al derecho de propiedad de la siguiente manera:</w:t>
      </w:r>
    </w:p>
    <w:p w:rsidR="003706DF" w:rsidRPr="0078289D" w:rsidRDefault="003706DF"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B8262D" w:rsidRPr="0078289D" w:rsidRDefault="00B8262D" w:rsidP="0078289D">
      <w:pPr>
        <w:pBdr>
          <w:top w:val="none" w:sz="0" w:space="0" w:color="auto"/>
          <w:left w:val="none" w:sz="0" w:space="0" w:color="auto"/>
          <w:bottom w:val="none" w:sz="0" w:space="0" w:color="auto"/>
          <w:right w:val="none" w:sz="0" w:space="0" w:color="auto"/>
        </w:pBdr>
        <w:autoSpaceDE w:val="0"/>
        <w:autoSpaceDN w:val="0"/>
        <w:ind w:left="720"/>
        <w:jc w:val="both"/>
        <w:rPr>
          <w:bCs/>
          <w:sz w:val="28"/>
          <w:szCs w:val="28"/>
          <w:lang w:val="es-US"/>
        </w:rPr>
      </w:pPr>
      <w:r w:rsidRPr="0078289D">
        <w:rPr>
          <w:bCs/>
          <w:sz w:val="28"/>
          <w:szCs w:val="28"/>
          <w:lang w:val="es-US"/>
        </w:rPr>
        <w:t>“</w:t>
      </w:r>
      <w:r w:rsidRPr="0078289D">
        <w:rPr>
          <w:bCs/>
          <w:i/>
          <w:sz w:val="28"/>
          <w:szCs w:val="28"/>
          <w:lang w:val="es-US"/>
        </w:rPr>
        <w:t>El derecho de propiedad tiene reconocimiento en el artículo 58 de la Cara Política. El ordenamiento jurídico y la jurisprudencia de la Corte han reiterado los viejos atributos del derecho de dominio uso, gozo y disposición. Sin embargo, en virtud de la fórmula del Estado Social de Derecho, esa garantía perdió su carácter de intangible, de modo que la Carta Política restringió los poderes del propietario y los armonizó con los intereses de la comunidad y el principio de solidaridad. En esa labor, la Norma Superior previó la posibilidad de privar a una persona de su derecho de propiedad contra su voluntad, siempre que se observen varios requisitos señalados en ese mismo estatuto, condición que han sido concretadas por la jurisprudencia.</w:t>
      </w:r>
      <w:r w:rsidRPr="0078289D">
        <w:rPr>
          <w:bCs/>
          <w:sz w:val="28"/>
          <w:szCs w:val="28"/>
          <w:lang w:val="es-US"/>
        </w:rPr>
        <w:t>”</w:t>
      </w:r>
    </w:p>
    <w:p w:rsidR="008B409A" w:rsidRPr="0078289D" w:rsidRDefault="008B409A" w:rsidP="0078289D">
      <w:pPr>
        <w:pBdr>
          <w:top w:val="none" w:sz="0" w:space="0" w:color="auto"/>
          <w:left w:val="none" w:sz="0" w:space="0" w:color="auto"/>
          <w:bottom w:val="none" w:sz="0" w:space="0" w:color="auto"/>
          <w:right w:val="none" w:sz="0" w:space="0" w:color="auto"/>
        </w:pBdr>
        <w:autoSpaceDE w:val="0"/>
        <w:autoSpaceDN w:val="0"/>
        <w:ind w:left="720"/>
        <w:jc w:val="both"/>
        <w:rPr>
          <w:bCs/>
          <w:sz w:val="28"/>
          <w:szCs w:val="28"/>
          <w:lang w:val="es-US"/>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r w:rsidRPr="0078289D">
        <w:rPr>
          <w:rFonts w:eastAsia="Times New Roman"/>
          <w:sz w:val="28"/>
          <w:szCs w:val="28"/>
          <w:lang w:val="es-ES_tradnl" w:eastAsia="es-CO"/>
        </w:rPr>
        <w:t>48</w:t>
      </w:r>
      <w:r w:rsidR="00A012E1" w:rsidRPr="0078289D">
        <w:rPr>
          <w:rFonts w:eastAsia="Times New Roman"/>
          <w:sz w:val="28"/>
          <w:szCs w:val="28"/>
          <w:lang w:val="es-ES_tradnl" w:eastAsia="es-CO"/>
        </w:rPr>
        <w:t xml:space="preserve">. </w:t>
      </w:r>
      <w:r w:rsidR="00840465" w:rsidRPr="0078289D">
        <w:rPr>
          <w:rFonts w:eastAsia="Times New Roman"/>
          <w:sz w:val="28"/>
          <w:szCs w:val="28"/>
          <w:lang w:val="es-ES_tradnl" w:eastAsia="es-CO"/>
        </w:rPr>
        <w:t xml:space="preserve">Ahora bien, la Corte Constitucional en </w:t>
      </w:r>
      <w:r w:rsidR="00840465" w:rsidRPr="0078289D">
        <w:rPr>
          <w:rFonts w:eastAsia="Times New Roman"/>
          <w:b/>
          <w:sz w:val="28"/>
          <w:szCs w:val="28"/>
          <w:lang w:val="es-ES_tradnl" w:eastAsia="es-CO"/>
        </w:rPr>
        <w:t>Sentencia C-189 de 2006</w:t>
      </w:r>
      <w:r w:rsidR="00840465" w:rsidRPr="0078289D">
        <w:rPr>
          <w:rFonts w:eastAsia="Times New Roman"/>
          <w:sz w:val="28"/>
          <w:szCs w:val="28"/>
          <w:lang w:val="es-ES_tradnl" w:eastAsia="es-CO"/>
        </w:rPr>
        <w:t xml:space="preserve"> se refirió a las características del derecho de propiedad, e indicó que éste: i) es pleno, por cuanto le permite al titular ejercer una serie de atribuciones, únicamente limitadas por la ley, ii) es exclusivo, toda vez que el propietario puede oponerse a la intromisión de un tercero, iii) es perpetuo mientras persista el bien, y en principio, no se extingue por su falta de uso, iv) es autónomo, v) irrevocable, y vi) real, al otorgarse sobre una cosa, el cual debe ser respetado por todas las personas: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_tradnl" w:eastAsia="es-CO"/>
        </w:rPr>
      </w:pPr>
      <w:r w:rsidRPr="0078289D">
        <w:rPr>
          <w:rFonts w:eastAsia="Times New Roman"/>
          <w:i/>
          <w:sz w:val="28"/>
          <w:szCs w:val="28"/>
          <w:lang w:val="es-ES_tradnl" w:eastAsia="es-CO"/>
        </w:rPr>
        <w:t xml:space="preserve">“Al derecho de propiedad se le atribuyen varias características, entre las cuales, se pueden destacar las siguientes: (i) Es un derecho pleno porque le confiere a su titular un conjunto amplio de atribuciones que puede ejercer autónomamente dentro de los límites impuestos por el ordenamiento jurídico y los derechos ajenos; (ii) Es un derecho exclusivo en la medida en que, por regla general, el propietario puede oponerse a la intromisión de un tercero en su ejercicio; (iii) Es un derecho perpetuo en cuanto dura mientras persista el bien sobre el cual se incorpora el dominio, y además, no se extingue -en principio- por su falta de uso; (iv) Es un derecho autónomo al no depender su existencia de la continuidad de un derecho principal; (v) Es un derecho irrevocable, en el sentido de reconocer que su extinción o transmisión depende por lo general de la propia voluntad de su propietario y no de la realización de una causa extraña o del solo querer de un tercero, y finalmente; (vi) Es un derecho real teniendo en cuenta que se trata de un </w:t>
      </w:r>
      <w:r w:rsidRPr="0078289D">
        <w:rPr>
          <w:rFonts w:eastAsia="Times New Roman"/>
          <w:i/>
          <w:sz w:val="28"/>
          <w:szCs w:val="28"/>
          <w:lang w:val="es-ES_tradnl" w:eastAsia="es-CO"/>
        </w:rPr>
        <w:lastRenderedPageBreak/>
        <w:t>poder jurídico que se otorga sobre una cosa, con el deber correlativo de ser respetado por todas las personas”.</w:t>
      </w:r>
    </w:p>
    <w:p w:rsidR="00E664E4" w:rsidRPr="0078289D" w:rsidRDefault="00E664E4"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
          <w:bCs/>
          <w:i/>
          <w:sz w:val="28"/>
          <w:szCs w:val="28"/>
          <w:lang w:val="es-ES_tradnl" w:eastAsia="es-CO"/>
        </w:rPr>
      </w:pPr>
    </w:p>
    <w:p w:rsidR="00E459D8" w:rsidRPr="0078289D" w:rsidRDefault="00E459D8"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
          <w:bCs/>
          <w:i/>
          <w:sz w:val="28"/>
          <w:szCs w:val="28"/>
          <w:lang w:val="es-ES_tradnl" w:eastAsia="es-CO"/>
        </w:rPr>
      </w:pPr>
      <w:r w:rsidRPr="0078289D">
        <w:rPr>
          <w:rFonts w:eastAsia="Times New Roman"/>
          <w:b/>
          <w:bCs/>
          <w:i/>
          <w:sz w:val="28"/>
          <w:szCs w:val="28"/>
          <w:lang w:val="es-ES_tradnl" w:eastAsia="es-CO"/>
        </w:rPr>
        <w:t>El derecho fundamental a la reparación y el carácter reforzado de la protección al derecho de propiedad de la población víctima del conflicto armado</w:t>
      </w:r>
    </w:p>
    <w:p w:rsidR="00E459D8" w:rsidRPr="0078289D" w:rsidRDefault="00E459D8"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Cs/>
          <w:sz w:val="28"/>
          <w:szCs w:val="28"/>
          <w:lang w:val="es-ES_tradnl" w:eastAsia="es-CO"/>
        </w:rPr>
      </w:pPr>
    </w:p>
    <w:p w:rsidR="00B766F2"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Cs/>
          <w:sz w:val="28"/>
          <w:szCs w:val="28"/>
          <w:lang w:val="es-ES_tradnl" w:eastAsia="es-CO"/>
        </w:rPr>
      </w:pPr>
      <w:r w:rsidRPr="0078289D">
        <w:rPr>
          <w:rFonts w:eastAsia="Times New Roman"/>
          <w:bCs/>
          <w:sz w:val="28"/>
          <w:szCs w:val="28"/>
          <w:lang w:val="es-ES_tradnl" w:eastAsia="es-CO"/>
        </w:rPr>
        <w:t>49</w:t>
      </w:r>
      <w:r w:rsidR="00A012E1" w:rsidRPr="0078289D">
        <w:rPr>
          <w:rFonts w:eastAsia="Times New Roman"/>
          <w:bCs/>
          <w:sz w:val="28"/>
          <w:szCs w:val="28"/>
          <w:lang w:val="es-ES_tradnl" w:eastAsia="es-CO"/>
        </w:rPr>
        <w:t xml:space="preserve">. </w:t>
      </w:r>
      <w:r w:rsidR="00840465" w:rsidRPr="0078289D">
        <w:rPr>
          <w:rFonts w:eastAsia="Times New Roman"/>
          <w:bCs/>
          <w:sz w:val="28"/>
          <w:szCs w:val="28"/>
          <w:lang w:val="es-ES_tradnl" w:eastAsia="es-CO"/>
        </w:rPr>
        <w:t xml:space="preserve">De esta manera, se advierte que el derecho de dominio se encuentra garantizado en la Constitución Política en su artículo 58 como un derecho pleno, exclusivo, perpetuo, autónomo, irrevocable y de carácter real, que faculta a su titular a ejercer el uso y goce de la cosa, para efectos de obtener una utilidad económica de la misma. No obstante, la Corte Constitucional ha reconocido en múltiples oportunidades que </w:t>
      </w:r>
      <w:r w:rsidR="00391F80" w:rsidRPr="0078289D">
        <w:rPr>
          <w:rFonts w:eastAsia="Times New Roman"/>
          <w:bCs/>
          <w:sz w:val="28"/>
          <w:szCs w:val="28"/>
          <w:lang w:val="es-ES_tradnl" w:eastAsia="es-CO"/>
        </w:rPr>
        <w:t>la protección d</w:t>
      </w:r>
      <w:r w:rsidR="00840465" w:rsidRPr="0078289D">
        <w:rPr>
          <w:rFonts w:eastAsia="Times New Roman"/>
          <w:bCs/>
          <w:sz w:val="28"/>
          <w:szCs w:val="28"/>
          <w:lang w:val="es-ES_tradnl" w:eastAsia="es-CO"/>
        </w:rPr>
        <w:t xml:space="preserve">el derecho de propiedad adquiere un carácter reforzado cuando se trata de restitución a víctimas del conflicto. </w:t>
      </w:r>
    </w:p>
    <w:p w:rsidR="00B766F2" w:rsidRPr="0078289D" w:rsidRDefault="00B766F2"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Cs/>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bCs/>
          <w:sz w:val="28"/>
          <w:szCs w:val="28"/>
          <w:lang w:val="es-ES_tradnl" w:eastAsia="es-CO"/>
        </w:rPr>
        <w:t xml:space="preserve">En este sentido, en la </w:t>
      </w:r>
      <w:r w:rsidRPr="0078289D">
        <w:rPr>
          <w:rFonts w:eastAsia="Times New Roman"/>
          <w:b/>
          <w:bCs/>
          <w:sz w:val="28"/>
          <w:szCs w:val="28"/>
          <w:lang w:val="es-ES_tradnl" w:eastAsia="es-CO"/>
        </w:rPr>
        <w:t>Sentencia T-821 de 2007</w:t>
      </w:r>
      <w:r w:rsidRPr="0078289D">
        <w:rPr>
          <w:rFonts w:eastAsia="Times New Roman"/>
          <w:bCs/>
          <w:sz w:val="28"/>
          <w:szCs w:val="28"/>
          <w:lang w:val="es-ES_tradnl" w:eastAsia="es-CO"/>
        </w:rPr>
        <w:t xml:space="preserve"> </w:t>
      </w:r>
      <w:r w:rsidR="00DC790F" w:rsidRPr="0078289D">
        <w:rPr>
          <w:rFonts w:eastAsia="Times New Roman"/>
          <w:bCs/>
          <w:sz w:val="28"/>
          <w:szCs w:val="28"/>
          <w:lang w:val="es-ES_tradnl" w:eastAsia="es-CO"/>
        </w:rPr>
        <w:t xml:space="preserve">(M.P. Catalina Botero Merino) </w:t>
      </w:r>
      <w:r w:rsidRPr="0078289D">
        <w:rPr>
          <w:rFonts w:eastAsia="Times New Roman"/>
          <w:bCs/>
          <w:sz w:val="28"/>
          <w:szCs w:val="28"/>
          <w:lang w:val="es-ES_tradnl" w:eastAsia="es-CO"/>
        </w:rPr>
        <w:t xml:space="preserve">manifestó que </w:t>
      </w:r>
      <w:r w:rsidRPr="0078289D">
        <w:rPr>
          <w:rFonts w:eastAsia="Times New Roman"/>
          <w:sz w:val="28"/>
          <w:szCs w:val="28"/>
          <w:lang w:val="es-ES_tradnl"/>
        </w:rPr>
        <w:t xml:space="preserve">aquellas víctimas del conflicto armado que han sido despojadas de sus derechos patrimoniales, bien sea del derecho de propiedad o de </w:t>
      </w:r>
      <w:r w:rsidR="00E61C6E" w:rsidRPr="0078289D">
        <w:rPr>
          <w:rFonts w:eastAsia="Times New Roman"/>
          <w:sz w:val="28"/>
          <w:szCs w:val="28"/>
          <w:lang w:val="es-ES_tradnl"/>
        </w:rPr>
        <w:t>otros</w:t>
      </w:r>
      <w:r w:rsidRPr="0078289D">
        <w:rPr>
          <w:rFonts w:eastAsia="Times New Roman"/>
          <w:sz w:val="28"/>
          <w:szCs w:val="28"/>
          <w:lang w:val="es-ES_tradnl"/>
        </w:rPr>
        <w:t xml:space="preserve"> derechos derivados de la posesión</w:t>
      </w:r>
      <w:r w:rsidR="00E61C6E" w:rsidRPr="0078289D">
        <w:rPr>
          <w:rFonts w:eastAsia="Times New Roman"/>
          <w:sz w:val="28"/>
          <w:szCs w:val="28"/>
          <w:lang w:val="es-ES_tradnl"/>
        </w:rPr>
        <w:t xml:space="preserve"> u ocupación de un bien</w:t>
      </w:r>
      <w:r w:rsidRPr="0078289D">
        <w:rPr>
          <w:rFonts w:eastAsia="Times New Roman"/>
          <w:sz w:val="28"/>
          <w:szCs w:val="28"/>
          <w:lang w:val="es-ES_tradnl"/>
        </w:rPr>
        <w:t>, tienen el derecho fundamental a que el Estado restablezca tales garantías en su favor como medida de reparación. Así, la Corte indicó:</w:t>
      </w:r>
    </w:p>
    <w:p w:rsidR="002C6644" w:rsidRPr="0078289D" w:rsidRDefault="002C6644" w:rsidP="0078289D">
      <w:pPr>
        <w:pBdr>
          <w:top w:val="none" w:sz="0" w:space="0" w:color="auto"/>
          <w:left w:val="none" w:sz="0" w:space="0" w:color="auto"/>
          <w:bottom w:val="none" w:sz="0" w:space="0" w:color="auto"/>
          <w:right w:val="none" w:sz="0" w:space="0" w:color="auto"/>
        </w:pBdr>
        <w:jc w:val="both"/>
        <w:rPr>
          <w:b/>
          <w:iCs/>
          <w:color w:val="2D2D2D"/>
          <w:sz w:val="28"/>
          <w:szCs w:val="28"/>
          <w:bdr w:val="none" w:sz="0" w:space="0" w:color="auto" w:frame="1"/>
          <w:lang w:val="es-CO"/>
        </w:rPr>
      </w:pPr>
    </w:p>
    <w:p w:rsidR="002C6644" w:rsidRPr="0078289D" w:rsidRDefault="002C6644" w:rsidP="0078289D">
      <w:pPr>
        <w:pBdr>
          <w:top w:val="none" w:sz="0" w:space="0" w:color="auto"/>
          <w:left w:val="none" w:sz="0" w:space="0" w:color="auto"/>
          <w:bottom w:val="none" w:sz="0" w:space="0" w:color="auto"/>
          <w:right w:val="none" w:sz="0" w:space="0" w:color="auto"/>
        </w:pBdr>
        <w:ind w:left="720"/>
        <w:jc w:val="both"/>
        <w:rPr>
          <w:i/>
          <w:iCs/>
          <w:color w:val="2D2D2D"/>
          <w:sz w:val="28"/>
          <w:szCs w:val="28"/>
          <w:bdr w:val="none" w:sz="0" w:space="0" w:color="auto" w:frame="1"/>
          <w:lang w:val="es-CO"/>
        </w:rPr>
      </w:pPr>
      <w:r w:rsidRPr="0078289D">
        <w:rPr>
          <w:i/>
          <w:iCs/>
          <w:color w:val="2D2D2D"/>
          <w:sz w:val="28"/>
          <w:szCs w:val="28"/>
          <w:bdr w:val="none" w:sz="0" w:space="0" w:color="auto" w:frame="1"/>
          <w:lang w:val="es-CO"/>
        </w:rPr>
        <w:t>“</w:t>
      </w:r>
      <w:r w:rsidRPr="0078289D">
        <w:rPr>
          <w:b/>
          <w:i/>
          <w:iCs/>
          <w:color w:val="2D2D2D"/>
          <w:sz w:val="28"/>
          <w:szCs w:val="28"/>
          <w:bdr w:val="none" w:sz="0" w:space="0" w:color="auto" w:frame="1"/>
          <w:lang w:val="es-CO"/>
        </w:rPr>
        <w:t>[l]as personas que se encuentran en situación de desplazamiento forzado y que han sido despojadas violentamente de su tierra (de la tierra de la cual son propietarias o poseedoras), tienen derecho fundamental a que el Estado conserve su derecho a la propiedad o posesión y les restablezca el uso, goce y libre disposición de la misma</w:t>
      </w:r>
      <w:r w:rsidRPr="0078289D">
        <w:rPr>
          <w:i/>
          <w:iCs/>
          <w:color w:val="2D2D2D"/>
          <w:sz w:val="28"/>
          <w:szCs w:val="28"/>
          <w:bdr w:val="none" w:sz="0" w:space="0" w:color="auto" w:frame="1"/>
          <w:lang w:val="es-CO"/>
        </w:rPr>
        <w:t xml:space="preserve"> en las condiciones establecidas por el derecho internacional en la materia. En efecto, en estos casos el derecho a la propiedad o a la posesión adquiere un carácter particularmente, reforzado, que merece atención especial por parte del Estado. </w:t>
      </w:r>
    </w:p>
    <w:p w:rsidR="002C6644" w:rsidRPr="0078289D" w:rsidRDefault="002C6644" w:rsidP="0078289D">
      <w:pPr>
        <w:pBdr>
          <w:top w:val="none" w:sz="0" w:space="0" w:color="auto"/>
          <w:left w:val="none" w:sz="0" w:space="0" w:color="auto"/>
          <w:bottom w:val="none" w:sz="0" w:space="0" w:color="auto"/>
          <w:right w:val="none" w:sz="0" w:space="0" w:color="auto"/>
        </w:pBdr>
        <w:ind w:left="720"/>
        <w:jc w:val="both"/>
        <w:rPr>
          <w:i/>
          <w:iCs/>
          <w:color w:val="2D2D2D"/>
          <w:sz w:val="28"/>
          <w:szCs w:val="28"/>
          <w:bdr w:val="none" w:sz="0" w:space="0" w:color="auto" w:frame="1"/>
          <w:lang w:val="es-CO"/>
        </w:rPr>
      </w:pPr>
    </w:p>
    <w:p w:rsidR="00840465" w:rsidRPr="0078289D" w:rsidRDefault="002C6644" w:rsidP="0078289D">
      <w:pPr>
        <w:pBdr>
          <w:top w:val="none" w:sz="0" w:space="0" w:color="auto"/>
          <w:left w:val="none" w:sz="0" w:space="0" w:color="auto"/>
          <w:bottom w:val="none" w:sz="0" w:space="0" w:color="auto"/>
          <w:right w:val="none" w:sz="0" w:space="0" w:color="auto"/>
        </w:pBdr>
        <w:shd w:val="clear" w:color="auto" w:fill="FFFFFF"/>
        <w:ind w:left="720"/>
        <w:contextualSpacing/>
        <w:jc w:val="both"/>
        <w:rPr>
          <w:i/>
          <w:iCs/>
          <w:color w:val="2D2D2D"/>
          <w:sz w:val="28"/>
          <w:szCs w:val="28"/>
          <w:bdr w:val="none" w:sz="0" w:space="0" w:color="auto" w:frame="1"/>
          <w:lang w:val="es-CO"/>
        </w:rPr>
      </w:pPr>
      <w:r w:rsidRPr="0078289D">
        <w:rPr>
          <w:i/>
          <w:iCs/>
          <w:color w:val="2D2D2D"/>
          <w:sz w:val="28"/>
          <w:szCs w:val="28"/>
          <w:bdr w:val="none" w:sz="0" w:space="0" w:color="auto" w:frame="1"/>
          <w:lang w:val="es-CO"/>
        </w:rPr>
        <w:t xml:space="preserve">Ciertamente, </w:t>
      </w:r>
      <w:r w:rsidRPr="0078289D">
        <w:rPr>
          <w:b/>
          <w:i/>
          <w:iCs/>
          <w:color w:val="2D2D2D"/>
          <w:sz w:val="28"/>
          <w:szCs w:val="28"/>
          <w:bdr w:val="none" w:sz="0" w:space="0" w:color="auto" w:frame="1"/>
          <w:lang w:val="es-CO"/>
        </w:rPr>
        <w:t>si el derecho a la reparación integral del daño causado a víctimas de violaciones masivas y sistemáticas de derechos humanos, es un derecho fundamental, no puede menos que afirmarse que el derecho a la restitución de los bienes de los cuales las personas en situación de desplazamiento han sido despojadas, es también un derecho fundamental.</w:t>
      </w:r>
      <w:r w:rsidRPr="0078289D">
        <w:rPr>
          <w:i/>
          <w:iCs/>
          <w:color w:val="2D2D2D"/>
          <w:sz w:val="28"/>
          <w:szCs w:val="28"/>
          <w:bdr w:val="none" w:sz="0" w:space="0" w:color="auto" w:frame="1"/>
          <w:lang w:val="es-CO"/>
        </w:rPr>
        <w:t xml:space="preserve"> Como bien se sabe, el derecho a la restitución es uno de los derechos que surgen del derecho a la reparación integral. En este sentido es necesario recordar que el artículo 17 del Protocolo Adicional de los Convenios de Ginebra de 1949  y los Principios Rectores de los Desplazamientos Internos, consagrados en el Informe del Representante Especial del Secretario General de Naciones Unidas para el Tema de los Desplazamientos Internos de Personas  (los llamados principios Deng), y entre ellos, los Principios 21, 28 y 29  y los Principios sobre la restitución de las viviendas y el patrimonio de los refugiados y las Personas desplazadas, hacen parte del Bloque de </w:t>
      </w:r>
      <w:r w:rsidRPr="0078289D">
        <w:rPr>
          <w:i/>
          <w:iCs/>
          <w:color w:val="2D2D2D"/>
          <w:sz w:val="28"/>
          <w:szCs w:val="28"/>
          <w:bdr w:val="none" w:sz="0" w:space="0" w:color="auto" w:frame="1"/>
          <w:lang w:val="es-CO"/>
        </w:rPr>
        <w:lastRenderedPageBreak/>
        <w:t>constitucionalidad en sentido lato, en tanto son desarrollos adoptados por la doctrina internacional, del derecho fundamental a la reparación integral por el daño causado  (C.P. art. 93.2).”</w:t>
      </w:r>
    </w:p>
    <w:p w:rsidR="002C6644" w:rsidRPr="0078289D" w:rsidRDefault="002C6644"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CE40FB" w:rsidRPr="0078289D" w:rsidRDefault="00CE40FB"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Luego, en esta oportunidad, la Corte reitera que la reparación integral de los daños causados a las víctimas de los daños antijurídicos causados por el Estado o con ocasión del servicio público, constituye un derecho fundamental autónomo que debe ser protegido no sólo por el juez constitucional, sino también por todas las autoridades públicas.</w:t>
      </w:r>
    </w:p>
    <w:p w:rsidR="00CE40FB" w:rsidRPr="0078289D" w:rsidRDefault="00CE40FB"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50</w:t>
      </w:r>
      <w:r w:rsidR="00A012E1" w:rsidRPr="0078289D">
        <w:rPr>
          <w:rFonts w:eastAsia="Times New Roman"/>
          <w:sz w:val="28"/>
          <w:szCs w:val="28"/>
          <w:lang w:val="es-ES_tradnl"/>
        </w:rPr>
        <w:t xml:space="preserve">. </w:t>
      </w:r>
      <w:r w:rsidR="00840465" w:rsidRPr="0078289D">
        <w:rPr>
          <w:rFonts w:eastAsia="Times New Roman"/>
          <w:sz w:val="28"/>
          <w:szCs w:val="28"/>
          <w:lang w:val="es-ES_tradnl"/>
        </w:rPr>
        <w:t>No obstante</w:t>
      </w:r>
      <w:r w:rsidR="0004592A" w:rsidRPr="0078289D">
        <w:rPr>
          <w:rFonts w:eastAsia="Times New Roman"/>
          <w:sz w:val="28"/>
          <w:szCs w:val="28"/>
          <w:lang w:val="es-ES_tradnl"/>
        </w:rPr>
        <w:t xml:space="preserve"> el carácter fundamental del derecho a la restitución</w:t>
      </w:r>
      <w:r w:rsidR="00840465" w:rsidRPr="0078289D">
        <w:rPr>
          <w:rFonts w:eastAsia="Times New Roman"/>
          <w:sz w:val="28"/>
          <w:szCs w:val="28"/>
          <w:lang w:val="es-ES_tradnl"/>
        </w:rPr>
        <w:t xml:space="preserve">, la misma Ley 1448 de 2011 estableció algunas causales </w:t>
      </w:r>
      <w:r w:rsidR="006E095B" w:rsidRPr="0078289D">
        <w:rPr>
          <w:rFonts w:eastAsia="Times New Roman"/>
          <w:sz w:val="28"/>
          <w:szCs w:val="28"/>
          <w:lang w:val="es-ES_tradnl"/>
        </w:rPr>
        <w:t>de</w:t>
      </w:r>
      <w:r w:rsidR="00840465" w:rsidRPr="0078289D">
        <w:rPr>
          <w:rFonts w:eastAsia="Times New Roman"/>
          <w:sz w:val="28"/>
          <w:szCs w:val="28"/>
          <w:lang w:val="es-ES_tradnl"/>
        </w:rPr>
        <w:t xml:space="preserve"> improcedencia de la restitución</w:t>
      </w:r>
      <w:r w:rsidR="006E095B" w:rsidRPr="0078289D">
        <w:rPr>
          <w:rFonts w:eastAsia="Times New Roman"/>
          <w:sz w:val="28"/>
          <w:szCs w:val="28"/>
          <w:lang w:val="es-ES_tradnl"/>
        </w:rPr>
        <w:t xml:space="preserve">, cuando ésta entra en tensión con otros bienes jurídicos </w:t>
      </w:r>
      <w:r w:rsidR="00C9210F" w:rsidRPr="0078289D">
        <w:rPr>
          <w:rFonts w:eastAsia="Times New Roman"/>
          <w:sz w:val="28"/>
          <w:szCs w:val="28"/>
          <w:lang w:val="es-ES_tradnl"/>
        </w:rPr>
        <w:t>de mayor importancia constitucional</w:t>
      </w:r>
      <w:r w:rsidR="00840465" w:rsidRPr="0078289D">
        <w:rPr>
          <w:rFonts w:eastAsia="Times New Roman"/>
          <w:sz w:val="28"/>
          <w:szCs w:val="28"/>
          <w:lang w:val="es-ES_tradnl"/>
        </w:rPr>
        <w:t xml:space="preserve">. Así, el artículo 97 de la mencionada ley señala los eventos en que, en lugar de la restitución material </w:t>
      </w:r>
      <w:r w:rsidR="00C9210F" w:rsidRPr="0078289D">
        <w:rPr>
          <w:rFonts w:eastAsia="Times New Roman"/>
          <w:sz w:val="28"/>
          <w:szCs w:val="28"/>
          <w:lang w:val="es-ES_tradnl"/>
        </w:rPr>
        <w:t xml:space="preserve">y jurídica </w:t>
      </w:r>
      <w:r w:rsidR="00840465" w:rsidRPr="0078289D">
        <w:rPr>
          <w:rFonts w:eastAsia="Times New Roman"/>
          <w:sz w:val="28"/>
          <w:szCs w:val="28"/>
          <w:lang w:val="es-ES_tradnl"/>
        </w:rPr>
        <w:t xml:space="preserve">del inmueble del cual ha sido despojada la víctima, deberá darse aplicación a la figura de la compensación. De esta manera, la norma contempla que la compensación operará en aquellos casos en que exista una grave amenaza sobre los derechos a la vida e integridad personal de las víctimas, o cuando sea materialmente imposible su restitución por razón de su destrucción. </w:t>
      </w:r>
      <w:r w:rsidR="005B3AE7" w:rsidRPr="0078289D">
        <w:rPr>
          <w:rFonts w:eastAsia="Times New Roman"/>
          <w:sz w:val="28"/>
          <w:szCs w:val="28"/>
          <w:lang w:val="es-ES_tradnl"/>
        </w:rPr>
        <w:t>Dicha</w:t>
      </w:r>
      <w:r w:rsidR="00840465" w:rsidRPr="0078289D">
        <w:rPr>
          <w:rFonts w:eastAsia="Times New Roman"/>
          <w:sz w:val="28"/>
          <w:szCs w:val="28"/>
          <w:lang w:val="es-ES_tradnl"/>
        </w:rPr>
        <w:t xml:space="preserve"> norma</w:t>
      </w:r>
      <w:r w:rsidR="005B3AE7" w:rsidRPr="0078289D">
        <w:rPr>
          <w:rFonts w:eastAsia="Times New Roman"/>
          <w:sz w:val="28"/>
          <w:szCs w:val="28"/>
          <w:lang w:val="es-ES_tradnl"/>
        </w:rPr>
        <w:t xml:space="preserve"> dispone</w:t>
      </w:r>
      <w:r w:rsidR="00840465" w:rsidRPr="0078289D">
        <w:rPr>
          <w:rFonts w:eastAsia="Times New Roman"/>
          <w:sz w:val="28"/>
          <w:szCs w:val="28"/>
          <w:lang w:val="es-ES_tradnl"/>
        </w:rPr>
        <w:t>:</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b/>
          <w:bCs/>
          <w:i/>
          <w:sz w:val="28"/>
          <w:szCs w:val="28"/>
          <w:lang w:val="es-ES_tradnl"/>
        </w:rPr>
        <w:t xml:space="preserve">“ARTÍCULO 97. COMPENSACIONES EN ESPECIE Y REUBICACIÓN. </w:t>
      </w:r>
      <w:r w:rsidRPr="0078289D">
        <w:rPr>
          <w:rFonts w:eastAsia="Times New Roman"/>
          <w:i/>
          <w:sz w:val="28"/>
          <w:szCs w:val="28"/>
          <w:lang w:val="es-ES_tradnl"/>
        </w:rPr>
        <w:t>Como pretensión subsidiaria, el solicitante podrá pedir al Juez o Magistrado que como compensación y con cargo a los recursos del Fondo de la Unidad Administrativa Especial de Gestión de Tierras Despojadas, le entregue un bien inmueble de similares características al despojado, en aquellos casos en que la restitución material del bien sea imposible por alguna de las siguientes razones:</w:t>
      </w:r>
    </w:p>
    <w:p w:rsidR="008B0CA0" w:rsidRPr="0078289D" w:rsidRDefault="008B0CA0"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a. Por tratarse de un inmueble ubicado en una zona de alto riesgo o amenaza de inundación, derrumbe, u otro desastre natural, conforme lo establecido por las autoridades estatales en la materia;</w:t>
      </w:r>
    </w:p>
    <w:p w:rsidR="008B0CA0" w:rsidRPr="0078289D" w:rsidRDefault="008B0CA0"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b. Por tratarse de un inmueble sobre el cual se presentaron despojos sucesivos, y este hubiese sido restituido a otra víctima despojada de ese mismo bien;</w:t>
      </w:r>
    </w:p>
    <w:p w:rsidR="008B0CA0" w:rsidRPr="0078289D" w:rsidRDefault="008B0CA0"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c. Cuando dentro del proceso repose prueba que acredite que la restitución jurídica y/o material del bien implicaría un riesgo para la vida o la integridad personal del despojado o restituido, o de su familia.</w:t>
      </w:r>
    </w:p>
    <w:p w:rsidR="008B0CA0" w:rsidRPr="0078289D" w:rsidRDefault="008B0CA0"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_tradnl"/>
        </w:rPr>
      </w:pPr>
    </w:p>
    <w:p w:rsidR="00840465"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_tradnl"/>
        </w:rPr>
      </w:pPr>
      <w:r w:rsidRPr="0078289D">
        <w:rPr>
          <w:rFonts w:eastAsia="Times New Roman"/>
          <w:i/>
          <w:sz w:val="28"/>
          <w:szCs w:val="28"/>
          <w:lang w:val="es-ES_tradnl"/>
        </w:rPr>
        <w:t>d. Cuando se trate de un bien inmueble que haya sido destruido parcial o totalmente y sea imposible su reconstrucción en condiciones similares a las que tenía antes del despojo”.</w:t>
      </w:r>
    </w:p>
    <w:p w:rsidR="006C1711" w:rsidRPr="0078289D" w:rsidRDefault="006C1711"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51</w:t>
      </w:r>
      <w:r w:rsidR="008B0CA0" w:rsidRPr="0078289D">
        <w:rPr>
          <w:rFonts w:eastAsia="Times New Roman"/>
          <w:sz w:val="28"/>
          <w:szCs w:val="28"/>
          <w:lang w:val="es-ES_tradnl"/>
        </w:rPr>
        <w:t xml:space="preserve">. </w:t>
      </w:r>
      <w:r w:rsidR="00840465" w:rsidRPr="0078289D">
        <w:rPr>
          <w:rFonts w:eastAsia="Times New Roman"/>
          <w:sz w:val="28"/>
          <w:szCs w:val="28"/>
          <w:lang w:val="es-ES_tradnl"/>
        </w:rPr>
        <w:t xml:space="preserve">Para la Corte es evidente que las excepciones contempladas en el artículo 97 de la Ley 1448 de 2011 obedecen a un principio de razón suficiente, toda vez que están dirigidas al cumplimiento del deber de reparación integral a </w:t>
      </w:r>
      <w:r w:rsidR="00840465" w:rsidRPr="0078289D">
        <w:rPr>
          <w:rFonts w:eastAsia="Times New Roman"/>
          <w:sz w:val="28"/>
          <w:szCs w:val="28"/>
          <w:lang w:val="es-ES_tradnl"/>
        </w:rPr>
        <w:lastRenderedPageBreak/>
        <w:t>cargo del Estado</w:t>
      </w:r>
      <w:r w:rsidR="005B3AE7" w:rsidRPr="0078289D">
        <w:rPr>
          <w:rFonts w:eastAsia="Times New Roman"/>
          <w:sz w:val="28"/>
          <w:szCs w:val="28"/>
          <w:lang w:val="es-ES_tradnl"/>
        </w:rPr>
        <w:t>:</w:t>
      </w:r>
      <w:r w:rsidR="00840465" w:rsidRPr="0078289D">
        <w:rPr>
          <w:rFonts w:eastAsia="Times New Roman"/>
          <w:sz w:val="28"/>
          <w:szCs w:val="28"/>
          <w:lang w:val="es-ES_tradnl"/>
        </w:rPr>
        <w:t xml:space="preserve"> i) </w:t>
      </w:r>
      <w:r w:rsidR="005B3AE7" w:rsidRPr="0078289D">
        <w:rPr>
          <w:rFonts w:eastAsia="Times New Roman"/>
          <w:sz w:val="28"/>
          <w:szCs w:val="28"/>
          <w:lang w:val="es-ES_tradnl"/>
        </w:rPr>
        <w:t xml:space="preserve">en </w:t>
      </w:r>
      <w:r w:rsidR="00840465" w:rsidRPr="0078289D">
        <w:rPr>
          <w:rFonts w:eastAsia="Times New Roman"/>
          <w:sz w:val="28"/>
          <w:szCs w:val="28"/>
          <w:lang w:val="es-ES_tradnl"/>
        </w:rPr>
        <w:t xml:space="preserve">casos de imposibilidad material, y ii) en aquellos eventos en que la restitución devenga en una amenaza de los derechos fundamentales de las víctimas en el marco de un proceso de restitución. De esta manera, la norma se limita a desarrollar los principios que el Estado debe observar en materia de restitución, tal y como se ha manifestado en acápites anteriores de la presente providencia. </w:t>
      </w:r>
    </w:p>
    <w:p w:rsidR="006F61A7" w:rsidRPr="0078289D" w:rsidRDefault="006F61A7"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C329FA"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 xml:space="preserve">En consecuencia, las limitaciones adicionales que el Estado imponga sobre el derecho de propiedad en casos que involucren el derecho de restitución a favor de las víctimas del conflicto armado deberán obedecer a razones de </w:t>
      </w:r>
      <w:r w:rsidR="00DE49F2" w:rsidRPr="0078289D">
        <w:rPr>
          <w:rFonts w:eastAsia="Times New Roman"/>
          <w:sz w:val="28"/>
          <w:szCs w:val="28"/>
          <w:lang w:val="es-ES_tradnl"/>
        </w:rPr>
        <w:t>suficiente importancia</w:t>
      </w:r>
      <w:r w:rsidRPr="0078289D">
        <w:rPr>
          <w:rFonts w:eastAsia="Times New Roman"/>
          <w:sz w:val="28"/>
          <w:szCs w:val="28"/>
          <w:lang w:val="es-ES_tradnl"/>
        </w:rPr>
        <w:t xml:space="preserve"> constitucional, y a un principio de razón suficiente. Ello, debido al carácter reforzado del derecho de propiedad en estos eventos como mecanismo de garantía de la reparación integral de las víctimas. </w:t>
      </w:r>
    </w:p>
    <w:p w:rsidR="00C329FA" w:rsidRPr="0078289D" w:rsidRDefault="00C329FA"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
          <w:sz w:val="28"/>
          <w:szCs w:val="28"/>
          <w:lang w:val="es-ES_tradnl"/>
        </w:rPr>
      </w:pPr>
      <w:r w:rsidRPr="0078289D">
        <w:rPr>
          <w:rFonts w:eastAsia="Times New Roman"/>
          <w:b/>
          <w:i/>
          <w:sz w:val="28"/>
          <w:szCs w:val="28"/>
          <w:lang w:val="es-ES_tradnl"/>
        </w:rPr>
        <w:t>El procedimiento de expropiación</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bCs/>
          <w:sz w:val="28"/>
          <w:szCs w:val="28"/>
          <w:lang w:val="es-ES_tradnl" w:eastAsia="es-CO"/>
        </w:rPr>
      </w:pPr>
      <w:r w:rsidRPr="0078289D">
        <w:rPr>
          <w:rFonts w:eastAsia="Times New Roman"/>
          <w:sz w:val="28"/>
          <w:szCs w:val="28"/>
          <w:lang w:val="es-ES_tradnl"/>
        </w:rPr>
        <w:t>52</w:t>
      </w:r>
      <w:r w:rsidR="008B0CA0" w:rsidRPr="0078289D">
        <w:rPr>
          <w:rFonts w:eastAsia="Times New Roman"/>
          <w:sz w:val="28"/>
          <w:szCs w:val="28"/>
          <w:lang w:val="es-ES_tradnl"/>
        </w:rPr>
        <w:t xml:space="preserve">. </w:t>
      </w:r>
      <w:r w:rsidR="00840465" w:rsidRPr="0078289D">
        <w:rPr>
          <w:rFonts w:eastAsia="Times New Roman"/>
          <w:sz w:val="28"/>
          <w:szCs w:val="28"/>
          <w:lang w:val="es-ES_tradnl"/>
        </w:rPr>
        <w:t xml:space="preserve">Ahora bien, en tanto a que ningún derecho tiene carácter absoluto en el ordenamiento jurídico colombiano, </w:t>
      </w:r>
      <w:r w:rsidR="00C7590B" w:rsidRPr="0078289D">
        <w:rPr>
          <w:rFonts w:eastAsia="Times New Roman"/>
          <w:sz w:val="28"/>
          <w:szCs w:val="28"/>
          <w:lang w:val="es-ES_tradnl"/>
        </w:rPr>
        <w:t xml:space="preserve">como ya se dijo, </w:t>
      </w:r>
      <w:r w:rsidR="00840465" w:rsidRPr="0078289D">
        <w:rPr>
          <w:rFonts w:eastAsia="Times New Roman"/>
          <w:sz w:val="28"/>
          <w:szCs w:val="28"/>
          <w:lang w:val="es-ES_tradnl"/>
        </w:rPr>
        <w:t xml:space="preserve">el Constituyente contempló una serie de mecanismos para limitar el derecho de propiedad. No obstante, dicha limitación no puede resultar arbitraria ni desproporcionada, razón por la cual </w:t>
      </w:r>
      <w:r w:rsidR="00C8675A" w:rsidRPr="0078289D">
        <w:rPr>
          <w:rFonts w:eastAsia="Times New Roman"/>
          <w:sz w:val="28"/>
          <w:szCs w:val="28"/>
          <w:lang w:val="es-ES_tradnl"/>
        </w:rPr>
        <w:t>resulta indispensable que el Legislador defina los motivos de utilidad pública e interés social que justifican la expropiación</w:t>
      </w:r>
      <w:r w:rsidR="00840465" w:rsidRPr="0078289D">
        <w:rPr>
          <w:rFonts w:eastAsia="Times New Roman"/>
          <w:sz w:val="28"/>
          <w:szCs w:val="28"/>
          <w:lang w:val="es-ES_tradnl"/>
        </w:rPr>
        <w:t xml:space="preserve">. </w:t>
      </w:r>
      <w:r w:rsidR="00840465" w:rsidRPr="0078289D">
        <w:rPr>
          <w:rFonts w:eastAsia="Times New Roman"/>
          <w:sz w:val="28"/>
          <w:szCs w:val="28"/>
          <w:lang w:val="es-ES_tradnl" w:eastAsia="es-CO"/>
        </w:rPr>
        <w:t xml:space="preserve">Es por esto que el inciso final del artículo 58 de la Carta Política establece la facultad del Estado de expropiar bienes muebles o inmuebles de carácter privado, si existen razones de utilidad pública o interés social, previamente definidas por el </w:t>
      </w:r>
      <w:r w:rsidR="00CA0A76" w:rsidRPr="0078289D">
        <w:rPr>
          <w:rFonts w:eastAsia="Times New Roman"/>
          <w:sz w:val="28"/>
          <w:szCs w:val="28"/>
          <w:lang w:val="es-ES_tradnl" w:eastAsia="es-CO"/>
        </w:rPr>
        <w:t>Legislador</w:t>
      </w:r>
      <w:r w:rsidR="00840465" w:rsidRPr="0078289D">
        <w:rPr>
          <w:rFonts w:eastAsia="Times New Roman"/>
          <w:sz w:val="28"/>
          <w:szCs w:val="28"/>
          <w:lang w:val="es-ES_tradnl" w:eastAsia="es-CO"/>
        </w:rPr>
        <w:t>, en los siguientes términos:</w:t>
      </w:r>
    </w:p>
    <w:p w:rsidR="00E744D3" w:rsidRPr="0078289D" w:rsidRDefault="00E744D3"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bCs/>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bCs/>
          <w:sz w:val="28"/>
          <w:szCs w:val="28"/>
          <w:lang w:val="es-ES_tradnl" w:eastAsia="es-CO"/>
        </w:rPr>
      </w:pPr>
      <w:r w:rsidRPr="0078289D">
        <w:rPr>
          <w:i/>
          <w:sz w:val="28"/>
          <w:szCs w:val="28"/>
          <w:lang w:val="es-ES_tradnl"/>
        </w:rPr>
        <w:t>“</w:t>
      </w:r>
      <w:r w:rsidRPr="0078289D">
        <w:rPr>
          <w:b/>
          <w:i/>
          <w:sz w:val="28"/>
          <w:szCs w:val="28"/>
          <w:lang w:val="es-ES_tradnl"/>
        </w:rPr>
        <w:t>Por motivos de utilidad pública o interés social definidos por el legislador</w:t>
      </w:r>
      <w:r w:rsidRPr="0078289D">
        <w:rPr>
          <w:i/>
          <w:sz w:val="28"/>
          <w:szCs w:val="28"/>
          <w:lang w:val="es-ES_tradnl"/>
        </w:rPr>
        <w:t>, podrá haber expropiación mediante sentencia judicial e indemnización previa. Este se fijará consultando los intereses de la comunidad y del afectado. En los casos que determine el legislador, dicha expropiación podrá adelantarse por vía administrativa, sujeta a posterior acción contenciosa-administrativa, incluso respecto del precio”.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53</w:t>
      </w:r>
      <w:r w:rsidR="008B0CA0" w:rsidRPr="0078289D">
        <w:rPr>
          <w:rFonts w:eastAsia="Times New Roman"/>
          <w:sz w:val="28"/>
          <w:szCs w:val="28"/>
          <w:lang w:val="es-ES_tradnl"/>
        </w:rPr>
        <w:t xml:space="preserve">. </w:t>
      </w:r>
      <w:r w:rsidR="00A325ED" w:rsidRPr="0078289D">
        <w:rPr>
          <w:rFonts w:eastAsia="Times New Roman"/>
          <w:sz w:val="28"/>
          <w:szCs w:val="28"/>
          <w:lang w:val="es-ES_tradnl"/>
        </w:rPr>
        <w:t>La intervención del legislador tiene va</w:t>
      </w:r>
      <w:r w:rsidR="00B1068E" w:rsidRPr="0078289D">
        <w:rPr>
          <w:rFonts w:eastAsia="Times New Roman"/>
          <w:sz w:val="28"/>
          <w:szCs w:val="28"/>
          <w:lang w:val="es-ES_tradnl"/>
        </w:rPr>
        <w:t xml:space="preserve">rios objetivos. En primer lugar </w:t>
      </w:r>
      <w:r w:rsidR="003F14D9" w:rsidRPr="0078289D">
        <w:rPr>
          <w:rFonts w:eastAsia="Times New Roman"/>
          <w:sz w:val="28"/>
          <w:szCs w:val="28"/>
          <w:lang w:val="es-ES_tradnl"/>
        </w:rPr>
        <w:t>constituye un</w:t>
      </w:r>
      <w:r w:rsidR="00B1068E" w:rsidRPr="0078289D">
        <w:rPr>
          <w:rFonts w:eastAsia="Times New Roman"/>
          <w:sz w:val="28"/>
          <w:szCs w:val="28"/>
          <w:lang w:val="es-ES_tradnl"/>
        </w:rPr>
        <w:t xml:space="preserve"> </w:t>
      </w:r>
      <w:r w:rsidR="003F14D9" w:rsidRPr="0078289D">
        <w:rPr>
          <w:rFonts w:eastAsia="Times New Roman"/>
          <w:sz w:val="28"/>
          <w:szCs w:val="28"/>
          <w:lang w:val="es-ES_tradnl"/>
        </w:rPr>
        <w:t>corolario d</w:t>
      </w:r>
      <w:r w:rsidR="00B1068E" w:rsidRPr="0078289D">
        <w:rPr>
          <w:rFonts w:eastAsia="Times New Roman"/>
          <w:sz w:val="28"/>
          <w:szCs w:val="28"/>
          <w:lang w:val="es-ES_tradnl"/>
        </w:rPr>
        <w:t>el principio de democracia representativa, pues</w:t>
      </w:r>
      <w:r w:rsidR="00A325ED" w:rsidRPr="0078289D">
        <w:rPr>
          <w:rFonts w:eastAsia="Times New Roman"/>
          <w:sz w:val="28"/>
          <w:szCs w:val="28"/>
          <w:lang w:val="es-ES_tradnl"/>
        </w:rPr>
        <w:t xml:space="preserve"> garantiza que </w:t>
      </w:r>
      <w:r w:rsidR="00224899" w:rsidRPr="0078289D">
        <w:rPr>
          <w:rFonts w:eastAsia="Times New Roman"/>
          <w:sz w:val="28"/>
          <w:szCs w:val="28"/>
          <w:lang w:val="es-ES_tradnl"/>
        </w:rPr>
        <w:t xml:space="preserve">sean los representantes de la ciudadanía, democráticamente elegidos, quienes determinen en qué casos puede la administración iniciar procesos de </w:t>
      </w:r>
      <w:r w:rsidR="00B1068E" w:rsidRPr="0078289D">
        <w:rPr>
          <w:rFonts w:eastAsia="Times New Roman"/>
          <w:sz w:val="28"/>
          <w:szCs w:val="28"/>
          <w:lang w:val="es-ES_tradnl"/>
        </w:rPr>
        <w:t xml:space="preserve">expropiación. Por otra parte, </w:t>
      </w:r>
      <w:r w:rsidR="00F151E1" w:rsidRPr="0078289D">
        <w:rPr>
          <w:rFonts w:eastAsia="Times New Roman"/>
          <w:sz w:val="28"/>
          <w:szCs w:val="28"/>
          <w:lang w:val="es-ES_tradnl"/>
        </w:rPr>
        <w:t xml:space="preserve">garantiza la efectividad del principio de prevalencia del </w:t>
      </w:r>
      <w:r w:rsidR="00B009BA" w:rsidRPr="0078289D">
        <w:rPr>
          <w:rFonts w:eastAsia="Times New Roman"/>
          <w:sz w:val="28"/>
          <w:szCs w:val="28"/>
          <w:lang w:val="es-ES_tradnl"/>
        </w:rPr>
        <w:t>interés general, y de la función social de la propiedad, pues limita la acción del legislador a la existencia de motivos de</w:t>
      </w:r>
      <w:r w:rsidR="00AD7953" w:rsidRPr="0078289D">
        <w:rPr>
          <w:rFonts w:eastAsia="Times New Roman"/>
          <w:sz w:val="28"/>
          <w:szCs w:val="28"/>
          <w:lang w:val="es-ES_tradnl"/>
        </w:rPr>
        <w:t xml:space="preserve"> utilidad pública e interés social. Así mismo, permite que los jueces ejerzan un control sobre la </w:t>
      </w:r>
      <w:r w:rsidR="00F14848" w:rsidRPr="0078289D">
        <w:rPr>
          <w:rFonts w:eastAsia="Times New Roman"/>
          <w:sz w:val="28"/>
          <w:szCs w:val="28"/>
          <w:lang w:val="es-ES_tradnl"/>
        </w:rPr>
        <w:t xml:space="preserve">legalidad de las decisiones de la administración, pues el ejercicio de la facultad </w:t>
      </w:r>
      <w:r w:rsidR="00720188" w:rsidRPr="0078289D">
        <w:rPr>
          <w:rFonts w:eastAsia="Times New Roman"/>
          <w:sz w:val="28"/>
          <w:szCs w:val="28"/>
          <w:lang w:val="es-ES_tradnl"/>
        </w:rPr>
        <w:t>para</w:t>
      </w:r>
      <w:r w:rsidR="00F14848" w:rsidRPr="0078289D">
        <w:rPr>
          <w:rFonts w:eastAsia="Times New Roman"/>
          <w:sz w:val="28"/>
          <w:szCs w:val="28"/>
          <w:lang w:val="es-ES_tradnl"/>
        </w:rPr>
        <w:t xml:space="preserve"> iniciar procesos de expropiación </w:t>
      </w:r>
      <w:r w:rsidR="000E58AC" w:rsidRPr="0078289D">
        <w:rPr>
          <w:rFonts w:eastAsia="Times New Roman"/>
          <w:sz w:val="28"/>
          <w:szCs w:val="28"/>
          <w:lang w:val="es-ES_tradnl"/>
        </w:rPr>
        <w:t>está limitada por</w:t>
      </w:r>
      <w:r w:rsidR="00720188" w:rsidRPr="0078289D">
        <w:rPr>
          <w:rFonts w:eastAsia="Times New Roman"/>
          <w:sz w:val="28"/>
          <w:szCs w:val="28"/>
          <w:lang w:val="es-ES_tradnl"/>
        </w:rPr>
        <w:t xml:space="preserve"> </w:t>
      </w:r>
      <w:r w:rsidR="008356AA" w:rsidRPr="0078289D">
        <w:rPr>
          <w:rFonts w:eastAsia="Times New Roman"/>
          <w:sz w:val="28"/>
          <w:szCs w:val="28"/>
          <w:lang w:val="es-ES_tradnl"/>
        </w:rPr>
        <w:t>tales</w:t>
      </w:r>
      <w:r w:rsidR="00720188" w:rsidRPr="0078289D">
        <w:rPr>
          <w:rFonts w:eastAsia="Times New Roman"/>
          <w:sz w:val="28"/>
          <w:szCs w:val="28"/>
          <w:lang w:val="es-ES_tradnl"/>
        </w:rPr>
        <w:t xml:space="preserve"> motivos </w:t>
      </w:r>
      <w:r w:rsidR="008356AA" w:rsidRPr="0078289D">
        <w:rPr>
          <w:rFonts w:eastAsia="Times New Roman"/>
          <w:sz w:val="28"/>
          <w:szCs w:val="28"/>
          <w:lang w:val="es-ES_tradnl"/>
        </w:rPr>
        <w:t>de utili</w:t>
      </w:r>
      <w:r w:rsidR="007A50DC" w:rsidRPr="0078289D">
        <w:rPr>
          <w:rFonts w:eastAsia="Times New Roman"/>
          <w:sz w:val="28"/>
          <w:szCs w:val="28"/>
          <w:lang w:val="es-ES_tradnl"/>
        </w:rPr>
        <w:t>dad pública e interés social. Desde el punto de vista subjetivo de los administrados, esto garanti</w:t>
      </w:r>
      <w:r w:rsidR="000C78CB" w:rsidRPr="0078289D">
        <w:rPr>
          <w:rFonts w:eastAsia="Times New Roman"/>
          <w:sz w:val="28"/>
          <w:szCs w:val="28"/>
          <w:lang w:val="es-ES_tradnl"/>
        </w:rPr>
        <w:t xml:space="preserve">za no sólo la razonabilidad de las limitaciones a su  derecho de propiedad, sino su capacidad de defenderse en los estrados </w:t>
      </w:r>
      <w:r w:rsidR="000C78CB" w:rsidRPr="0078289D">
        <w:rPr>
          <w:rFonts w:eastAsia="Times New Roman"/>
          <w:sz w:val="28"/>
          <w:szCs w:val="28"/>
          <w:lang w:val="es-ES_tradnl"/>
        </w:rPr>
        <w:lastRenderedPageBreak/>
        <w:t xml:space="preserve">judiciales cuandoquiera que la administración exceda el alcance de las facultades otorgadas por el legislador. </w:t>
      </w:r>
      <w:r w:rsidR="002B40DA" w:rsidRPr="0078289D">
        <w:rPr>
          <w:rFonts w:eastAsia="Times New Roman"/>
          <w:sz w:val="28"/>
          <w:szCs w:val="28"/>
          <w:lang w:val="es-ES_tradnl"/>
        </w:rPr>
        <w:t>En esa medida, la definición previa de los motivos de utilidad pública e interés social es una garantía del derecho al debido proceso y a la defensa</w:t>
      </w:r>
      <w:r w:rsidR="0009532B" w:rsidRPr="0078289D">
        <w:rPr>
          <w:rFonts w:eastAsia="Times New Roman"/>
          <w:sz w:val="28"/>
          <w:szCs w:val="28"/>
          <w:lang w:val="es-ES_tradnl"/>
        </w:rPr>
        <w:t xml:space="preserve"> de los particulares</w:t>
      </w:r>
      <w:r w:rsidR="00B517AF" w:rsidRPr="0078289D">
        <w:rPr>
          <w:rFonts w:eastAsia="Times New Roman"/>
          <w:sz w:val="28"/>
          <w:szCs w:val="28"/>
          <w:lang w:val="es-ES_tradnl"/>
        </w:rPr>
        <w:t xml:space="preserve">. </w:t>
      </w:r>
      <w:r w:rsidR="007C6140" w:rsidRPr="0078289D">
        <w:rPr>
          <w:rFonts w:eastAsia="Times New Roman"/>
          <w:sz w:val="28"/>
          <w:szCs w:val="28"/>
          <w:lang w:val="es-ES_tradnl"/>
        </w:rPr>
        <w:t>Todos</w:t>
      </w:r>
      <w:r w:rsidR="00B517AF" w:rsidRPr="0078289D">
        <w:rPr>
          <w:rFonts w:eastAsia="Times New Roman"/>
          <w:sz w:val="28"/>
          <w:szCs w:val="28"/>
          <w:lang w:val="es-ES_tradnl"/>
        </w:rPr>
        <w:t xml:space="preserve"> </w:t>
      </w:r>
      <w:r w:rsidR="007C6140" w:rsidRPr="0078289D">
        <w:rPr>
          <w:rFonts w:eastAsia="Times New Roman"/>
          <w:sz w:val="28"/>
          <w:szCs w:val="28"/>
          <w:lang w:val="es-ES_tradnl"/>
        </w:rPr>
        <w:t>estos</w:t>
      </w:r>
      <w:r w:rsidR="00B517AF" w:rsidRPr="0078289D">
        <w:rPr>
          <w:rFonts w:eastAsia="Times New Roman"/>
          <w:sz w:val="28"/>
          <w:szCs w:val="28"/>
          <w:lang w:val="es-ES_tradnl"/>
        </w:rPr>
        <w:t xml:space="preserve"> objetivos </w:t>
      </w:r>
      <w:r w:rsidR="007C6140" w:rsidRPr="0078289D">
        <w:rPr>
          <w:rFonts w:eastAsia="Times New Roman"/>
          <w:sz w:val="28"/>
          <w:szCs w:val="28"/>
          <w:lang w:val="es-ES_tradnl"/>
        </w:rPr>
        <w:t xml:space="preserve">hacen de la definición previa de la </w:t>
      </w:r>
      <w:r w:rsidR="007C6140" w:rsidRPr="0078289D">
        <w:rPr>
          <w:rFonts w:eastAsia="Times New Roman"/>
          <w:i/>
          <w:sz w:val="28"/>
          <w:szCs w:val="28"/>
          <w:lang w:val="es-ES_tradnl"/>
        </w:rPr>
        <w:t>causa expropiandi</w:t>
      </w:r>
      <w:r w:rsidR="007C6140" w:rsidRPr="0078289D">
        <w:rPr>
          <w:rFonts w:eastAsia="Times New Roman"/>
          <w:sz w:val="28"/>
          <w:szCs w:val="28"/>
          <w:lang w:val="es-ES_tradnl"/>
        </w:rPr>
        <w:t xml:space="preserve"> una garantía fundamental, como pasa la Corte a explicar a continuación.</w:t>
      </w:r>
      <w:r w:rsidR="00926F8C" w:rsidRPr="0078289D">
        <w:rPr>
          <w:rFonts w:eastAsia="Times New Roman"/>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54</w:t>
      </w:r>
      <w:r w:rsidR="008B0CA0" w:rsidRPr="0078289D">
        <w:rPr>
          <w:rFonts w:eastAsia="Times New Roman"/>
          <w:sz w:val="28"/>
          <w:szCs w:val="28"/>
          <w:lang w:val="es-ES_tradnl"/>
        </w:rPr>
        <w:t xml:space="preserve">. </w:t>
      </w:r>
      <w:r w:rsidR="002D7E7A" w:rsidRPr="0078289D">
        <w:rPr>
          <w:rFonts w:eastAsia="Times New Roman"/>
          <w:sz w:val="28"/>
          <w:szCs w:val="28"/>
          <w:lang w:val="es-ES_tradnl"/>
        </w:rPr>
        <w:t>Esta Corporación</w:t>
      </w:r>
      <w:r w:rsidR="00840465" w:rsidRPr="0078289D">
        <w:rPr>
          <w:rFonts w:eastAsia="Times New Roman"/>
          <w:sz w:val="28"/>
          <w:szCs w:val="28"/>
          <w:lang w:val="es-ES_tradnl"/>
        </w:rPr>
        <w:t xml:space="preserve"> ha interpretado el sentido y alcance del artículo 58 de la Constitución Política, y ha </w:t>
      </w:r>
      <w:r w:rsidR="0009532B" w:rsidRPr="0078289D">
        <w:rPr>
          <w:rFonts w:eastAsia="Times New Roman"/>
          <w:sz w:val="28"/>
          <w:szCs w:val="28"/>
          <w:lang w:val="es-ES_tradnl"/>
        </w:rPr>
        <w:t>sostenido explícitamente</w:t>
      </w:r>
      <w:r w:rsidR="00840465" w:rsidRPr="0078289D">
        <w:rPr>
          <w:rFonts w:eastAsia="Times New Roman"/>
          <w:sz w:val="28"/>
          <w:szCs w:val="28"/>
          <w:lang w:val="es-ES_tradnl"/>
        </w:rPr>
        <w:t xml:space="preserve"> que el trámite de expropiación deviene en una limitación del derecho de propiedad en el que deben participar las tres ramas del poder público. Así, en </w:t>
      </w:r>
      <w:r w:rsidR="00840465" w:rsidRPr="0078289D">
        <w:rPr>
          <w:rFonts w:eastAsia="Times New Roman"/>
          <w:b/>
          <w:sz w:val="28"/>
          <w:szCs w:val="28"/>
          <w:lang w:val="es-ES_tradnl"/>
        </w:rPr>
        <w:t>Sentencia C-153 de 1994</w:t>
      </w:r>
      <w:r w:rsidR="00840465" w:rsidRPr="0078289D">
        <w:rPr>
          <w:rFonts w:eastAsia="Times New Roman"/>
          <w:b/>
          <w:sz w:val="28"/>
          <w:szCs w:val="28"/>
          <w:vertAlign w:val="superscript"/>
          <w:lang w:val="es-ES_tradnl"/>
        </w:rPr>
        <w:footnoteReference w:id="57"/>
      </w:r>
      <w:r w:rsidR="00840465" w:rsidRPr="0078289D">
        <w:rPr>
          <w:rFonts w:eastAsia="Times New Roman"/>
          <w:sz w:val="28"/>
          <w:szCs w:val="28"/>
          <w:lang w:val="es-ES_tradnl"/>
        </w:rPr>
        <w:t xml:space="preserve">, la Corte expresamente estableció que el Legislador es el órgano encargado de fijar los motivos de utilidad pública o interés social que servirán de </w:t>
      </w:r>
      <w:r w:rsidR="00840465" w:rsidRPr="0078289D">
        <w:rPr>
          <w:rFonts w:eastAsia="Times New Roman"/>
          <w:i/>
          <w:sz w:val="28"/>
          <w:szCs w:val="28"/>
          <w:lang w:val="es-ES_tradnl"/>
        </w:rPr>
        <w:t>causa expropiandi.</w:t>
      </w:r>
      <w:r w:rsidR="00840465" w:rsidRPr="0078289D">
        <w:rPr>
          <w:rFonts w:eastAsia="Times New Roman"/>
          <w:sz w:val="28"/>
          <w:szCs w:val="28"/>
          <w:lang w:val="es-ES_tradnl"/>
        </w:rPr>
        <w:t xml:space="preserve"> A su vez, el ejecutivo deberá declarar, en cada caso concreto, el cumplimiento de los motivos de interés público y social, previamente a dar inicio al trámite de expropiación. Finalmente, por regla general, el juez debe fijar la indemnización mediante el procedimiento de expropiación, y garantizar el cumplimiento de todas las formalidades requeridas para evitar una limitación arbitraria del derecho de dominio a favor de los particulares. Consecuentemente, también podrá decidir no seguir adelante con el trámite de expropiación, al verificar que no se cumplen los requisitos constitucionales y legales para su procedencia. No obstante, en casos de expropiación administrativa, la intervención del juez resultará eventual y no principal, y sólo tendrá lugar cuando el interesado haya iniciado el proceso contencioso correspondiente. Así, la Corte manifestó:</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“De la lectura del texto transcrito de la Carta se concluye que para que opere la expropiación es necesaria la intervención de las tres ramas del poder público, así:</w:t>
      </w:r>
    </w:p>
    <w:p w:rsidR="008B0CA0" w:rsidRPr="0078289D" w:rsidRDefault="008B0CA0"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 xml:space="preserve">“- El </w:t>
      </w:r>
      <w:r w:rsidRPr="0078289D">
        <w:rPr>
          <w:rFonts w:eastAsia="Times New Roman"/>
          <w:b/>
          <w:i/>
          <w:sz w:val="28"/>
          <w:szCs w:val="28"/>
          <w:lang w:val="es-ES_tradnl" w:eastAsia="es-ES"/>
        </w:rPr>
        <w:t>legislador</w:t>
      </w:r>
      <w:r w:rsidRPr="0078289D">
        <w:rPr>
          <w:rFonts w:eastAsia="Times New Roman"/>
          <w:i/>
          <w:sz w:val="28"/>
          <w:szCs w:val="28"/>
          <w:lang w:val="es-ES_tradnl" w:eastAsia="es-ES"/>
        </w:rPr>
        <w:t xml:space="preserve"> fija los motivos de utilidad pública o interés común.</w:t>
      </w:r>
    </w:p>
    <w:p w:rsidR="008B0CA0" w:rsidRPr="0078289D" w:rsidRDefault="008B0CA0"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eastAsia="es-ES"/>
        </w:rPr>
        <w:t xml:space="preserve">“- La </w:t>
      </w:r>
      <w:r w:rsidRPr="0078289D">
        <w:rPr>
          <w:rFonts w:eastAsia="Times New Roman"/>
          <w:b/>
          <w:i/>
          <w:sz w:val="28"/>
          <w:szCs w:val="28"/>
          <w:lang w:val="es-ES_tradnl" w:eastAsia="es-ES"/>
        </w:rPr>
        <w:t>administración</w:t>
      </w:r>
      <w:r w:rsidRPr="0078289D">
        <w:rPr>
          <w:rFonts w:eastAsia="Times New Roman"/>
          <w:i/>
          <w:sz w:val="28"/>
          <w:szCs w:val="28"/>
          <w:lang w:val="es-ES_tradnl" w:eastAsia="es-ES"/>
        </w:rPr>
        <w:t xml:space="preserve"> declara para un caso concreto los motivos de interés público y gestiona la expropiación.</w:t>
      </w:r>
    </w:p>
    <w:p w:rsidR="008B0CA0" w:rsidRPr="0078289D" w:rsidRDefault="008B0CA0"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sz w:val="28"/>
          <w:szCs w:val="28"/>
          <w:lang w:val="es-ES_tradnl" w:eastAsia="es-ES"/>
        </w:rPr>
      </w:pPr>
      <w:r w:rsidRPr="0078289D">
        <w:rPr>
          <w:rFonts w:eastAsia="Times New Roman"/>
          <w:i/>
          <w:sz w:val="28"/>
          <w:szCs w:val="28"/>
          <w:lang w:val="es-ES_tradnl" w:eastAsia="es-ES"/>
        </w:rPr>
        <w:t xml:space="preserve">“- El </w:t>
      </w:r>
      <w:r w:rsidRPr="0078289D">
        <w:rPr>
          <w:rFonts w:eastAsia="Times New Roman"/>
          <w:b/>
          <w:i/>
          <w:sz w:val="28"/>
          <w:szCs w:val="28"/>
          <w:lang w:val="es-ES_tradnl" w:eastAsia="es-ES"/>
        </w:rPr>
        <w:t>juez</w:t>
      </w:r>
      <w:r w:rsidRPr="0078289D">
        <w:rPr>
          <w:rFonts w:eastAsia="Times New Roman"/>
          <w:i/>
          <w:sz w:val="28"/>
          <w:szCs w:val="28"/>
          <w:lang w:val="es-ES_tradnl" w:eastAsia="es-ES"/>
        </w:rPr>
        <w:t xml:space="preserve"> controla el cumplimiento de las formalidades y fija la indemnización, mediante el procedimiento de expropiación. Sin embargo, en la expropiación por vía administrativa, la intervención del juez es sólo eventual, para los casos de demanda por vía contenciosa.”</w:t>
      </w:r>
      <w:r w:rsidRPr="0078289D">
        <w:rPr>
          <w:rFonts w:eastAsia="Times New Roman"/>
          <w:sz w:val="28"/>
          <w:szCs w:val="28"/>
          <w:lang w:val="es-ES_tradnl" w:eastAsia="es-ES"/>
        </w:rPr>
        <w:t xml:space="preserve">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r w:rsidRPr="0078289D">
        <w:rPr>
          <w:rFonts w:eastAsia="Times New Roman"/>
          <w:sz w:val="28"/>
          <w:szCs w:val="28"/>
          <w:lang w:val="es-ES_tradnl" w:eastAsia="es-CO"/>
        </w:rPr>
        <w:t xml:space="preserve">Recientemente, en la </w:t>
      </w:r>
      <w:r w:rsidRPr="0078289D">
        <w:rPr>
          <w:rFonts w:eastAsia="Times New Roman"/>
          <w:b/>
          <w:sz w:val="28"/>
          <w:szCs w:val="28"/>
          <w:lang w:val="es-ES_tradnl" w:eastAsia="es-CO"/>
        </w:rPr>
        <w:t>Sentencia C-410 de 2015</w:t>
      </w:r>
      <w:r w:rsidRPr="0078289D">
        <w:rPr>
          <w:rFonts w:eastAsia="Times New Roman"/>
          <w:b/>
          <w:sz w:val="28"/>
          <w:szCs w:val="28"/>
          <w:vertAlign w:val="superscript"/>
          <w:lang w:val="es-ES_tradnl" w:eastAsia="es-CO"/>
        </w:rPr>
        <w:footnoteReference w:id="58"/>
      </w:r>
      <w:r w:rsidRPr="0078289D">
        <w:rPr>
          <w:rFonts w:eastAsia="Times New Roman"/>
          <w:sz w:val="28"/>
          <w:szCs w:val="28"/>
          <w:lang w:val="es-ES_tradnl" w:eastAsia="es-CO"/>
        </w:rPr>
        <w:t xml:space="preserve">, la Corte Constitucional esquematizó los requisitos que debe atender el Estado para iniciar un procedimiento de expropiación de acuerdo con las garantías contempladas en el artículo 58 constitucional. Así, señaló que éste tiene </w:t>
      </w:r>
      <w:r w:rsidRPr="0078289D">
        <w:rPr>
          <w:rFonts w:eastAsia="Times New Roman"/>
          <w:b/>
          <w:sz w:val="28"/>
          <w:szCs w:val="28"/>
          <w:lang w:val="es-ES_tradnl" w:eastAsia="es-CO"/>
        </w:rPr>
        <w:t>reserva legal</w:t>
      </w:r>
      <w:r w:rsidRPr="0078289D">
        <w:rPr>
          <w:rFonts w:eastAsia="Times New Roman"/>
          <w:sz w:val="28"/>
          <w:szCs w:val="28"/>
          <w:lang w:val="es-ES_tradnl" w:eastAsia="es-CO"/>
        </w:rPr>
        <w:t xml:space="preserve">, es decir, que solo podrán ser objeto de expropiación aquellos bienes que sean </w:t>
      </w:r>
      <w:r w:rsidRPr="0078289D">
        <w:rPr>
          <w:rFonts w:eastAsia="Times New Roman"/>
          <w:sz w:val="28"/>
          <w:szCs w:val="28"/>
          <w:lang w:val="es-ES_tradnl" w:eastAsia="es-CO"/>
        </w:rPr>
        <w:lastRenderedPageBreak/>
        <w:t xml:space="preserve">necesarios para la obtención de un fin de utilidad pública e interés social, motivos que deben estar previamente determinados en la ley. En segundo lugar, es necesario que se garantice el </w:t>
      </w:r>
      <w:r w:rsidRPr="0078289D">
        <w:rPr>
          <w:rFonts w:eastAsia="Times New Roman"/>
          <w:b/>
          <w:sz w:val="28"/>
          <w:szCs w:val="28"/>
          <w:lang w:val="es-ES_tradnl" w:eastAsia="es-CO"/>
        </w:rPr>
        <w:t>debido proceso</w:t>
      </w:r>
      <w:r w:rsidRPr="0078289D">
        <w:rPr>
          <w:rFonts w:eastAsia="Times New Roman"/>
          <w:sz w:val="28"/>
          <w:szCs w:val="28"/>
          <w:lang w:val="es-ES_tradnl" w:eastAsia="es-CO"/>
        </w:rPr>
        <w:t xml:space="preserve">, es decir, que la Administración trate de obtener el consentimiento del propietario, por lo que la indemnización administrativa sólo sería procedente cuando sea imposible el acuerdo. Finalmente, es necesario que la Administración garantice al propietario el pago de una </w:t>
      </w:r>
      <w:r w:rsidRPr="0078289D">
        <w:rPr>
          <w:rFonts w:eastAsia="Times New Roman"/>
          <w:b/>
          <w:sz w:val="28"/>
          <w:szCs w:val="28"/>
          <w:lang w:val="es-ES_tradnl" w:eastAsia="es-CO"/>
        </w:rPr>
        <w:t>indemnización previa y justa</w:t>
      </w:r>
      <w:r w:rsidRPr="0078289D">
        <w:rPr>
          <w:rFonts w:eastAsia="Times New Roman"/>
          <w:sz w:val="28"/>
          <w:szCs w:val="28"/>
          <w:lang w:val="es-ES_tradnl" w:eastAsia="es-CO"/>
        </w:rPr>
        <w:t xml:space="preserve"> con ocasión de la limitación del uso, goce y disposición del bien inmueble. Así, la Corte señaló: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Cs/>
          <w:sz w:val="28"/>
          <w:szCs w:val="28"/>
          <w:lang w:val="es-ES_tradnl"/>
        </w:rPr>
      </w:pPr>
      <w:r w:rsidRPr="0078289D">
        <w:rPr>
          <w:rFonts w:eastAsia="Times New Roman"/>
          <w:i/>
          <w:iCs/>
          <w:sz w:val="28"/>
          <w:szCs w:val="28"/>
          <w:lang w:val="es-ES_tradnl"/>
        </w:rPr>
        <w:t xml:space="preserve">“Considera la Corte en esta oportunidad que la expropiación o cualquier otra forma de adquisición del dominio por parte del Estado debe respetar, en primer lugar, </w:t>
      </w:r>
      <w:r w:rsidRPr="0078289D">
        <w:rPr>
          <w:rFonts w:eastAsia="Times New Roman"/>
          <w:b/>
          <w:i/>
          <w:iCs/>
          <w:sz w:val="28"/>
          <w:szCs w:val="28"/>
          <w:lang w:val="es-ES_tradnl"/>
        </w:rPr>
        <w:t>un principio de legalidad</w:t>
      </w:r>
      <w:r w:rsidRPr="0078289D">
        <w:rPr>
          <w:rFonts w:eastAsia="Times New Roman"/>
          <w:i/>
          <w:iCs/>
          <w:sz w:val="28"/>
          <w:szCs w:val="28"/>
          <w:lang w:val="es-ES_tradnl"/>
        </w:rPr>
        <w:t xml:space="preserve"> que implica que sólo serán expropiables aquellos bienes que sean necesarios para que la administración alcance con ellos un fin de utilidad pública o interés social, previamente determinados en la Ley. En segundo lugar, es necesario que el proceso de adquisición se adelante con atento respeto por </w:t>
      </w:r>
      <w:r w:rsidRPr="0078289D">
        <w:rPr>
          <w:rFonts w:eastAsia="Times New Roman"/>
          <w:b/>
          <w:i/>
          <w:iCs/>
          <w:sz w:val="28"/>
          <w:szCs w:val="28"/>
          <w:lang w:val="es-ES_tradnl"/>
        </w:rPr>
        <w:t>las garantías judiciales</w:t>
      </w:r>
      <w:r w:rsidRPr="0078289D">
        <w:rPr>
          <w:rFonts w:eastAsia="Times New Roman"/>
          <w:i/>
          <w:iCs/>
          <w:sz w:val="28"/>
          <w:szCs w:val="28"/>
          <w:lang w:val="es-ES_tradnl"/>
        </w:rPr>
        <w:t xml:space="preserve">, buscando el consentimiento del titular del bien y sólo recurriendo a la vía administrativa cuando esto haya sido imposible, </w:t>
      </w:r>
      <w:r w:rsidRPr="0078289D">
        <w:rPr>
          <w:rFonts w:eastAsia="Times New Roman"/>
          <w:b/>
          <w:i/>
          <w:iCs/>
          <w:sz w:val="28"/>
          <w:szCs w:val="28"/>
          <w:lang w:val="es-ES_tradnl"/>
        </w:rPr>
        <w:t>sin perjuicio de que exista la posibilidad de recurrir al ejercicio de medios de control contencioso-administrativos frente a cualquier elemento de la decisión que prescribe el derecho del hasta ese momento propietario</w:t>
      </w:r>
      <w:r w:rsidRPr="0078289D">
        <w:rPr>
          <w:rFonts w:eastAsia="Times New Roman"/>
          <w:i/>
          <w:iCs/>
          <w:sz w:val="28"/>
          <w:szCs w:val="28"/>
          <w:lang w:val="es-ES_tradnl"/>
        </w:rPr>
        <w:t xml:space="preserve">. En tercer lugar, la expropiación u otra forma de adquisición, sólo podrá ser considerada respetuosa de lo establecido en la Carta, si el traspaso del derecho de dominio del particular a la administración, fue antecedido del </w:t>
      </w:r>
      <w:r w:rsidRPr="0078289D">
        <w:rPr>
          <w:rFonts w:eastAsia="Times New Roman"/>
          <w:b/>
          <w:i/>
          <w:iCs/>
          <w:sz w:val="28"/>
          <w:szCs w:val="28"/>
          <w:lang w:val="es-ES_tradnl"/>
        </w:rPr>
        <w:t>pago de una indemnización justa</w:t>
      </w:r>
      <w:r w:rsidRPr="0078289D">
        <w:rPr>
          <w:rFonts w:eastAsia="Times New Roman"/>
          <w:i/>
          <w:iCs/>
          <w:sz w:val="28"/>
          <w:szCs w:val="28"/>
          <w:lang w:val="es-ES_tradnl"/>
        </w:rPr>
        <w:t xml:space="preserve"> por la pérdida del bien.</w:t>
      </w:r>
      <w:r w:rsidRPr="0078289D">
        <w:rPr>
          <w:rFonts w:eastAsia="Times New Roman"/>
          <w:sz w:val="28"/>
          <w:szCs w:val="28"/>
          <w:lang w:val="es-ES_tradnl"/>
        </w:rPr>
        <w:t xml:space="preserve"> </w:t>
      </w:r>
      <w:r w:rsidRPr="0078289D">
        <w:rPr>
          <w:rFonts w:eastAsia="Times New Roman"/>
          <w:i/>
          <w:iCs/>
          <w:sz w:val="28"/>
          <w:szCs w:val="28"/>
          <w:lang w:val="es-ES_tradnl"/>
        </w:rPr>
        <w:t xml:space="preserve">De esta forma, la expropiación o adquisición de un bien por razones de utilidad pública e interés social, será acorde con los mandatos constitucionales si respeta los valores fundamentales del Estado Social de Derecho, entre ellos: </w:t>
      </w:r>
      <w:r w:rsidRPr="0078289D">
        <w:rPr>
          <w:rFonts w:eastAsia="Times New Roman"/>
          <w:b/>
          <w:i/>
          <w:iCs/>
          <w:sz w:val="28"/>
          <w:szCs w:val="28"/>
          <w:u w:val="single"/>
          <w:lang w:val="es-ES_tradnl"/>
        </w:rPr>
        <w:t>principio de legalidad, debido proceso, acceso a la justicia y una indemnización justa”</w:t>
      </w:r>
      <w:r w:rsidRPr="0078289D">
        <w:rPr>
          <w:rFonts w:eastAsia="Times New Roman"/>
          <w:i/>
          <w:iCs/>
          <w:sz w:val="28"/>
          <w:szCs w:val="28"/>
          <w:lang w:val="es-ES_tradnl"/>
        </w:rPr>
        <w:t>.</w:t>
      </w:r>
      <w:r w:rsidRPr="0078289D">
        <w:rPr>
          <w:rFonts w:eastAsia="Times New Roman"/>
          <w:iCs/>
          <w:sz w:val="28"/>
          <w:szCs w:val="28"/>
          <w:lang w:val="es-ES_tradnl"/>
        </w:rPr>
        <w:t xml:space="preserve"> (Subraya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u w:color="0000FF"/>
          <w:lang w:val="es-ES_tradnl"/>
        </w:rPr>
      </w:pPr>
      <w:r w:rsidRPr="0078289D">
        <w:rPr>
          <w:rFonts w:eastAsia="Times New Roman"/>
          <w:sz w:val="28"/>
          <w:szCs w:val="28"/>
          <w:lang w:val="es-ES_tradnl"/>
        </w:rPr>
        <w:t xml:space="preserve">A su vez, la </w:t>
      </w:r>
      <w:r w:rsidRPr="0078289D">
        <w:rPr>
          <w:rFonts w:eastAsia="Times New Roman"/>
          <w:b/>
          <w:sz w:val="28"/>
          <w:szCs w:val="28"/>
          <w:lang w:val="es-ES_tradnl"/>
        </w:rPr>
        <w:t>Sentencia C-227 de 2011</w:t>
      </w:r>
      <w:r w:rsidRPr="0078289D">
        <w:rPr>
          <w:rFonts w:eastAsia="Times New Roman"/>
          <w:b/>
          <w:sz w:val="28"/>
          <w:szCs w:val="28"/>
          <w:vertAlign w:val="superscript"/>
          <w:lang w:val="es-ES_tradnl"/>
        </w:rPr>
        <w:footnoteReference w:id="59"/>
      </w:r>
      <w:r w:rsidRPr="0078289D">
        <w:rPr>
          <w:rFonts w:eastAsia="Times New Roman"/>
          <w:sz w:val="28"/>
          <w:szCs w:val="28"/>
          <w:u w:color="0000FF"/>
          <w:lang w:val="es-ES_tradnl"/>
        </w:rPr>
        <w:t xml:space="preserve"> definió los elementos que componen el trámite de expropiación, a saber: sujetos, objeto y </w:t>
      </w:r>
      <w:r w:rsidRPr="0078289D">
        <w:rPr>
          <w:rFonts w:eastAsia="Times New Roman"/>
          <w:i/>
          <w:sz w:val="28"/>
          <w:szCs w:val="28"/>
          <w:u w:color="0000FF"/>
          <w:lang w:val="es-ES_tradnl"/>
        </w:rPr>
        <w:t>causa</w:t>
      </w:r>
      <w:r w:rsidRPr="0078289D">
        <w:rPr>
          <w:rFonts w:eastAsia="Times New Roman"/>
          <w:sz w:val="28"/>
          <w:szCs w:val="28"/>
          <w:u w:color="0000FF"/>
          <w:lang w:val="es-ES_tradnl"/>
        </w:rPr>
        <w:t xml:space="preserve"> </w:t>
      </w:r>
      <w:r w:rsidRPr="0078289D">
        <w:rPr>
          <w:rFonts w:eastAsia="Times New Roman"/>
          <w:i/>
          <w:iCs/>
          <w:sz w:val="28"/>
          <w:szCs w:val="28"/>
          <w:u w:color="0000FF"/>
          <w:lang w:val="es-ES_tradnl"/>
        </w:rPr>
        <w:t>expropiandi</w:t>
      </w:r>
      <w:r w:rsidRPr="0078289D">
        <w:rPr>
          <w:rFonts w:eastAsia="Times New Roman"/>
          <w:sz w:val="28"/>
          <w:szCs w:val="28"/>
          <w:u w:color="0000FF"/>
          <w:lang w:val="es-ES_tradnl"/>
        </w:rPr>
        <w:t xml:space="preserve">. </w:t>
      </w:r>
      <w:r w:rsidR="00C20615" w:rsidRPr="0078289D">
        <w:rPr>
          <w:rFonts w:eastAsia="Times New Roman"/>
          <w:sz w:val="28"/>
          <w:szCs w:val="28"/>
          <w:u w:color="0000FF"/>
          <w:lang w:val="es-ES_tradnl"/>
        </w:rPr>
        <w:t>L</w:t>
      </w:r>
      <w:r w:rsidRPr="0078289D">
        <w:rPr>
          <w:rFonts w:eastAsia="Times New Roman"/>
          <w:sz w:val="28"/>
          <w:szCs w:val="28"/>
          <w:u w:color="0000FF"/>
          <w:lang w:val="es-ES_tradnl"/>
        </w:rPr>
        <w:t xml:space="preserve">a Corte indicó que </w:t>
      </w:r>
      <w:r w:rsidR="00C20615" w:rsidRPr="0078289D">
        <w:rPr>
          <w:rFonts w:eastAsia="Times New Roman"/>
          <w:sz w:val="28"/>
          <w:szCs w:val="28"/>
          <w:u w:color="0000FF"/>
          <w:lang w:val="es-ES_tradnl"/>
        </w:rPr>
        <w:t xml:space="preserve">la </w:t>
      </w:r>
      <w:r w:rsidR="00C20615" w:rsidRPr="0078289D">
        <w:rPr>
          <w:rFonts w:eastAsia="Times New Roman"/>
          <w:i/>
          <w:sz w:val="28"/>
          <w:szCs w:val="28"/>
          <w:u w:color="0000FF"/>
          <w:lang w:val="es-ES_tradnl"/>
        </w:rPr>
        <w:t>causa</w:t>
      </w:r>
      <w:r w:rsidR="00C20615" w:rsidRPr="0078289D">
        <w:rPr>
          <w:rFonts w:eastAsia="Times New Roman"/>
          <w:sz w:val="28"/>
          <w:szCs w:val="28"/>
          <w:u w:color="0000FF"/>
          <w:lang w:val="es-ES_tradnl"/>
        </w:rPr>
        <w:t xml:space="preserve"> </w:t>
      </w:r>
      <w:r w:rsidR="00C20615" w:rsidRPr="0078289D">
        <w:rPr>
          <w:rFonts w:eastAsia="Times New Roman"/>
          <w:i/>
          <w:sz w:val="28"/>
          <w:szCs w:val="28"/>
          <w:u w:color="0000FF"/>
          <w:lang w:val="es-ES_tradnl"/>
        </w:rPr>
        <w:t>expropiandi</w:t>
      </w:r>
      <w:r w:rsidR="00C20615" w:rsidRPr="0078289D">
        <w:rPr>
          <w:rFonts w:eastAsia="Times New Roman"/>
          <w:sz w:val="28"/>
          <w:szCs w:val="28"/>
          <w:u w:color="0000FF"/>
          <w:lang w:val="es-ES_tradnl"/>
        </w:rPr>
        <w:t xml:space="preserve"> </w:t>
      </w:r>
      <w:r w:rsidRPr="0078289D">
        <w:rPr>
          <w:rFonts w:eastAsia="Times New Roman"/>
          <w:sz w:val="28"/>
          <w:szCs w:val="28"/>
          <w:u w:color="0000FF"/>
          <w:lang w:val="es-ES_tradnl"/>
        </w:rPr>
        <w:t xml:space="preserve">es la </w:t>
      </w:r>
      <w:r w:rsidR="000E756F" w:rsidRPr="0078289D">
        <w:rPr>
          <w:rFonts w:eastAsia="Times New Roman"/>
          <w:sz w:val="28"/>
          <w:szCs w:val="28"/>
          <w:u w:color="0000FF"/>
          <w:lang w:val="es-ES_tradnl"/>
        </w:rPr>
        <w:t>finalidad</w:t>
      </w:r>
      <w:r w:rsidRPr="0078289D">
        <w:rPr>
          <w:rFonts w:eastAsia="Times New Roman"/>
          <w:sz w:val="28"/>
          <w:szCs w:val="28"/>
          <w:u w:color="0000FF"/>
          <w:lang w:val="es-ES_tradnl"/>
        </w:rPr>
        <w:t xml:space="preserve"> </w:t>
      </w:r>
      <w:r w:rsidR="00C9018D" w:rsidRPr="0078289D">
        <w:rPr>
          <w:rFonts w:eastAsia="Times New Roman"/>
          <w:sz w:val="28"/>
          <w:szCs w:val="28"/>
          <w:u w:color="0000FF"/>
          <w:lang w:val="es-ES_tradnl"/>
        </w:rPr>
        <w:t xml:space="preserve">u objetivo </w:t>
      </w:r>
      <w:r w:rsidRPr="0078289D">
        <w:rPr>
          <w:rFonts w:eastAsia="Times New Roman"/>
          <w:sz w:val="28"/>
          <w:szCs w:val="28"/>
          <w:u w:color="0000FF"/>
          <w:lang w:val="es-ES_tradnl"/>
        </w:rPr>
        <w:t xml:space="preserve">que </w:t>
      </w:r>
      <w:r w:rsidR="000E756F" w:rsidRPr="0078289D">
        <w:rPr>
          <w:rFonts w:eastAsia="Times New Roman"/>
          <w:sz w:val="28"/>
          <w:szCs w:val="28"/>
          <w:u w:color="0000FF"/>
          <w:lang w:val="es-ES_tradnl"/>
        </w:rPr>
        <w:t xml:space="preserve">el Estado </w:t>
      </w:r>
      <w:r w:rsidRPr="0078289D">
        <w:rPr>
          <w:rFonts w:eastAsia="Times New Roman"/>
          <w:sz w:val="28"/>
          <w:szCs w:val="28"/>
          <w:u w:color="0000FF"/>
          <w:lang w:val="es-ES_tradnl"/>
        </w:rPr>
        <w:t xml:space="preserve">pretende </w:t>
      </w:r>
      <w:r w:rsidR="00C9018D" w:rsidRPr="0078289D">
        <w:rPr>
          <w:rFonts w:eastAsia="Times New Roman"/>
          <w:sz w:val="28"/>
          <w:szCs w:val="28"/>
          <w:u w:color="0000FF"/>
          <w:lang w:val="es-ES_tradnl"/>
        </w:rPr>
        <w:t>con</w:t>
      </w:r>
      <w:r w:rsidRPr="0078289D">
        <w:rPr>
          <w:rFonts w:eastAsia="Times New Roman"/>
          <w:sz w:val="28"/>
          <w:szCs w:val="28"/>
          <w:u w:color="0000FF"/>
          <w:lang w:val="es-ES_tradnl"/>
        </w:rPr>
        <w:t xml:space="preserve"> e</w:t>
      </w:r>
      <w:r w:rsidR="00023A1D" w:rsidRPr="0078289D">
        <w:rPr>
          <w:rFonts w:eastAsia="Times New Roman"/>
          <w:sz w:val="28"/>
          <w:szCs w:val="28"/>
          <w:u w:color="0000FF"/>
          <w:lang w:val="es-ES_tradnl"/>
        </w:rPr>
        <w:t>l procedimiento de expropiación,</w:t>
      </w:r>
      <w:r w:rsidRPr="0078289D">
        <w:rPr>
          <w:rFonts w:eastAsia="Times New Roman"/>
          <w:sz w:val="28"/>
          <w:szCs w:val="28"/>
          <w:u w:color="0000FF"/>
          <w:lang w:val="es-ES_tradnl"/>
        </w:rPr>
        <w:t xml:space="preserve"> </w:t>
      </w:r>
      <w:r w:rsidR="00023A1D" w:rsidRPr="0078289D">
        <w:rPr>
          <w:rFonts w:eastAsia="Times New Roman"/>
          <w:sz w:val="28"/>
          <w:szCs w:val="28"/>
          <w:u w:color="0000FF"/>
          <w:lang w:val="es-ES_tradnl"/>
        </w:rPr>
        <w:t xml:space="preserve">la cual </w:t>
      </w:r>
      <w:r w:rsidRPr="0078289D">
        <w:rPr>
          <w:rFonts w:eastAsia="Times New Roman"/>
          <w:sz w:val="28"/>
          <w:szCs w:val="28"/>
          <w:u w:color="0000FF"/>
          <w:lang w:val="es-ES_tradnl"/>
        </w:rPr>
        <w:t xml:space="preserve">debe </w:t>
      </w:r>
      <w:r w:rsidR="00713AEF" w:rsidRPr="0078289D">
        <w:rPr>
          <w:rFonts w:eastAsia="Times New Roman"/>
          <w:sz w:val="28"/>
          <w:szCs w:val="28"/>
          <w:u w:color="0000FF"/>
          <w:lang w:val="es-ES_tradnl"/>
        </w:rPr>
        <w:t>estar consagrada explícitamente</w:t>
      </w:r>
      <w:r w:rsidRPr="0078289D">
        <w:rPr>
          <w:rFonts w:eastAsia="Times New Roman"/>
          <w:sz w:val="28"/>
          <w:szCs w:val="28"/>
          <w:u w:color="0000FF"/>
          <w:lang w:val="es-ES_tradnl"/>
        </w:rPr>
        <w:t xml:space="preserve"> en la norma que crea</w:t>
      </w:r>
      <w:r w:rsidR="00023A1D" w:rsidRPr="0078289D">
        <w:rPr>
          <w:rFonts w:eastAsia="Times New Roman"/>
          <w:sz w:val="28"/>
          <w:szCs w:val="28"/>
          <w:u w:color="0000FF"/>
          <w:lang w:val="es-ES_tradnl"/>
        </w:rPr>
        <w:t xml:space="preserve"> la facultad de expropiación.</w:t>
      </w:r>
      <w:r w:rsidRPr="0078289D">
        <w:rPr>
          <w:rFonts w:eastAsia="Times New Roman"/>
          <w:sz w:val="28"/>
          <w:szCs w:val="28"/>
          <w:u w:color="0000FF"/>
          <w:lang w:val="es-ES_tradnl"/>
        </w:rPr>
        <w:t xml:space="preserve"> En este sentido, la expropiación no puede devenir en una arbitraria privación del derecho de dominio </w:t>
      </w:r>
      <w:r w:rsidR="000B5645" w:rsidRPr="0078289D">
        <w:rPr>
          <w:rFonts w:eastAsia="Times New Roman"/>
          <w:sz w:val="28"/>
          <w:szCs w:val="28"/>
          <w:u w:color="0000FF"/>
          <w:lang w:val="es-ES_tradnl"/>
        </w:rPr>
        <w:t xml:space="preserve">sin que haya </w:t>
      </w:r>
      <w:r w:rsidRPr="0078289D">
        <w:rPr>
          <w:rFonts w:eastAsia="Times New Roman"/>
          <w:sz w:val="28"/>
          <w:szCs w:val="28"/>
          <w:u w:color="0000FF"/>
          <w:lang w:val="es-ES_tradnl"/>
        </w:rPr>
        <w:t xml:space="preserve">un motivo </w:t>
      </w:r>
      <w:r w:rsidR="00C11CDD" w:rsidRPr="0078289D">
        <w:rPr>
          <w:rFonts w:eastAsia="Times New Roman"/>
          <w:sz w:val="28"/>
          <w:szCs w:val="28"/>
          <w:u w:color="0000FF"/>
          <w:lang w:val="es-ES_tradnl"/>
        </w:rPr>
        <w:t>constitucionalmente válido para restringir el derecho de propiedad consagrado en la Constitución</w:t>
      </w:r>
      <w:r w:rsidRPr="0078289D">
        <w:rPr>
          <w:rFonts w:eastAsia="Times New Roman"/>
          <w:sz w:val="28"/>
          <w:szCs w:val="28"/>
          <w:u w:color="0000FF"/>
          <w:lang w:val="es-ES_tradnl"/>
        </w:rPr>
        <w:t>. Al respecto, esta Corporación manifestó:</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u w:color="0000FF"/>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sz w:val="28"/>
          <w:szCs w:val="28"/>
          <w:bdr w:val="none" w:sz="0" w:space="0" w:color="auto" w:frame="1"/>
          <w:lang w:val="es-ES_tradnl"/>
        </w:rPr>
      </w:pPr>
      <w:r w:rsidRPr="0078289D">
        <w:rPr>
          <w:rFonts w:eastAsia="Times New Roman"/>
          <w:sz w:val="28"/>
          <w:szCs w:val="28"/>
          <w:u w:color="0000FF"/>
          <w:lang w:val="es-ES_tradnl"/>
        </w:rPr>
        <w:t>“</w:t>
      </w:r>
      <w:r w:rsidRPr="0078289D">
        <w:rPr>
          <w:rFonts w:eastAsia="Times New Roman"/>
          <w:i/>
          <w:iCs/>
          <w:sz w:val="28"/>
          <w:szCs w:val="28"/>
          <w:u w:color="0000FF"/>
          <w:lang w:val="es-ES_tradnl"/>
        </w:rPr>
        <w:t xml:space="preserve">La expropiación comprende tres elementos característicos: 1. sujetos: El expropiante es el sujeto activo, es decir quien tiene la potestad expropiatoria; el beneficiario, es quien representa la razón de ser de la expropiación, el creador del motivo, de la necesidad de satisfacer un </w:t>
      </w:r>
      <w:r w:rsidRPr="0078289D">
        <w:rPr>
          <w:rFonts w:eastAsia="Times New Roman"/>
          <w:i/>
          <w:iCs/>
          <w:sz w:val="28"/>
          <w:szCs w:val="28"/>
          <w:u w:color="0000FF"/>
          <w:lang w:val="es-ES_tradnl"/>
        </w:rPr>
        <w:lastRenderedPageBreak/>
        <w:t xml:space="preserve">interés público y/o utilidad pública y el expropiado, titular de los derechos reales sobre los bienes requeridos por el Estado. 2. Objeto. Los derechos de índole patrimonial que sacrifican los particulares a favor de la Administración, sin incluir los derechos personales o personalísimos, para satisfacer la causa expropiandi, de allí la necesidad de establecer los derechos patrimoniales del sujeto expropiado sobre el objeto delimitado y, </w:t>
      </w:r>
      <w:r w:rsidRPr="0078289D">
        <w:rPr>
          <w:rFonts w:eastAsia="Times New Roman"/>
          <w:b/>
          <w:i/>
          <w:iCs/>
          <w:sz w:val="28"/>
          <w:szCs w:val="28"/>
          <w:u w:val="single"/>
          <w:lang w:val="es-ES_tradnl"/>
        </w:rPr>
        <w:t>3. La causa expropiandi o justificación presentada por el Estado para utilizar la figura de la expropiación.</w:t>
      </w:r>
      <w:r w:rsidRPr="0078289D">
        <w:rPr>
          <w:rFonts w:eastAsia="Times New Roman"/>
          <w:i/>
          <w:iCs/>
          <w:sz w:val="28"/>
          <w:szCs w:val="28"/>
          <w:u w:color="0000FF"/>
          <w:lang w:val="es-ES_tradnl"/>
        </w:rPr>
        <w:t xml:space="preserve"> </w:t>
      </w:r>
      <w:r w:rsidRPr="0078289D">
        <w:rPr>
          <w:rFonts w:eastAsia="Times New Roman"/>
          <w:b/>
          <w:i/>
          <w:iCs/>
          <w:sz w:val="28"/>
          <w:szCs w:val="28"/>
          <w:u w:val="single"/>
          <w:lang w:val="es-ES_tradnl"/>
        </w:rPr>
        <w:t>Ésta debe tener un objetivo que cumplir, que sea acorde con los fines de la utilidad pública e interés social, especificado en la norma</w:t>
      </w:r>
      <w:r w:rsidRPr="0078289D">
        <w:rPr>
          <w:rFonts w:eastAsia="Times New Roman"/>
          <w:b/>
          <w:bCs/>
          <w:i/>
          <w:iCs/>
          <w:sz w:val="28"/>
          <w:szCs w:val="28"/>
          <w:u w:val="single"/>
          <w:lang w:val="es-ES_tradnl"/>
        </w:rPr>
        <w:t xml:space="preserve"> </w:t>
      </w:r>
      <w:r w:rsidRPr="0078289D">
        <w:rPr>
          <w:rFonts w:eastAsia="Times New Roman"/>
          <w:b/>
          <w:i/>
          <w:iCs/>
          <w:sz w:val="28"/>
          <w:szCs w:val="28"/>
          <w:u w:val="single"/>
          <w:lang w:val="es-ES_tradnl"/>
        </w:rPr>
        <w:t>que la crea:</w:t>
      </w:r>
      <w:r w:rsidRPr="0078289D">
        <w:rPr>
          <w:rFonts w:eastAsia="Times New Roman"/>
          <w:i/>
          <w:iCs/>
          <w:sz w:val="28"/>
          <w:szCs w:val="28"/>
          <w:u w:color="0000FF"/>
          <w:lang w:val="es-ES_tradnl"/>
        </w:rPr>
        <w:t xml:space="preserve"> “lo primero que hay que notar es que el fin de la expropiación no es la mera “privación” en que ésta consiste, sino el destino posterior </w:t>
      </w:r>
      <w:r w:rsidRPr="0078289D">
        <w:rPr>
          <w:rFonts w:eastAsia="Times New Roman"/>
          <w:i/>
          <w:iCs/>
          <w:sz w:val="28"/>
          <w:szCs w:val="28"/>
          <w:lang w:val="es-ES_tradnl"/>
        </w:rPr>
        <w:t>a que tras la privación expropiatoria ha de afectarse el bien que se expropia</w:t>
      </w:r>
      <w:r w:rsidRPr="0078289D">
        <w:rPr>
          <w:rFonts w:eastAsia="Times New Roman"/>
          <w:bCs/>
          <w:i/>
          <w:iCs/>
          <w:sz w:val="28"/>
          <w:szCs w:val="28"/>
          <w:lang w:val="es-ES_tradnl"/>
        </w:rPr>
        <w:t xml:space="preserve">” </w:t>
      </w:r>
      <w:r w:rsidRPr="0078289D">
        <w:rPr>
          <w:rFonts w:eastAsia="Times New Roman"/>
          <w:i/>
          <w:iCs/>
          <w:sz w:val="28"/>
          <w:szCs w:val="28"/>
          <w:lang w:val="es-ES_tradnl"/>
        </w:rPr>
        <w:t>es decir, siempre hay una transformación al terminar la expropiación, lo que hace que la expropiación sea un instrumento para llegar al fin de la meta propuesta</w:t>
      </w:r>
      <w:r w:rsidRPr="0078289D">
        <w:rPr>
          <w:rFonts w:eastAsia="Times New Roman"/>
          <w:i/>
          <w:iCs/>
          <w:sz w:val="28"/>
          <w:szCs w:val="28"/>
          <w:u w:color="0000FF"/>
          <w:lang w:val="es-ES_tradnl"/>
        </w:rPr>
        <w:t xml:space="preserve"> en la ley, un elemento que conllevará a realizar ciertos objetivos planteados para una situación fijada, que amerita la obtención de cierto derecho</w:t>
      </w:r>
      <w:r w:rsidRPr="0078289D">
        <w:rPr>
          <w:rFonts w:eastAsia="Times New Roman"/>
          <w:sz w:val="28"/>
          <w:szCs w:val="28"/>
          <w:u w:color="0000FF"/>
          <w:lang w:val="es-ES_tradnl"/>
        </w:rPr>
        <w:t>”. (Subraya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eastAsia="es-CO"/>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eastAsia="es-CO"/>
        </w:rPr>
        <w:t>55</w:t>
      </w:r>
      <w:r w:rsidR="001D4062" w:rsidRPr="0078289D">
        <w:rPr>
          <w:rFonts w:eastAsia="Times New Roman"/>
          <w:sz w:val="28"/>
          <w:szCs w:val="28"/>
          <w:lang w:val="es-ES_tradnl" w:eastAsia="es-CO"/>
        </w:rPr>
        <w:t xml:space="preserve">. </w:t>
      </w:r>
      <w:r w:rsidR="00840465" w:rsidRPr="0078289D">
        <w:rPr>
          <w:rFonts w:eastAsia="Times New Roman"/>
          <w:sz w:val="28"/>
          <w:szCs w:val="28"/>
          <w:lang w:val="es-ES_tradnl" w:eastAsia="es-CO"/>
        </w:rPr>
        <w:t>El procedimiento de expropiación se encuentra, a su vez, regulado en el Código General del Proceso o Ley 1564 de 2012. No obstante</w:t>
      </w:r>
      <w:r w:rsidR="00840465" w:rsidRPr="0078289D">
        <w:rPr>
          <w:rFonts w:eastAsia="Times New Roman"/>
          <w:iCs/>
          <w:sz w:val="28"/>
          <w:szCs w:val="28"/>
          <w:lang w:val="es-ES_tradnl"/>
        </w:rPr>
        <w:t xml:space="preserve">, lo cierto es que los motivos de utilidad pública e interés social, es decir, la </w:t>
      </w:r>
      <w:r w:rsidR="00840465" w:rsidRPr="0078289D">
        <w:rPr>
          <w:rFonts w:eastAsia="Times New Roman"/>
          <w:i/>
          <w:iCs/>
          <w:sz w:val="28"/>
          <w:szCs w:val="28"/>
          <w:lang w:val="es-ES_tradnl"/>
        </w:rPr>
        <w:t xml:space="preserve">causa expropiandi, </w:t>
      </w:r>
      <w:r w:rsidR="00840465" w:rsidRPr="0078289D">
        <w:rPr>
          <w:rFonts w:eastAsia="Times New Roman"/>
          <w:iCs/>
          <w:sz w:val="28"/>
          <w:szCs w:val="28"/>
          <w:lang w:val="es-ES_tradnl"/>
        </w:rPr>
        <w:t>no están co</w:t>
      </w:r>
      <w:r w:rsidR="00E0766A" w:rsidRPr="0078289D">
        <w:rPr>
          <w:rFonts w:eastAsia="Times New Roman"/>
          <w:iCs/>
          <w:sz w:val="28"/>
          <w:szCs w:val="28"/>
          <w:lang w:val="es-ES_tradnl"/>
        </w:rPr>
        <w:t>nsignados en una única norma, sino que dependen de la materia específica que esté siendo regulada</w:t>
      </w:r>
      <w:r w:rsidR="00840465" w:rsidRPr="0078289D">
        <w:rPr>
          <w:rFonts w:eastAsia="Times New Roman"/>
          <w:iCs/>
          <w:sz w:val="28"/>
          <w:szCs w:val="28"/>
          <w:lang w:val="es-ES_tradnl"/>
        </w:rPr>
        <w:t xml:space="preserve">. </w:t>
      </w:r>
      <w:r w:rsidR="0048401B" w:rsidRPr="0078289D">
        <w:rPr>
          <w:rFonts w:eastAsia="Times New Roman"/>
          <w:iCs/>
          <w:sz w:val="28"/>
          <w:szCs w:val="28"/>
          <w:lang w:val="es-ES_tradnl"/>
        </w:rPr>
        <w:t>Por consiguiente</w:t>
      </w:r>
      <w:r w:rsidR="00840465" w:rsidRPr="0078289D">
        <w:rPr>
          <w:rFonts w:eastAsia="Times New Roman"/>
          <w:iCs/>
          <w:sz w:val="28"/>
          <w:szCs w:val="28"/>
          <w:lang w:val="es-ES_tradnl"/>
        </w:rPr>
        <w:t xml:space="preserve">, para determinar </w:t>
      </w:r>
      <w:r w:rsidR="00E0766A" w:rsidRPr="0078289D">
        <w:rPr>
          <w:rFonts w:eastAsia="Times New Roman"/>
          <w:iCs/>
          <w:sz w:val="28"/>
          <w:szCs w:val="28"/>
          <w:lang w:val="es-ES_tradnl"/>
        </w:rPr>
        <w:t>si el Legislador definió</w:t>
      </w:r>
      <w:r w:rsidR="00840465" w:rsidRPr="0078289D">
        <w:rPr>
          <w:rFonts w:eastAsia="Times New Roman"/>
          <w:iCs/>
          <w:sz w:val="28"/>
          <w:szCs w:val="28"/>
          <w:lang w:val="es-ES_tradnl"/>
        </w:rPr>
        <w:t xml:space="preserve"> la </w:t>
      </w:r>
      <w:r w:rsidR="00840465" w:rsidRPr="0078289D">
        <w:rPr>
          <w:rFonts w:eastAsia="Times New Roman"/>
          <w:i/>
          <w:iCs/>
          <w:sz w:val="28"/>
          <w:szCs w:val="28"/>
          <w:lang w:val="es-ES_tradnl"/>
        </w:rPr>
        <w:t>causa expropiandi</w:t>
      </w:r>
      <w:r w:rsidR="00840465" w:rsidRPr="0078289D">
        <w:rPr>
          <w:rFonts w:eastAsia="Times New Roman"/>
          <w:iCs/>
          <w:sz w:val="28"/>
          <w:szCs w:val="28"/>
          <w:lang w:val="es-ES_tradnl"/>
        </w:rPr>
        <w:t xml:space="preserve"> en cada caso concreto, será necesario realizar un análisis de las normas que regulan la materia </w:t>
      </w:r>
      <w:r w:rsidR="005948B2" w:rsidRPr="0078289D">
        <w:rPr>
          <w:rFonts w:eastAsia="Times New Roman"/>
          <w:iCs/>
          <w:sz w:val="28"/>
          <w:szCs w:val="28"/>
          <w:lang w:val="es-ES_tradnl"/>
        </w:rPr>
        <w:t>específica de que se trate</w:t>
      </w:r>
      <w:r w:rsidR="00840465" w:rsidRPr="0078289D">
        <w:rPr>
          <w:rFonts w:eastAsia="Times New Roman"/>
          <w:iCs/>
          <w:sz w:val="28"/>
          <w:szCs w:val="28"/>
          <w:lang w:val="es-ES_tradnl"/>
        </w:rPr>
        <w:t xml:space="preserve">. Así, en aquellas situaciones de expropiación de bienes inmuebles ubicados en el área urbana </w:t>
      </w:r>
      <w:r w:rsidR="005948B2" w:rsidRPr="0078289D">
        <w:rPr>
          <w:rFonts w:eastAsia="Times New Roman"/>
          <w:iCs/>
          <w:sz w:val="28"/>
          <w:szCs w:val="28"/>
          <w:lang w:val="es-ES_tradnl"/>
        </w:rPr>
        <w:t>será</w:t>
      </w:r>
      <w:r w:rsidR="00840465" w:rsidRPr="0078289D">
        <w:rPr>
          <w:rFonts w:eastAsia="Times New Roman"/>
          <w:iCs/>
          <w:sz w:val="28"/>
          <w:szCs w:val="28"/>
          <w:lang w:val="es-ES_tradnl"/>
        </w:rPr>
        <w:t xml:space="preserve"> necesario acudir a la Ley 388 de 1997. En efecto, el artículo 58 de la referida ley establece expresamente cuáles son los motivos de utilidad pública e interés social para el inicio del trámite de expropiación, entre los cuales se encuentran la </w:t>
      </w:r>
      <w:r w:rsidR="00840465" w:rsidRPr="0078289D">
        <w:rPr>
          <w:rFonts w:eastAsia="Times New Roman"/>
          <w:i/>
          <w:iCs/>
          <w:sz w:val="28"/>
          <w:szCs w:val="28"/>
          <w:lang w:val="es-ES_tradnl"/>
        </w:rPr>
        <w:t>“</w:t>
      </w:r>
      <w:r w:rsidR="00840465" w:rsidRPr="0078289D">
        <w:rPr>
          <w:rFonts w:eastAsia="Times New Roman"/>
          <w:i/>
          <w:sz w:val="28"/>
          <w:szCs w:val="28"/>
          <w:lang w:val="es-ES_tradnl"/>
        </w:rPr>
        <w:t>ejecución de proyectos de construcción de infraestructura social en los sectores de la salud, educación, recreación, centrales de abasto y seguridad ciudadana”</w:t>
      </w:r>
      <w:r w:rsidR="00840465" w:rsidRPr="0078289D">
        <w:rPr>
          <w:rFonts w:eastAsia="Times New Roman"/>
          <w:sz w:val="28"/>
          <w:szCs w:val="28"/>
          <w:lang w:val="es-ES_tradnl"/>
        </w:rPr>
        <w:t xml:space="preserve">, </w:t>
      </w:r>
      <w:r w:rsidR="00840465" w:rsidRPr="0078289D">
        <w:rPr>
          <w:rFonts w:eastAsia="Times New Roman"/>
          <w:i/>
          <w:sz w:val="28"/>
          <w:szCs w:val="28"/>
          <w:lang w:val="es-ES_tradnl"/>
        </w:rPr>
        <w:t>“el desarrollo  de proyectos de vivienda de interés social”, la “ejecución de  programas y proyectos de renovación urbana y provisión de espacios públicos urbanos”,</w:t>
      </w:r>
      <w:r w:rsidR="00840465" w:rsidRPr="0078289D">
        <w:rPr>
          <w:rFonts w:eastAsia="Times New Roman"/>
          <w:sz w:val="28"/>
          <w:szCs w:val="28"/>
          <w:lang w:val="es-ES_tradnl"/>
        </w:rPr>
        <w:t xml:space="preserve"> entre otros.</w:t>
      </w:r>
      <w:r w:rsidR="00840465" w:rsidRPr="0078289D">
        <w:rPr>
          <w:rFonts w:eastAsia="Times New Roman"/>
          <w:i/>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Cs/>
          <w:sz w:val="28"/>
          <w:szCs w:val="28"/>
          <w:lang w:val="es-ES_tradnl"/>
        </w:rPr>
      </w:pPr>
    </w:p>
    <w:p w:rsidR="00840465" w:rsidRPr="0078289D" w:rsidRDefault="00EE3A54"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iCs/>
          <w:sz w:val="28"/>
          <w:szCs w:val="28"/>
          <w:lang w:val="es-ES_tradnl"/>
        </w:rPr>
        <w:t>Así mismo</w:t>
      </w:r>
      <w:r w:rsidR="00840465" w:rsidRPr="0078289D">
        <w:rPr>
          <w:rFonts w:eastAsia="Times New Roman"/>
          <w:iCs/>
          <w:sz w:val="28"/>
          <w:szCs w:val="28"/>
          <w:lang w:val="es-ES_tradnl"/>
        </w:rPr>
        <w:t xml:space="preserve">, la Ley 99 de 1993 regula lo concerniente a la expropiación </w:t>
      </w:r>
      <w:r w:rsidR="005948B2" w:rsidRPr="0078289D">
        <w:rPr>
          <w:rFonts w:eastAsia="Times New Roman"/>
          <w:iCs/>
          <w:sz w:val="28"/>
          <w:szCs w:val="28"/>
          <w:lang w:val="es-ES_tradnl"/>
        </w:rPr>
        <w:t xml:space="preserve">en materia </w:t>
      </w:r>
      <w:r w:rsidR="00840465" w:rsidRPr="0078289D">
        <w:rPr>
          <w:rFonts w:eastAsia="Times New Roman"/>
          <w:iCs/>
          <w:sz w:val="28"/>
          <w:szCs w:val="28"/>
          <w:lang w:val="es-ES_tradnl"/>
        </w:rPr>
        <w:t xml:space="preserve">ambiental, y señala los motivos de utilidad pública e interés social en su artículo 107. Así, la norma contempla que </w:t>
      </w:r>
      <w:r w:rsidR="00840465" w:rsidRPr="0078289D">
        <w:rPr>
          <w:rFonts w:eastAsia="Times New Roman"/>
          <w:sz w:val="28"/>
          <w:szCs w:val="28"/>
          <w:lang w:val="es-ES_tradnl"/>
        </w:rPr>
        <w:t xml:space="preserve">la ejecución de obras públicas para la protección y manejo del medio ambiente y </w:t>
      </w:r>
      <w:r w:rsidR="005948B2" w:rsidRPr="0078289D">
        <w:rPr>
          <w:rFonts w:eastAsia="Times New Roman"/>
          <w:sz w:val="28"/>
          <w:szCs w:val="28"/>
          <w:lang w:val="es-ES_tradnl"/>
        </w:rPr>
        <w:t xml:space="preserve">de </w:t>
      </w:r>
      <w:r w:rsidR="00840465" w:rsidRPr="0078289D">
        <w:rPr>
          <w:rFonts w:eastAsia="Times New Roman"/>
          <w:sz w:val="28"/>
          <w:szCs w:val="28"/>
          <w:lang w:val="es-ES_tradnl"/>
        </w:rPr>
        <w:t xml:space="preserve">los recursos naturales renovables, la declaración y alinderamiento de áreas que integren el Sistema de Parques Nacionales Naturales, y la ordenación de cuencas hidrográficas, entre otros eventos, </w:t>
      </w:r>
      <w:r w:rsidR="00840465" w:rsidRPr="0078289D">
        <w:rPr>
          <w:rFonts w:eastAsia="Times New Roman"/>
          <w:iCs/>
          <w:sz w:val="28"/>
          <w:szCs w:val="28"/>
          <w:lang w:val="es-ES_tradnl"/>
        </w:rPr>
        <w:t xml:space="preserve">son motivos de utilidad pública e interés social, y por ende, causas para el inicio del trámite de expropiación. </w:t>
      </w:r>
    </w:p>
    <w:p w:rsidR="00E744D3"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Cs/>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Cs/>
          <w:sz w:val="28"/>
          <w:szCs w:val="28"/>
          <w:lang w:val="es-ES_tradnl"/>
        </w:rPr>
      </w:pPr>
      <w:r w:rsidRPr="0078289D">
        <w:rPr>
          <w:rFonts w:eastAsia="Times New Roman"/>
          <w:iCs/>
          <w:sz w:val="28"/>
          <w:szCs w:val="28"/>
          <w:lang w:val="es-ES_tradnl"/>
        </w:rPr>
        <w:t xml:space="preserve">Por otro lado, la Ley 1682 de 2013, que regula la expropiación para </w:t>
      </w:r>
      <w:r w:rsidR="00B47FA6" w:rsidRPr="0078289D">
        <w:rPr>
          <w:rFonts w:eastAsia="Times New Roman"/>
          <w:iCs/>
          <w:sz w:val="28"/>
          <w:szCs w:val="28"/>
          <w:lang w:val="es-ES_tradnl"/>
        </w:rPr>
        <w:t>proyectos</w:t>
      </w:r>
      <w:r w:rsidRPr="0078289D">
        <w:rPr>
          <w:rFonts w:eastAsia="Times New Roman"/>
          <w:iCs/>
          <w:sz w:val="28"/>
          <w:szCs w:val="28"/>
          <w:lang w:val="es-ES_tradnl"/>
        </w:rPr>
        <w:t xml:space="preserve"> </w:t>
      </w:r>
      <w:r w:rsidR="00B47FA6" w:rsidRPr="0078289D">
        <w:rPr>
          <w:rFonts w:eastAsia="Times New Roman"/>
          <w:iCs/>
          <w:sz w:val="28"/>
          <w:szCs w:val="28"/>
          <w:lang w:val="es-ES_tradnl"/>
        </w:rPr>
        <w:t>y</w:t>
      </w:r>
      <w:r w:rsidRPr="0078289D">
        <w:rPr>
          <w:rFonts w:eastAsia="Times New Roman"/>
          <w:iCs/>
          <w:sz w:val="28"/>
          <w:szCs w:val="28"/>
          <w:lang w:val="es-ES_tradnl"/>
        </w:rPr>
        <w:t xml:space="preserve"> obras de infraestructura</w:t>
      </w:r>
      <w:r w:rsidR="007C2594" w:rsidRPr="0078289D">
        <w:rPr>
          <w:rFonts w:eastAsia="Times New Roman"/>
          <w:iCs/>
          <w:sz w:val="28"/>
          <w:szCs w:val="28"/>
          <w:lang w:val="es-ES_tradnl"/>
        </w:rPr>
        <w:t xml:space="preserve"> de transporte</w:t>
      </w:r>
      <w:r w:rsidRPr="0078289D">
        <w:rPr>
          <w:rFonts w:eastAsia="Times New Roman"/>
          <w:iCs/>
          <w:sz w:val="28"/>
          <w:szCs w:val="28"/>
          <w:lang w:val="es-ES_tradnl"/>
        </w:rPr>
        <w:t xml:space="preserve">, en sus artículos 19 y 20 establece los </w:t>
      </w:r>
      <w:r w:rsidRPr="0078289D">
        <w:rPr>
          <w:rFonts w:eastAsia="Times New Roman"/>
          <w:iCs/>
          <w:sz w:val="28"/>
          <w:szCs w:val="28"/>
          <w:lang w:val="es-ES_tradnl"/>
        </w:rPr>
        <w:lastRenderedPageBreak/>
        <w:t>motivos de utilidad pública e interés social que ev</w:t>
      </w:r>
      <w:r w:rsidR="00B47FA6" w:rsidRPr="0078289D">
        <w:rPr>
          <w:rFonts w:eastAsia="Times New Roman"/>
          <w:iCs/>
          <w:sz w:val="28"/>
          <w:szCs w:val="28"/>
          <w:lang w:val="es-ES_tradnl"/>
        </w:rPr>
        <w:t>entualm</w:t>
      </w:r>
      <w:r w:rsidR="007C2594" w:rsidRPr="0078289D">
        <w:rPr>
          <w:rFonts w:eastAsia="Times New Roman"/>
          <w:iCs/>
          <w:sz w:val="28"/>
          <w:szCs w:val="28"/>
          <w:lang w:val="es-ES_tradnl"/>
        </w:rPr>
        <w:t>ente podrían dar lugar a que las entidades encargadas</w:t>
      </w:r>
      <w:r w:rsidRPr="0078289D">
        <w:rPr>
          <w:rFonts w:eastAsia="Times New Roman"/>
          <w:iCs/>
          <w:sz w:val="28"/>
          <w:szCs w:val="28"/>
          <w:lang w:val="es-ES_tradnl"/>
        </w:rPr>
        <w:t xml:space="preserve"> </w:t>
      </w:r>
      <w:r w:rsidR="007C2594" w:rsidRPr="0078289D">
        <w:rPr>
          <w:rFonts w:eastAsia="Times New Roman"/>
          <w:iCs/>
          <w:sz w:val="28"/>
          <w:szCs w:val="28"/>
          <w:lang w:val="es-ES_tradnl"/>
        </w:rPr>
        <w:t>inicien procedimientos</w:t>
      </w:r>
      <w:r w:rsidRPr="0078289D">
        <w:rPr>
          <w:rFonts w:eastAsia="Times New Roman"/>
          <w:iCs/>
          <w:sz w:val="28"/>
          <w:szCs w:val="28"/>
          <w:lang w:val="es-ES_tradnl"/>
        </w:rPr>
        <w:t xml:space="preserve"> </w:t>
      </w:r>
      <w:r w:rsidR="007C2594" w:rsidRPr="0078289D">
        <w:rPr>
          <w:rFonts w:eastAsia="Times New Roman"/>
          <w:iCs/>
          <w:sz w:val="28"/>
          <w:szCs w:val="28"/>
          <w:lang w:val="es-ES_tradnl"/>
        </w:rPr>
        <w:t>de expropiación</w:t>
      </w:r>
      <w:r w:rsidRPr="0078289D">
        <w:rPr>
          <w:rFonts w:eastAsia="Times New Roman"/>
          <w:iCs/>
          <w:sz w:val="28"/>
          <w:szCs w:val="28"/>
          <w:lang w:val="es-ES_tradnl"/>
        </w:rPr>
        <w:t>, así:</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Cs/>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
        </w:rPr>
      </w:pPr>
      <w:r w:rsidRPr="0078289D">
        <w:rPr>
          <w:rFonts w:eastAsia="Times New Roman"/>
          <w:b/>
          <w:bCs/>
          <w:i/>
          <w:sz w:val="28"/>
          <w:szCs w:val="28"/>
          <w:lang w:val="es-ES"/>
        </w:rPr>
        <w:t>“Artículo  19.</w:t>
      </w:r>
      <w:r w:rsidRPr="0078289D">
        <w:rPr>
          <w:rFonts w:eastAsia="Times New Roman"/>
          <w:i/>
          <w:sz w:val="28"/>
          <w:szCs w:val="28"/>
          <w:lang w:val="es-ES"/>
        </w:rPr>
        <w:t xml:space="preserve"> Definir como un motivo de utilidad pública e interés social la ejecución y/o desarrollo de proyectos de infraestructura del transporte a los que se refiere esta ley, así como el desarrollo de las actividades relacionadas con su construcción, mantenimiento, rehabilitación o mejora, quedando autorizada la expropiación administrativa o judicial de los bienes e inmuebles urbanos y rurales que se requieran para tal fin, de conformidad con el artículo 58 de la Constitución Política.</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
          <w:sz w:val="28"/>
          <w:szCs w:val="28"/>
          <w:lang w:val="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
        </w:rPr>
      </w:pPr>
      <w:r w:rsidRPr="0078289D">
        <w:rPr>
          <w:rFonts w:eastAsia="Times New Roman"/>
          <w:i/>
          <w:iCs/>
          <w:color w:val="1A1718"/>
          <w:sz w:val="28"/>
          <w:szCs w:val="28"/>
          <w:lang w:val="es-ES"/>
        </w:rPr>
        <w:t>“</w:t>
      </w:r>
      <w:r w:rsidRPr="0078289D">
        <w:rPr>
          <w:rFonts w:eastAsia="Times New Roman"/>
          <w:b/>
          <w:bCs/>
          <w:i/>
          <w:iCs/>
          <w:color w:val="1A1718"/>
          <w:sz w:val="28"/>
          <w:szCs w:val="28"/>
          <w:lang w:val="es-ES"/>
        </w:rPr>
        <w:t xml:space="preserve">Artículo 20. </w:t>
      </w:r>
      <w:r w:rsidRPr="0078289D">
        <w:rPr>
          <w:rFonts w:eastAsia="Times New Roman"/>
          <w:i/>
          <w:iCs/>
          <w:color w:val="1A1718"/>
          <w:sz w:val="28"/>
          <w:szCs w:val="28"/>
          <w:lang w:val="es-ES"/>
        </w:rPr>
        <w:t xml:space="preserve">La adquisición predial es responsabilidad del Estado y para ello la entidad pública responsable del proyecto podrá adelantar la expropiación administrativa con fundamento en el motivo definido en el artículo anterior, siguiendo para el efecto los procedimientos previstos en las Leyes 9a de 1989 y 388 de 1997, o la expropiación judicial con fundamento en el mismo motivo, de conformidad con lo previsto en las </w:t>
      </w:r>
      <w:r w:rsidRPr="0078289D">
        <w:rPr>
          <w:rFonts w:eastAsia="Times New Roman"/>
          <w:i/>
          <w:iCs/>
          <w:sz w:val="28"/>
          <w:szCs w:val="28"/>
          <w:lang w:val="es-ES"/>
        </w:rPr>
        <w:t xml:space="preserve">Leyes </w:t>
      </w:r>
      <w:hyperlink r:id="rId18" w:anchor="0" w:history="1">
        <w:r w:rsidRPr="0078289D">
          <w:rPr>
            <w:rFonts w:eastAsia="Times New Roman"/>
            <w:i/>
            <w:iCs/>
            <w:sz w:val="28"/>
            <w:szCs w:val="28"/>
            <w:lang w:val="es-ES"/>
          </w:rPr>
          <w:t>9ª</w:t>
        </w:r>
      </w:hyperlink>
      <w:r w:rsidRPr="0078289D">
        <w:rPr>
          <w:rFonts w:eastAsia="Times New Roman"/>
          <w:i/>
          <w:iCs/>
          <w:sz w:val="28"/>
          <w:szCs w:val="28"/>
          <w:lang w:val="es-ES"/>
        </w:rPr>
        <w:t xml:space="preserve"> de 1989, </w:t>
      </w:r>
      <w:hyperlink r:id="rId19" w:anchor="0" w:history="1">
        <w:r w:rsidRPr="0078289D">
          <w:rPr>
            <w:rFonts w:eastAsia="Times New Roman"/>
            <w:i/>
            <w:iCs/>
            <w:sz w:val="28"/>
            <w:szCs w:val="28"/>
            <w:lang w:val="es-ES"/>
          </w:rPr>
          <w:t>388</w:t>
        </w:r>
      </w:hyperlink>
      <w:r w:rsidRPr="0078289D">
        <w:rPr>
          <w:rFonts w:eastAsia="Times New Roman"/>
          <w:i/>
          <w:iCs/>
          <w:sz w:val="28"/>
          <w:szCs w:val="28"/>
          <w:lang w:val="es-ES"/>
        </w:rPr>
        <w:t xml:space="preserve"> de 1997 y </w:t>
      </w:r>
      <w:hyperlink r:id="rId20" w:anchor="0" w:history="1">
        <w:r w:rsidRPr="0078289D">
          <w:rPr>
            <w:rFonts w:eastAsia="Times New Roman"/>
            <w:i/>
            <w:iCs/>
            <w:sz w:val="28"/>
            <w:szCs w:val="28"/>
            <w:lang w:val="es-ES"/>
          </w:rPr>
          <w:t>1564</w:t>
        </w:r>
      </w:hyperlink>
      <w:r w:rsidRPr="0078289D">
        <w:rPr>
          <w:rFonts w:eastAsia="Times New Roman"/>
          <w:i/>
          <w:iCs/>
          <w:sz w:val="28"/>
          <w:szCs w:val="28"/>
          <w:lang w:val="es-ES"/>
        </w:rPr>
        <w:t xml:space="preserve"> de 2012</w:t>
      </w:r>
      <w:r w:rsidRPr="0078289D">
        <w:rPr>
          <w:rFonts w:eastAsia="Times New Roman"/>
          <w:i/>
          <w:sz w:val="28"/>
          <w:szCs w:val="28"/>
          <w:lang w:val="es-ES"/>
        </w:rPr>
        <w:t>.</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i/>
          <w:sz w:val="28"/>
          <w:szCs w:val="28"/>
          <w:lang w:val="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
        </w:rPr>
      </w:pPr>
      <w:r w:rsidRPr="0078289D">
        <w:rPr>
          <w:rFonts w:eastAsia="Times New Roman"/>
          <w:i/>
          <w:iCs/>
          <w:color w:val="1A1718"/>
          <w:sz w:val="28"/>
          <w:szCs w:val="28"/>
          <w:lang w:val="es-ES"/>
        </w:rPr>
        <w:t>En todos los casos de expropiación, incluyendo los procesos de adquisición predial en curso, deben aplicarse las reglas especiales previstas en la presente ley.</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
        </w:rPr>
      </w:pPr>
      <w:r w:rsidRPr="0078289D">
        <w:rPr>
          <w:rFonts w:eastAsia="Times New Roman"/>
          <w:i/>
          <w:color w:val="1A1718"/>
          <w:sz w:val="28"/>
          <w:szCs w:val="28"/>
          <w:lang w:val="es-ES"/>
        </w:rPr>
        <w:t>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lang w:val="es-ES"/>
        </w:rPr>
      </w:pPr>
      <w:r w:rsidRPr="0078289D">
        <w:rPr>
          <w:rFonts w:eastAsia="Times New Roman"/>
          <w:b/>
          <w:bCs/>
          <w:i/>
          <w:color w:val="1A1718"/>
          <w:sz w:val="28"/>
          <w:szCs w:val="28"/>
          <w:lang w:val="es-ES"/>
        </w:rPr>
        <w:t xml:space="preserve">Parágrafo 1. </w:t>
      </w:r>
      <w:r w:rsidRPr="0078289D">
        <w:rPr>
          <w:rFonts w:eastAsia="Times New Roman"/>
          <w:i/>
          <w:iCs/>
          <w:color w:val="1A1718"/>
          <w:sz w:val="28"/>
          <w:szCs w:val="28"/>
          <w:lang w:val="es-ES"/>
        </w:rPr>
        <w:t>La adquisición de predios de propiedad privada o pública necesarios para establecer puertos, se adelantará conforme a lo señalado en las reglas especiales de la Ley 1</w:t>
      </w:r>
      <w:r w:rsidRPr="0078289D">
        <w:rPr>
          <w:rFonts w:eastAsia="Times New Roman"/>
          <w:i/>
          <w:color w:val="1A1718"/>
          <w:sz w:val="28"/>
          <w:szCs w:val="28"/>
          <w:lang w:val="es-ES"/>
        </w:rPr>
        <w:t xml:space="preserve">ª </w:t>
      </w:r>
      <w:r w:rsidRPr="0078289D">
        <w:rPr>
          <w:rFonts w:eastAsia="Times New Roman"/>
          <w:i/>
          <w:iCs/>
          <w:color w:val="1A1718"/>
          <w:sz w:val="28"/>
          <w:szCs w:val="28"/>
          <w:lang w:val="es-ES"/>
        </w:rPr>
        <w:t>de 1991 o aquellas que la complementen, modifiquen o sustituyan de manera expresa.</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rPr>
          <w:rFonts w:eastAsia="Times New Roman"/>
          <w:i/>
          <w:sz w:val="28"/>
          <w:szCs w:val="28"/>
          <w:lang w:val="es-ES"/>
        </w:rPr>
      </w:pPr>
      <w:r w:rsidRPr="0078289D">
        <w:rPr>
          <w:rFonts w:eastAsia="Times New Roman"/>
          <w:i/>
          <w:sz w:val="28"/>
          <w:szCs w:val="28"/>
          <w:lang w:val="es-ES"/>
        </w:rPr>
        <w:t>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lang w:val="es-ES"/>
        </w:rPr>
      </w:pPr>
      <w:r w:rsidRPr="0078289D">
        <w:rPr>
          <w:rFonts w:eastAsia="Times New Roman"/>
          <w:b/>
          <w:bCs/>
          <w:i/>
          <w:color w:val="1A1718"/>
          <w:sz w:val="28"/>
          <w:szCs w:val="28"/>
          <w:lang w:val="es-ES"/>
        </w:rPr>
        <w:t xml:space="preserve">Parágrafo 2. </w:t>
      </w:r>
      <w:r w:rsidRPr="0078289D">
        <w:rPr>
          <w:rFonts w:eastAsia="Times New Roman"/>
          <w:i/>
          <w:iCs/>
          <w:color w:val="1A1718"/>
          <w:sz w:val="28"/>
          <w:szCs w:val="28"/>
          <w:lang w:val="es-ES"/>
        </w:rPr>
        <w:t>Debe garantizarse el debido proceso en la adquisición de predios necesarios para el desarrollo o ejecución de los proyectos de infraestructura de transporte, en consecuencia, las entidades públicas o los particulares que actúen como sus representantes, deberán ceñirse a los procedimientos establecidos en la ley, respetando en todos los casos el derecho de contradicción”.</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r w:rsidRPr="0078289D">
        <w:rPr>
          <w:sz w:val="28"/>
          <w:szCs w:val="28"/>
          <w:bdr w:val="none" w:sz="0" w:space="0" w:color="auto" w:frame="1"/>
          <w:lang w:val="es-ES_tradnl"/>
        </w:rPr>
        <w:t xml:space="preserve">Finalmente, la Ley 685 de 2001 o Código de Minas establece en su artículo 13 que la minería, en todas sus ramas y fases, es considerada un motivo de utilidad pública e interés social. Así, menciona la norma jurídica: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b/>
          <w:bCs/>
          <w:i/>
          <w:sz w:val="28"/>
          <w:szCs w:val="28"/>
          <w:lang w:val="es-ES_tradnl"/>
        </w:rPr>
        <w:t>“Artículo 13.</w:t>
      </w:r>
      <w:r w:rsidRPr="0078289D">
        <w:rPr>
          <w:rFonts w:eastAsia="Times New Roman"/>
          <w:i/>
          <w:sz w:val="28"/>
          <w:szCs w:val="28"/>
          <w:lang w:val="es-ES_tradnl"/>
        </w:rPr>
        <w:t xml:space="preserve"> </w:t>
      </w:r>
      <w:r w:rsidRPr="0078289D">
        <w:rPr>
          <w:rFonts w:eastAsia="Times New Roman"/>
          <w:i/>
          <w:iCs/>
          <w:sz w:val="28"/>
          <w:szCs w:val="28"/>
          <w:lang w:val="es-ES_tradnl"/>
        </w:rPr>
        <w:t>Utilidad pública.</w:t>
      </w:r>
      <w:r w:rsidRPr="0078289D">
        <w:rPr>
          <w:rFonts w:eastAsia="Times New Roman"/>
          <w:i/>
          <w:sz w:val="28"/>
          <w:szCs w:val="28"/>
          <w:lang w:val="es-ES_tradnl"/>
        </w:rPr>
        <w:t xml:space="preserve"> En desarrollo del artículo 58</w:t>
      </w:r>
      <w:r w:rsidRPr="0078289D">
        <w:rPr>
          <w:rFonts w:eastAsia="Times New Roman"/>
          <w:b/>
          <w:bCs/>
          <w:i/>
          <w:sz w:val="28"/>
          <w:szCs w:val="28"/>
          <w:lang w:val="es-ES_tradnl"/>
        </w:rPr>
        <w:t xml:space="preserve"> </w:t>
      </w:r>
      <w:r w:rsidRPr="0078289D">
        <w:rPr>
          <w:rFonts w:eastAsia="Times New Roman"/>
          <w:i/>
          <w:sz w:val="28"/>
          <w:szCs w:val="28"/>
          <w:lang w:val="es-ES_tradnl"/>
        </w:rPr>
        <w:t>de la Constitución Política, declárase de utilidad pública e interés social la industria minera en todas sus ramas y fases. Por tanto podrán decretarse a su favor, a solicitud de parte interesada y por los procedimientos establecidos en este Código, las expropiaciones de la propiedad de los bienes inmuebles y demás derechos constituidos sobre los mismos, que sean necesarios para su ejercicio y eficiente desarrollo.</w:t>
      </w:r>
    </w:p>
    <w:p w:rsidR="00C329FA" w:rsidRPr="0078289D" w:rsidRDefault="00C329FA"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i/>
          <w:sz w:val="28"/>
          <w:szCs w:val="28"/>
          <w:bdr w:val="none" w:sz="0" w:space="0" w:color="auto" w:frame="1"/>
          <w:lang w:val="es-ES_tradnl"/>
        </w:rPr>
      </w:pPr>
      <w:r w:rsidRPr="0078289D">
        <w:rPr>
          <w:rFonts w:eastAsia="Times New Roman"/>
          <w:i/>
          <w:sz w:val="28"/>
          <w:szCs w:val="28"/>
          <w:lang w:val="es-ES_tradnl"/>
        </w:rPr>
        <w:lastRenderedPageBreak/>
        <w:t>La expropiación consagrada en este artículo, en ningún caso procederá sobre los bienes adquiridos, construidos o destinados por los beneficiarios de un título minero, para su exploración o explotación o para el ejercicio de sus correspondientes servidumbres”.</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bdr w:val="none" w:sz="0" w:space="0" w:color="auto" w:frame="1"/>
          <w:lang w:val="es-ES_tradnl"/>
        </w:rPr>
      </w:pPr>
    </w:p>
    <w:p w:rsidR="00840465" w:rsidRPr="0078289D" w:rsidRDefault="00E744D3"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56</w:t>
      </w:r>
      <w:r w:rsidR="001D4062" w:rsidRPr="0078289D">
        <w:rPr>
          <w:sz w:val="28"/>
          <w:szCs w:val="28"/>
          <w:lang w:val="es-ES_tradnl"/>
        </w:rPr>
        <w:t xml:space="preserve">. </w:t>
      </w:r>
      <w:r w:rsidR="00840465" w:rsidRPr="0078289D">
        <w:rPr>
          <w:sz w:val="28"/>
          <w:szCs w:val="28"/>
          <w:lang w:val="es-ES_tradnl"/>
        </w:rPr>
        <w:t>En consecuencia, además de las características generales que contempla el artículo 58 de la Constitución Política con respecto al procedimiento de expropiación, las normas legales también han desarrollado procedimientos que contienen una serie de garantías, como es el caso del establecimiento claro y preciso de los motivos de utilidad pública e interés social que permitirían la expropiación, la exigencia de adelantar un procedimiento administrativo o policivo</w:t>
      </w:r>
      <w:r w:rsidR="00956DD5" w:rsidRPr="0078289D">
        <w:rPr>
          <w:sz w:val="28"/>
          <w:szCs w:val="28"/>
          <w:lang w:val="es-ES_tradnl"/>
        </w:rPr>
        <w:t>, la facultad a un órgano o entidad claramente definida para iniciar dicho procedimiento,</w:t>
      </w:r>
      <w:r w:rsidR="00840465" w:rsidRPr="0078289D">
        <w:rPr>
          <w:sz w:val="28"/>
          <w:szCs w:val="28"/>
          <w:lang w:val="es-ES_tradnl"/>
        </w:rPr>
        <w:t xml:space="preserve"> y la importancia de indemnizar al ciudadano que ve limitado su derecho de propiedad con la expropiación.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De esta manera, se advierte que el procedimiento de expropiación, lejos de resultar arbitrario o </w:t>
      </w:r>
      <w:r w:rsidR="00D71394" w:rsidRPr="0078289D">
        <w:rPr>
          <w:sz w:val="28"/>
          <w:szCs w:val="28"/>
          <w:lang w:val="es-ES_tradnl"/>
        </w:rPr>
        <w:t xml:space="preserve">un mecanismo de afectación </w:t>
      </w:r>
      <w:r w:rsidRPr="0078289D">
        <w:rPr>
          <w:sz w:val="28"/>
          <w:szCs w:val="28"/>
          <w:lang w:val="es-ES_tradnl"/>
        </w:rPr>
        <w:t xml:space="preserve">del derecho de propiedad, </w:t>
      </w:r>
      <w:r w:rsidR="00D71394" w:rsidRPr="0078289D">
        <w:rPr>
          <w:sz w:val="28"/>
          <w:szCs w:val="28"/>
          <w:lang w:val="es-ES_tradnl"/>
        </w:rPr>
        <w:t xml:space="preserve">se </w:t>
      </w:r>
      <w:r w:rsidRPr="0078289D">
        <w:rPr>
          <w:sz w:val="28"/>
          <w:szCs w:val="28"/>
          <w:lang w:val="es-ES_tradnl"/>
        </w:rPr>
        <w:t xml:space="preserve">ha </w:t>
      </w:r>
      <w:r w:rsidR="00D71394" w:rsidRPr="0078289D">
        <w:rPr>
          <w:sz w:val="28"/>
          <w:szCs w:val="28"/>
          <w:lang w:val="es-ES_tradnl"/>
        </w:rPr>
        <w:t>concebido como</w:t>
      </w:r>
      <w:r w:rsidRPr="0078289D">
        <w:rPr>
          <w:sz w:val="28"/>
          <w:szCs w:val="28"/>
          <w:lang w:val="es-ES_tradnl"/>
        </w:rPr>
        <w:t xml:space="preserve"> un</w:t>
      </w:r>
      <w:r w:rsidR="00D71394" w:rsidRPr="0078289D">
        <w:rPr>
          <w:sz w:val="28"/>
          <w:szCs w:val="28"/>
          <w:lang w:val="es-ES_tradnl"/>
        </w:rPr>
        <w:t>a</w:t>
      </w:r>
      <w:r w:rsidRPr="0078289D">
        <w:rPr>
          <w:sz w:val="28"/>
          <w:szCs w:val="28"/>
          <w:lang w:val="es-ES_tradnl"/>
        </w:rPr>
        <w:t xml:space="preserve"> </w:t>
      </w:r>
      <w:r w:rsidR="00D71394" w:rsidRPr="0078289D">
        <w:rPr>
          <w:sz w:val="28"/>
          <w:szCs w:val="28"/>
          <w:lang w:val="es-ES_tradnl"/>
        </w:rPr>
        <w:t>herramienta</w:t>
      </w:r>
      <w:r w:rsidRPr="0078289D">
        <w:rPr>
          <w:sz w:val="28"/>
          <w:szCs w:val="28"/>
          <w:lang w:val="es-ES_tradnl"/>
        </w:rPr>
        <w:t xml:space="preserve"> de carácter excepcional, en el que intervienen todas las ramas del poder público, </w:t>
      </w:r>
      <w:r w:rsidR="00D71394" w:rsidRPr="0078289D">
        <w:rPr>
          <w:sz w:val="28"/>
          <w:szCs w:val="28"/>
          <w:lang w:val="es-ES_tradnl"/>
        </w:rPr>
        <w:t>para</w:t>
      </w:r>
      <w:r w:rsidRPr="0078289D">
        <w:rPr>
          <w:sz w:val="28"/>
          <w:szCs w:val="28"/>
          <w:lang w:val="es-ES_tradnl"/>
        </w:rPr>
        <w:t xml:space="preserve"> brindar garantías al propietario de un bien inmueble que será requerido por el Estado para el adelantamiento de un proyecto de utilidad pública o interés social. </w:t>
      </w:r>
      <w:r w:rsidR="00FA3FCD" w:rsidRPr="0078289D">
        <w:rPr>
          <w:sz w:val="28"/>
          <w:szCs w:val="28"/>
          <w:lang w:val="es-ES_tradnl"/>
        </w:rPr>
        <w:t>Sin embargo, en ese mismo orden de ideas</w:t>
      </w:r>
      <w:r w:rsidR="00123F3E" w:rsidRPr="0078289D">
        <w:rPr>
          <w:sz w:val="28"/>
          <w:szCs w:val="28"/>
          <w:lang w:val="es-ES_tradnl"/>
        </w:rPr>
        <w:t>,</w:t>
      </w:r>
      <w:r w:rsidR="00FA3FCD" w:rsidRPr="0078289D">
        <w:rPr>
          <w:sz w:val="28"/>
          <w:szCs w:val="28"/>
          <w:lang w:val="es-ES_tradnl"/>
        </w:rPr>
        <w:t xml:space="preserve"> resulta claro que los motivos de utilidad pública e interés social deben quedar definidos en cada ordenamiento legal que otorgue la facultad para adelantar procesos de expropiación</w:t>
      </w:r>
      <w:r w:rsidR="0078221C" w:rsidRPr="0078289D">
        <w:rPr>
          <w:sz w:val="28"/>
          <w:szCs w:val="28"/>
          <w:lang w:val="es-ES_tradnl"/>
        </w:rPr>
        <w:t>.</w:t>
      </w:r>
      <w:r w:rsidR="00F80F07" w:rsidRPr="0078289D">
        <w:rPr>
          <w:sz w:val="28"/>
          <w:szCs w:val="28"/>
          <w:lang w:val="es-ES_tradnl"/>
        </w:rPr>
        <w:t xml:space="preserve"> </w:t>
      </w:r>
      <w:r w:rsidR="0078221C" w:rsidRPr="0078289D">
        <w:rPr>
          <w:sz w:val="28"/>
          <w:szCs w:val="28"/>
          <w:lang w:val="es-ES_tradnl"/>
        </w:rPr>
        <w:t>Los motivos de utilidad púb</w:t>
      </w:r>
      <w:r w:rsidR="00D71394" w:rsidRPr="0078289D">
        <w:rPr>
          <w:sz w:val="28"/>
          <w:szCs w:val="28"/>
          <w:lang w:val="es-ES_tradnl"/>
        </w:rPr>
        <w:t>l</w:t>
      </w:r>
      <w:r w:rsidR="0078221C" w:rsidRPr="0078289D">
        <w:rPr>
          <w:sz w:val="28"/>
          <w:szCs w:val="28"/>
          <w:lang w:val="es-ES_tradnl"/>
        </w:rPr>
        <w:t>ica e interés social</w:t>
      </w:r>
      <w:r w:rsidR="00F80F07" w:rsidRPr="0078289D">
        <w:rPr>
          <w:sz w:val="28"/>
          <w:szCs w:val="28"/>
          <w:lang w:val="es-ES_tradnl"/>
        </w:rPr>
        <w:t xml:space="preserve"> no pueden </w:t>
      </w:r>
      <w:r w:rsidR="00D93F19" w:rsidRPr="0078289D">
        <w:rPr>
          <w:sz w:val="28"/>
          <w:szCs w:val="28"/>
          <w:lang w:val="es-ES_tradnl"/>
        </w:rPr>
        <w:t>interpretarse de manera</w:t>
      </w:r>
      <w:r w:rsidR="00F80F07" w:rsidRPr="0078289D">
        <w:rPr>
          <w:sz w:val="28"/>
          <w:szCs w:val="28"/>
          <w:lang w:val="es-ES_tradnl"/>
        </w:rPr>
        <w:t xml:space="preserve"> extensiva más allá de </w:t>
      </w:r>
      <w:r w:rsidR="00287567" w:rsidRPr="0078289D">
        <w:rPr>
          <w:sz w:val="28"/>
          <w:szCs w:val="28"/>
          <w:lang w:val="es-ES_tradnl"/>
        </w:rPr>
        <w:t>los casos y situaciones de hecho contemplados en la respectiva normativa</w:t>
      </w:r>
      <w:r w:rsidR="00123F3E" w:rsidRPr="0078289D">
        <w:rPr>
          <w:sz w:val="28"/>
          <w:szCs w:val="28"/>
          <w:lang w:val="es-ES_tradnl"/>
        </w:rPr>
        <w:t xml:space="preserve">. De tal manera, </w:t>
      </w:r>
      <w:r w:rsidR="008C7430" w:rsidRPr="0078289D">
        <w:rPr>
          <w:sz w:val="28"/>
          <w:szCs w:val="28"/>
          <w:lang w:val="es-ES_tradnl"/>
        </w:rPr>
        <w:t xml:space="preserve">sin perjuicio de lo establecido en el inciso primero del artículo 50 de la Ley 1753 de 2015, </w:t>
      </w:r>
      <w:r w:rsidR="00123F3E" w:rsidRPr="0078289D">
        <w:rPr>
          <w:sz w:val="28"/>
          <w:szCs w:val="28"/>
          <w:lang w:val="es-ES_tradnl"/>
        </w:rPr>
        <w:t xml:space="preserve">no podrían aducirse motivos </w:t>
      </w:r>
      <w:r w:rsidR="00BA2FFC" w:rsidRPr="0078289D">
        <w:rPr>
          <w:sz w:val="28"/>
          <w:szCs w:val="28"/>
          <w:lang w:val="es-ES_tradnl"/>
        </w:rPr>
        <w:t xml:space="preserve">de utilidad pública en materia ambiental para adelantar procesos de expropiación que tengan como finalidad realizar obras de infraestructura de transporte, ni </w:t>
      </w:r>
      <w:r w:rsidR="00F9785E" w:rsidRPr="0078289D">
        <w:rPr>
          <w:sz w:val="28"/>
          <w:szCs w:val="28"/>
          <w:lang w:val="es-ES_tradnl"/>
        </w:rPr>
        <w:t xml:space="preserve">para llevar a cabo proyectos de reforma agraria, ni en general para la realización de fines no contemplados en el estatuto que </w:t>
      </w:r>
      <w:r w:rsidR="00E97868" w:rsidRPr="0078289D">
        <w:rPr>
          <w:sz w:val="28"/>
          <w:szCs w:val="28"/>
          <w:lang w:val="es-ES_tradnl"/>
        </w:rPr>
        <w:t>faculta a la administración para iniciar los respectivos procesos de expropiación</w:t>
      </w:r>
      <w:r w:rsidR="00F9785E"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i/>
          <w:sz w:val="28"/>
          <w:szCs w:val="28"/>
          <w:lang w:val="es-ES_tradnl"/>
        </w:rPr>
      </w:pPr>
      <w:r w:rsidRPr="0078289D">
        <w:rPr>
          <w:b/>
          <w:i/>
          <w:sz w:val="28"/>
          <w:szCs w:val="28"/>
          <w:lang w:val="es-ES_tradnl"/>
        </w:rPr>
        <w:t xml:space="preserve">Análisis de razonabilidad de la norma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i/>
          <w:sz w:val="28"/>
          <w:szCs w:val="28"/>
          <w:lang w:val="es-ES_tradnl"/>
        </w:rPr>
      </w:pPr>
      <w:r w:rsidRPr="0078289D">
        <w:rPr>
          <w:i/>
          <w:sz w:val="28"/>
          <w:szCs w:val="28"/>
          <w:lang w:val="es-ES_tradnl"/>
        </w:rPr>
        <w:t>Diferenciación establecida por la norma jurídica demandada</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57</w:t>
      </w:r>
      <w:r w:rsidR="00F072FB" w:rsidRPr="0078289D">
        <w:rPr>
          <w:sz w:val="28"/>
          <w:szCs w:val="28"/>
          <w:lang w:val="es-ES_tradnl"/>
        </w:rPr>
        <w:t xml:space="preserve">. </w:t>
      </w:r>
      <w:r w:rsidR="00840465" w:rsidRPr="0078289D">
        <w:rPr>
          <w:sz w:val="28"/>
          <w:szCs w:val="28"/>
          <w:lang w:val="es-ES_tradnl"/>
        </w:rPr>
        <w:t>Tal y como se ha señalado en la presente providencia, la expropiación es un mecanismo que brinda garantías al particular que debe verse afectado en su derecho de dominio en razón del interés general. No obstante, el artículo 50 de  la Ley 1753 de 2015, al permitir que se reali</w:t>
      </w:r>
      <w:r w:rsidR="00402EE0" w:rsidRPr="0078289D">
        <w:rPr>
          <w:sz w:val="28"/>
          <w:szCs w:val="28"/>
          <w:lang w:val="es-ES_tradnl"/>
        </w:rPr>
        <w:t>ce la compensación directamente</w:t>
      </w:r>
      <w:r w:rsidR="00840465" w:rsidRPr="0078289D">
        <w:rPr>
          <w:sz w:val="28"/>
          <w:szCs w:val="28"/>
          <w:lang w:val="es-ES_tradnl"/>
        </w:rPr>
        <w:t xml:space="preserve"> sin acudir al procedimiento de expropiación, </w:t>
      </w:r>
      <w:r w:rsidR="00402EE0" w:rsidRPr="0078289D">
        <w:rPr>
          <w:sz w:val="28"/>
          <w:szCs w:val="28"/>
          <w:lang w:val="es-ES_tradnl"/>
        </w:rPr>
        <w:t>impide</w:t>
      </w:r>
      <w:r w:rsidR="00840465" w:rsidRPr="0078289D">
        <w:rPr>
          <w:sz w:val="28"/>
          <w:szCs w:val="28"/>
          <w:lang w:val="es-ES_tradnl"/>
        </w:rPr>
        <w:t xml:space="preserve"> que los destinatarios de la norma jurídica ejerzan las garantías que brinda el artículo 58 de la Constitución Política. Así, </w:t>
      </w:r>
      <w:r w:rsidR="00622523" w:rsidRPr="0078289D">
        <w:rPr>
          <w:sz w:val="28"/>
          <w:szCs w:val="28"/>
          <w:lang w:val="es-ES_tradnl"/>
        </w:rPr>
        <w:t>antes</w:t>
      </w:r>
      <w:r w:rsidR="00840465" w:rsidRPr="0078289D">
        <w:rPr>
          <w:sz w:val="28"/>
          <w:szCs w:val="28"/>
          <w:lang w:val="es-ES_tradnl"/>
        </w:rPr>
        <w:t xml:space="preserve"> </w:t>
      </w:r>
      <w:r w:rsidR="00622523" w:rsidRPr="0078289D">
        <w:rPr>
          <w:sz w:val="28"/>
          <w:szCs w:val="28"/>
          <w:lang w:val="es-ES_tradnl"/>
        </w:rPr>
        <w:t>de</w:t>
      </w:r>
      <w:r w:rsidR="00840465" w:rsidRPr="0078289D">
        <w:rPr>
          <w:sz w:val="28"/>
          <w:szCs w:val="28"/>
          <w:lang w:val="es-ES_tradnl"/>
        </w:rPr>
        <w:t xml:space="preserve"> determinar la razonabilidad de la norma demandada, la Corte identificará </w:t>
      </w:r>
      <w:r w:rsidR="00622523" w:rsidRPr="0078289D">
        <w:rPr>
          <w:sz w:val="28"/>
          <w:szCs w:val="28"/>
          <w:lang w:val="es-ES_tradnl"/>
        </w:rPr>
        <w:t xml:space="preserve">con precisión cuál es el grupo social al cual afecta lo dispuesto en el </w:t>
      </w:r>
      <w:r w:rsidR="00840465" w:rsidRPr="0078289D">
        <w:rPr>
          <w:sz w:val="28"/>
          <w:szCs w:val="28"/>
          <w:lang w:val="es-ES_tradnl"/>
        </w:rPr>
        <w:t xml:space="preserve">artículo 50 de la Ley 1753 de 2015.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
          <w:sz w:val="28"/>
          <w:szCs w:val="28"/>
          <w:lang w:val="es-ES_tradnl"/>
        </w:rPr>
      </w:pPr>
      <w:r w:rsidRPr="0078289D">
        <w:rPr>
          <w:rFonts w:eastAsia="Times New Roman"/>
          <w:bCs/>
          <w:sz w:val="28"/>
          <w:szCs w:val="28"/>
          <w:lang w:val="es-ES_tradnl"/>
        </w:rPr>
        <w:lastRenderedPageBreak/>
        <w:t xml:space="preserve">En efecto, el </w:t>
      </w:r>
      <w:r w:rsidRPr="0078289D">
        <w:rPr>
          <w:sz w:val="28"/>
          <w:szCs w:val="28"/>
          <w:lang w:val="es-ES_tradnl"/>
        </w:rPr>
        <w:t>artículo 50 de la Ley 1753 de 2015 señala que</w:t>
      </w:r>
      <w:r w:rsidRPr="0078289D">
        <w:rPr>
          <w:rFonts w:eastAsia="Times New Roman"/>
          <w:bCs/>
          <w:sz w:val="28"/>
          <w:szCs w:val="28"/>
          <w:lang w:val="es-ES_tradnl"/>
        </w:rPr>
        <w:t xml:space="preserve"> “</w:t>
      </w:r>
      <w:r w:rsidRPr="0078289D">
        <w:rPr>
          <w:rFonts w:eastAsia="Times New Roman"/>
          <w:i/>
          <w:sz w:val="28"/>
          <w:szCs w:val="28"/>
          <w:lang w:val="es-ES_tradnl"/>
        </w:rPr>
        <w:t xml:space="preserve">La inclusión del predio en los PINE </w:t>
      </w:r>
      <w:r w:rsidRPr="0078289D">
        <w:rPr>
          <w:rFonts w:eastAsia="Times New Roman"/>
          <w:b/>
          <w:i/>
          <w:sz w:val="28"/>
          <w:szCs w:val="28"/>
          <w:u w:val="single"/>
          <w:lang w:val="es-ES_tradnl"/>
        </w:rPr>
        <w:t xml:space="preserve">se entenderá en los términos del artículo </w:t>
      </w:r>
      <w:hyperlink r:id="rId21" w:anchor="72" w:history="1">
        <w:r w:rsidRPr="0078289D">
          <w:rPr>
            <w:rFonts w:eastAsia="Times New Roman"/>
            <w:b/>
            <w:i/>
            <w:sz w:val="28"/>
            <w:szCs w:val="28"/>
            <w:u w:val="single"/>
            <w:lang w:val="es-ES_tradnl"/>
          </w:rPr>
          <w:t>72</w:t>
        </w:r>
      </w:hyperlink>
      <w:r w:rsidRPr="0078289D">
        <w:rPr>
          <w:rFonts w:eastAsia="Times New Roman"/>
          <w:b/>
          <w:i/>
          <w:sz w:val="28"/>
          <w:szCs w:val="28"/>
          <w:u w:val="single"/>
          <w:lang w:val="es-ES_tradnl"/>
        </w:rPr>
        <w:t xml:space="preserve"> de la Ley 1448 de 2011 como una imposibilidad jurídica para la restitución que impondrá al Fondo de la Unidad Administrativa Especial de Gestión de Restitución de Tierras Despojadas la obligación de compensar a las víctimas con un predio de similares condiciones, en el orden y lineamientos establecidos en el artículo </w:t>
      </w:r>
      <w:hyperlink r:id="rId22" w:anchor="98" w:history="1">
        <w:r w:rsidRPr="0078289D">
          <w:rPr>
            <w:rFonts w:eastAsia="Times New Roman"/>
            <w:b/>
            <w:i/>
            <w:sz w:val="28"/>
            <w:szCs w:val="28"/>
            <w:u w:val="single"/>
            <w:lang w:val="es-ES_tradnl"/>
          </w:rPr>
          <w:t>98</w:t>
        </w:r>
      </w:hyperlink>
      <w:r w:rsidRPr="0078289D">
        <w:rPr>
          <w:rFonts w:eastAsia="Times New Roman"/>
          <w:b/>
          <w:i/>
          <w:sz w:val="28"/>
          <w:szCs w:val="28"/>
          <w:u w:val="single"/>
          <w:lang w:val="es-ES_tradnl"/>
        </w:rPr>
        <w:t xml:space="preserve"> de la Ley 1448 de 2011 y sus decretos reglamentarios</w:t>
      </w:r>
      <w:r w:rsidRPr="0078289D">
        <w:rPr>
          <w:rFonts w:eastAsia="Times New Roman"/>
          <w:i/>
          <w:sz w:val="28"/>
          <w:szCs w:val="28"/>
          <w:lang w:val="es-ES_tradnl"/>
        </w:rPr>
        <w:t>. Sin embargo, en estos casos, el pago de la compensación se realizará con cargo a los recursos que se consignen en el depósito judicial efectuado por la entidad propietaria con cargo al proyecto, en virtud del proceso de expropiación”.</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r w:rsidRPr="0078289D">
        <w:rPr>
          <w:rFonts w:eastAsia="Times New Roman"/>
          <w:sz w:val="28"/>
          <w:szCs w:val="28"/>
          <w:lang w:val="es-ES_tradnl"/>
        </w:rPr>
        <w:t xml:space="preserve">En tanto el artículo 72 de la Ley 1448 de 2011 señala las causales de improcedencia de la restitución a víctimas del conflicto armado, es posible </w:t>
      </w:r>
      <w:r w:rsidR="00C401B1" w:rsidRPr="0078289D">
        <w:rPr>
          <w:rFonts w:eastAsia="Times New Roman"/>
          <w:sz w:val="28"/>
          <w:szCs w:val="28"/>
          <w:lang w:val="es-ES_tradnl"/>
        </w:rPr>
        <w:t>inferir quiénes son</w:t>
      </w:r>
      <w:r w:rsidRPr="0078289D">
        <w:rPr>
          <w:rFonts w:eastAsia="Times New Roman"/>
          <w:sz w:val="28"/>
          <w:szCs w:val="28"/>
          <w:lang w:val="es-ES_tradnl"/>
        </w:rPr>
        <w:t xml:space="preserve"> los destinatarios del artículo 50 de la Ley 1753 de 2015:</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p>
    <w:p w:rsidR="00840465" w:rsidRPr="0078289D" w:rsidRDefault="00840465" w:rsidP="0078289D">
      <w:pPr>
        <w:pStyle w:val="Prrafodelista"/>
        <w:numPr>
          <w:ilvl w:val="0"/>
          <w:numId w:val="6"/>
        </w:num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hAnsi="Times New Roman" w:cs="Times New Roman"/>
          <w:sz w:val="28"/>
          <w:szCs w:val="28"/>
        </w:rPr>
      </w:pPr>
      <w:r w:rsidRPr="0078289D">
        <w:rPr>
          <w:rFonts w:hAnsi="Times New Roman" w:cs="Times New Roman"/>
          <w:sz w:val="28"/>
          <w:szCs w:val="28"/>
        </w:rPr>
        <w:t xml:space="preserve">La norma </w:t>
      </w:r>
      <w:r w:rsidRPr="0078289D">
        <w:rPr>
          <w:rFonts w:hAnsi="Times New Roman" w:cs="Times New Roman"/>
          <w:b/>
          <w:sz w:val="28"/>
          <w:szCs w:val="28"/>
        </w:rPr>
        <w:t xml:space="preserve">no </w:t>
      </w:r>
      <w:r w:rsidR="00065260" w:rsidRPr="0078289D">
        <w:rPr>
          <w:rFonts w:hAnsi="Times New Roman" w:cs="Times New Roman"/>
          <w:b/>
          <w:sz w:val="28"/>
          <w:szCs w:val="28"/>
        </w:rPr>
        <w:t>se aplica</w:t>
      </w:r>
      <w:r w:rsidRPr="0078289D">
        <w:rPr>
          <w:rFonts w:hAnsi="Times New Roman" w:cs="Times New Roman"/>
          <w:b/>
          <w:sz w:val="28"/>
          <w:szCs w:val="28"/>
        </w:rPr>
        <w:t xml:space="preserve"> </w:t>
      </w:r>
      <w:r w:rsidR="00065260" w:rsidRPr="0078289D">
        <w:rPr>
          <w:rFonts w:hAnsi="Times New Roman" w:cs="Times New Roman"/>
          <w:sz w:val="28"/>
          <w:szCs w:val="28"/>
        </w:rPr>
        <w:t xml:space="preserve">a los propietarios de bienes inmuebles que son </w:t>
      </w:r>
      <w:r w:rsidRPr="0078289D">
        <w:rPr>
          <w:rFonts w:hAnsi="Times New Roman" w:cs="Times New Roman"/>
          <w:b/>
          <w:sz w:val="28"/>
          <w:szCs w:val="28"/>
        </w:rPr>
        <w:t>víctima</w:t>
      </w:r>
      <w:r w:rsidR="00065260" w:rsidRPr="0078289D">
        <w:rPr>
          <w:rFonts w:hAnsi="Times New Roman" w:cs="Times New Roman"/>
          <w:b/>
          <w:sz w:val="28"/>
          <w:szCs w:val="28"/>
        </w:rPr>
        <w:t>s</w:t>
      </w:r>
      <w:r w:rsidRPr="0078289D">
        <w:rPr>
          <w:rFonts w:hAnsi="Times New Roman" w:cs="Times New Roman"/>
          <w:b/>
          <w:sz w:val="28"/>
          <w:szCs w:val="28"/>
        </w:rPr>
        <w:t xml:space="preserve"> </w:t>
      </w:r>
      <w:r w:rsidRPr="0078289D">
        <w:rPr>
          <w:rFonts w:hAnsi="Times New Roman" w:cs="Times New Roman"/>
          <w:sz w:val="28"/>
          <w:szCs w:val="28"/>
        </w:rPr>
        <w:t xml:space="preserve">del conflicto armado </w:t>
      </w:r>
      <w:r w:rsidR="00065260" w:rsidRPr="0078289D">
        <w:rPr>
          <w:rFonts w:hAnsi="Times New Roman" w:cs="Times New Roman"/>
          <w:sz w:val="28"/>
          <w:szCs w:val="28"/>
        </w:rPr>
        <w:t xml:space="preserve">y solicitan la </w:t>
      </w:r>
      <w:r w:rsidRPr="0078289D">
        <w:rPr>
          <w:rFonts w:hAnsi="Times New Roman" w:cs="Times New Roman"/>
          <w:sz w:val="28"/>
          <w:szCs w:val="28"/>
        </w:rPr>
        <w:t>restitución</w:t>
      </w:r>
      <w:r w:rsidR="00065260" w:rsidRPr="0078289D">
        <w:rPr>
          <w:rFonts w:hAnsi="Times New Roman" w:cs="Times New Roman"/>
          <w:sz w:val="28"/>
          <w:szCs w:val="28"/>
        </w:rPr>
        <w:t xml:space="preserve"> de sus tierras</w:t>
      </w:r>
      <w:r w:rsidRPr="0078289D">
        <w:rPr>
          <w:rFonts w:hAnsi="Times New Roman" w:cs="Times New Roman"/>
          <w:sz w:val="28"/>
          <w:szCs w:val="28"/>
        </w:rPr>
        <w:t xml:space="preserve">, </w:t>
      </w:r>
      <w:r w:rsidR="0024522D" w:rsidRPr="0078289D">
        <w:rPr>
          <w:rFonts w:hAnsi="Times New Roman" w:cs="Times New Roman"/>
          <w:sz w:val="28"/>
          <w:szCs w:val="28"/>
        </w:rPr>
        <w:t>si</w:t>
      </w:r>
      <w:r w:rsidRPr="0078289D">
        <w:rPr>
          <w:rFonts w:hAnsi="Times New Roman" w:cs="Times New Roman"/>
          <w:sz w:val="28"/>
          <w:szCs w:val="28"/>
        </w:rPr>
        <w:t xml:space="preserve"> su</w:t>
      </w:r>
      <w:r w:rsidR="00E029C1" w:rsidRPr="0078289D">
        <w:rPr>
          <w:rFonts w:hAnsi="Times New Roman" w:cs="Times New Roman"/>
          <w:sz w:val="28"/>
          <w:szCs w:val="28"/>
        </w:rPr>
        <w:t>s</w:t>
      </w:r>
      <w:r w:rsidRPr="0078289D">
        <w:rPr>
          <w:rFonts w:hAnsi="Times New Roman" w:cs="Times New Roman"/>
          <w:sz w:val="28"/>
          <w:szCs w:val="28"/>
        </w:rPr>
        <w:t xml:space="preserve"> predio</w:t>
      </w:r>
      <w:r w:rsidR="00E029C1" w:rsidRPr="0078289D">
        <w:rPr>
          <w:rFonts w:hAnsi="Times New Roman" w:cs="Times New Roman"/>
          <w:sz w:val="28"/>
          <w:szCs w:val="28"/>
        </w:rPr>
        <w:t>s</w:t>
      </w:r>
      <w:r w:rsidRPr="0078289D">
        <w:rPr>
          <w:rFonts w:hAnsi="Times New Roman" w:cs="Times New Roman"/>
          <w:sz w:val="28"/>
          <w:szCs w:val="28"/>
        </w:rPr>
        <w:t xml:space="preserve"> </w:t>
      </w:r>
      <w:r w:rsidRPr="0078289D">
        <w:rPr>
          <w:rFonts w:hAnsi="Times New Roman" w:cs="Times New Roman"/>
          <w:b/>
          <w:sz w:val="28"/>
          <w:szCs w:val="28"/>
        </w:rPr>
        <w:t>no</w:t>
      </w:r>
      <w:r w:rsidRPr="0078289D">
        <w:rPr>
          <w:rFonts w:hAnsi="Times New Roman" w:cs="Times New Roman"/>
          <w:sz w:val="28"/>
          <w:szCs w:val="28"/>
        </w:rPr>
        <w:t xml:space="preserve"> </w:t>
      </w:r>
      <w:r w:rsidR="00227CE6" w:rsidRPr="0078289D">
        <w:rPr>
          <w:rFonts w:eastAsia="Times New Roman" w:hAnsi="Times New Roman" w:cs="Times New Roman"/>
          <w:b/>
          <w:sz w:val="28"/>
          <w:szCs w:val="28"/>
        </w:rPr>
        <w:t>va</w:t>
      </w:r>
      <w:r w:rsidR="00E029C1" w:rsidRPr="0078289D">
        <w:rPr>
          <w:rFonts w:eastAsia="Times New Roman" w:hAnsi="Times New Roman" w:cs="Times New Roman"/>
          <w:b/>
          <w:sz w:val="28"/>
          <w:szCs w:val="28"/>
        </w:rPr>
        <w:t>n</w:t>
      </w:r>
      <w:r w:rsidR="00227CE6" w:rsidRPr="0078289D">
        <w:rPr>
          <w:rFonts w:eastAsia="Times New Roman" w:hAnsi="Times New Roman" w:cs="Times New Roman"/>
          <w:b/>
          <w:sz w:val="28"/>
          <w:szCs w:val="28"/>
        </w:rPr>
        <w:t xml:space="preserve"> a ser</w:t>
      </w:r>
      <w:r w:rsidRPr="0078289D">
        <w:rPr>
          <w:rFonts w:eastAsia="Times New Roman" w:hAnsi="Times New Roman" w:cs="Times New Roman"/>
          <w:b/>
          <w:sz w:val="28"/>
          <w:szCs w:val="28"/>
        </w:rPr>
        <w:t xml:space="preserve"> utilizado</w:t>
      </w:r>
      <w:r w:rsidR="00E029C1" w:rsidRPr="0078289D">
        <w:rPr>
          <w:rFonts w:eastAsia="Times New Roman" w:hAnsi="Times New Roman" w:cs="Times New Roman"/>
          <w:b/>
          <w:sz w:val="28"/>
          <w:szCs w:val="28"/>
        </w:rPr>
        <w:t>s</w:t>
      </w:r>
      <w:r w:rsidRPr="0078289D">
        <w:rPr>
          <w:rFonts w:eastAsia="Times New Roman" w:hAnsi="Times New Roman" w:cs="Times New Roman"/>
          <w:b/>
          <w:sz w:val="28"/>
          <w:szCs w:val="28"/>
        </w:rPr>
        <w:t xml:space="preserve"> </w:t>
      </w:r>
      <w:r w:rsidRPr="0078289D">
        <w:rPr>
          <w:rFonts w:eastAsia="Times New Roman" w:hAnsi="Times New Roman" w:cs="Times New Roman"/>
          <w:sz w:val="28"/>
          <w:szCs w:val="28"/>
        </w:rPr>
        <w:t>para la ejecución de proyecto</w:t>
      </w:r>
      <w:r w:rsidR="00E029C1"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Pr="0078289D">
        <w:rPr>
          <w:rFonts w:eastAsia="Times New Roman" w:hAnsi="Times New Roman" w:cs="Times New Roman"/>
          <w:b/>
          <w:sz w:val="28"/>
          <w:szCs w:val="28"/>
        </w:rPr>
        <w:t>PINE</w:t>
      </w:r>
      <w:r w:rsidRPr="0078289D">
        <w:rPr>
          <w:rFonts w:eastAsia="Times New Roman" w:hAnsi="Times New Roman" w:cs="Times New Roman"/>
          <w:sz w:val="28"/>
          <w:szCs w:val="28"/>
        </w:rPr>
        <w:t>.</w:t>
      </w:r>
    </w:p>
    <w:p w:rsidR="00F072FB" w:rsidRPr="0078289D" w:rsidRDefault="00F072FB"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u w:color="000000"/>
          <w:lang w:val="es-ES_tradnl" w:eastAsia="es-ES"/>
        </w:rPr>
      </w:pPr>
    </w:p>
    <w:p w:rsidR="00840465" w:rsidRPr="0078289D" w:rsidRDefault="00840465" w:rsidP="0078289D">
      <w:pPr>
        <w:pStyle w:val="Prrafodelista"/>
        <w:numPr>
          <w:ilvl w:val="0"/>
          <w:numId w:val="6"/>
        </w:num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hAnsi="Times New Roman" w:cs="Times New Roman"/>
          <w:sz w:val="28"/>
          <w:szCs w:val="28"/>
        </w:rPr>
      </w:pPr>
      <w:r w:rsidRPr="0078289D">
        <w:rPr>
          <w:rFonts w:eastAsia="Times New Roman" w:hAnsi="Times New Roman" w:cs="Times New Roman"/>
          <w:sz w:val="28"/>
          <w:szCs w:val="28"/>
        </w:rPr>
        <w:t xml:space="preserve">La norma </w:t>
      </w:r>
      <w:r w:rsidRPr="0078289D">
        <w:rPr>
          <w:rFonts w:eastAsia="Times New Roman" w:hAnsi="Times New Roman" w:cs="Times New Roman"/>
          <w:b/>
          <w:sz w:val="28"/>
          <w:szCs w:val="28"/>
        </w:rPr>
        <w:t xml:space="preserve">no </w:t>
      </w:r>
      <w:r w:rsidR="0024522D" w:rsidRPr="0078289D">
        <w:rPr>
          <w:rFonts w:eastAsia="Times New Roman" w:hAnsi="Times New Roman" w:cs="Times New Roman"/>
          <w:b/>
          <w:sz w:val="28"/>
          <w:szCs w:val="28"/>
        </w:rPr>
        <w:t>se aplica</w:t>
      </w:r>
      <w:r w:rsidRPr="0078289D">
        <w:rPr>
          <w:rFonts w:eastAsia="Times New Roman" w:hAnsi="Times New Roman" w:cs="Times New Roman"/>
          <w:b/>
          <w:sz w:val="28"/>
          <w:szCs w:val="28"/>
        </w:rPr>
        <w:t xml:space="preserve"> </w:t>
      </w:r>
      <w:r w:rsidR="0024522D" w:rsidRPr="0078289D">
        <w:rPr>
          <w:rFonts w:eastAsia="Times New Roman" w:hAnsi="Times New Roman" w:cs="Times New Roman"/>
          <w:sz w:val="28"/>
          <w:szCs w:val="28"/>
        </w:rPr>
        <w:t xml:space="preserve">a los </w:t>
      </w:r>
      <w:r w:rsidRPr="0078289D">
        <w:rPr>
          <w:rFonts w:eastAsia="Times New Roman" w:hAnsi="Times New Roman" w:cs="Times New Roman"/>
          <w:sz w:val="28"/>
          <w:szCs w:val="28"/>
        </w:rPr>
        <w:t>propietario</w:t>
      </w:r>
      <w:r w:rsidR="0024522D" w:rsidRPr="0078289D">
        <w:rPr>
          <w:rFonts w:eastAsia="Times New Roman" w:hAnsi="Times New Roman" w:cs="Times New Roman"/>
          <w:sz w:val="28"/>
          <w:szCs w:val="28"/>
        </w:rPr>
        <w:t>s de</w:t>
      </w:r>
      <w:r w:rsidRPr="0078289D">
        <w:rPr>
          <w:rFonts w:eastAsia="Times New Roman" w:hAnsi="Times New Roman" w:cs="Times New Roman"/>
          <w:sz w:val="28"/>
          <w:szCs w:val="28"/>
        </w:rPr>
        <w:t xml:space="preserve"> bien</w:t>
      </w:r>
      <w:r w:rsidR="0024522D" w:rsidRPr="0078289D">
        <w:rPr>
          <w:rFonts w:eastAsia="Times New Roman" w:hAnsi="Times New Roman" w:cs="Times New Roman"/>
          <w:sz w:val="28"/>
          <w:szCs w:val="28"/>
        </w:rPr>
        <w:t>es</w:t>
      </w:r>
      <w:r w:rsidRPr="0078289D">
        <w:rPr>
          <w:rFonts w:eastAsia="Times New Roman" w:hAnsi="Times New Roman" w:cs="Times New Roman"/>
          <w:sz w:val="28"/>
          <w:szCs w:val="28"/>
        </w:rPr>
        <w:t xml:space="preserve"> inmueble</w:t>
      </w:r>
      <w:r w:rsidR="0024522D" w:rsidRPr="0078289D">
        <w:rPr>
          <w:rFonts w:eastAsia="Times New Roman" w:hAnsi="Times New Roman" w:cs="Times New Roman"/>
          <w:sz w:val="28"/>
          <w:szCs w:val="28"/>
        </w:rPr>
        <w:t>s que</w:t>
      </w:r>
      <w:r w:rsidRPr="0078289D">
        <w:rPr>
          <w:rFonts w:eastAsia="Times New Roman" w:hAnsi="Times New Roman" w:cs="Times New Roman"/>
          <w:sz w:val="28"/>
          <w:szCs w:val="28"/>
        </w:rPr>
        <w:t xml:space="preserve"> </w:t>
      </w:r>
      <w:r w:rsidRPr="0078289D">
        <w:rPr>
          <w:rFonts w:eastAsia="Times New Roman" w:hAnsi="Times New Roman" w:cs="Times New Roman"/>
          <w:b/>
          <w:sz w:val="28"/>
          <w:szCs w:val="28"/>
        </w:rPr>
        <w:t xml:space="preserve">no </w:t>
      </w:r>
      <w:r w:rsidR="0024522D" w:rsidRPr="0078289D">
        <w:rPr>
          <w:rFonts w:eastAsia="Times New Roman" w:hAnsi="Times New Roman" w:cs="Times New Roman"/>
          <w:b/>
          <w:sz w:val="28"/>
          <w:szCs w:val="28"/>
        </w:rPr>
        <w:t xml:space="preserve">son </w:t>
      </w:r>
      <w:r w:rsidRPr="0078289D">
        <w:rPr>
          <w:rFonts w:eastAsia="Times New Roman" w:hAnsi="Times New Roman" w:cs="Times New Roman"/>
          <w:sz w:val="28"/>
          <w:szCs w:val="28"/>
        </w:rPr>
        <w:t>víctima</w:t>
      </w:r>
      <w:r w:rsidR="0024522D"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del conflicto armado, aunque </w:t>
      </w:r>
      <w:r w:rsidR="00E029C1" w:rsidRPr="0078289D">
        <w:rPr>
          <w:rFonts w:eastAsia="Times New Roman" w:hAnsi="Times New Roman" w:cs="Times New Roman"/>
          <w:sz w:val="28"/>
          <w:szCs w:val="28"/>
        </w:rPr>
        <w:t>sus</w:t>
      </w:r>
      <w:r w:rsidRPr="0078289D">
        <w:rPr>
          <w:rFonts w:eastAsia="Times New Roman" w:hAnsi="Times New Roman" w:cs="Times New Roman"/>
          <w:sz w:val="28"/>
          <w:szCs w:val="28"/>
        </w:rPr>
        <w:t xml:space="preserve"> predio</w:t>
      </w:r>
      <w:r w:rsidR="00E029C1"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0024522D" w:rsidRPr="0078289D">
        <w:rPr>
          <w:rFonts w:eastAsia="Times New Roman" w:hAnsi="Times New Roman" w:cs="Times New Roman"/>
          <w:b/>
          <w:sz w:val="28"/>
          <w:szCs w:val="28"/>
        </w:rPr>
        <w:t>sí vaya</w:t>
      </w:r>
      <w:r w:rsidR="00E029C1" w:rsidRPr="0078289D">
        <w:rPr>
          <w:rFonts w:eastAsia="Times New Roman" w:hAnsi="Times New Roman" w:cs="Times New Roman"/>
          <w:b/>
          <w:sz w:val="28"/>
          <w:szCs w:val="28"/>
        </w:rPr>
        <w:t>n</w:t>
      </w:r>
      <w:r w:rsidR="0024522D" w:rsidRPr="0078289D">
        <w:rPr>
          <w:rFonts w:eastAsia="Times New Roman" w:hAnsi="Times New Roman" w:cs="Times New Roman"/>
          <w:b/>
          <w:sz w:val="28"/>
          <w:szCs w:val="28"/>
        </w:rPr>
        <w:t xml:space="preserve"> a ser</w:t>
      </w:r>
      <w:r w:rsidRPr="0078289D">
        <w:rPr>
          <w:rFonts w:eastAsia="Times New Roman" w:hAnsi="Times New Roman" w:cs="Times New Roman"/>
          <w:b/>
          <w:sz w:val="28"/>
          <w:szCs w:val="28"/>
        </w:rPr>
        <w:t xml:space="preserve"> utilizado</w:t>
      </w:r>
      <w:r w:rsidR="00E029C1" w:rsidRPr="0078289D">
        <w:rPr>
          <w:rFonts w:eastAsia="Times New Roman" w:hAnsi="Times New Roman" w:cs="Times New Roman"/>
          <w:b/>
          <w:sz w:val="28"/>
          <w:szCs w:val="28"/>
        </w:rPr>
        <w:t>s</w:t>
      </w:r>
      <w:r w:rsidRPr="0078289D">
        <w:rPr>
          <w:rFonts w:eastAsia="Times New Roman" w:hAnsi="Times New Roman" w:cs="Times New Roman"/>
          <w:b/>
          <w:sz w:val="28"/>
          <w:szCs w:val="28"/>
        </w:rPr>
        <w:t xml:space="preserve"> </w:t>
      </w:r>
      <w:r w:rsidRPr="0078289D">
        <w:rPr>
          <w:rFonts w:eastAsia="Times New Roman" w:hAnsi="Times New Roman" w:cs="Times New Roman"/>
          <w:sz w:val="28"/>
          <w:szCs w:val="28"/>
        </w:rPr>
        <w:t>para la ejecución de proyecto</w:t>
      </w:r>
      <w:r w:rsidR="00E029C1"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Pr="0078289D">
        <w:rPr>
          <w:rFonts w:eastAsia="Times New Roman" w:hAnsi="Times New Roman" w:cs="Times New Roman"/>
          <w:b/>
          <w:sz w:val="28"/>
          <w:szCs w:val="28"/>
        </w:rPr>
        <w:t xml:space="preserve">PINE. </w:t>
      </w:r>
    </w:p>
    <w:p w:rsidR="00F072FB" w:rsidRPr="0078289D" w:rsidRDefault="00F072FB"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u w:color="000000"/>
          <w:lang w:val="es-ES_tradnl" w:eastAsia="es-ES"/>
        </w:rPr>
      </w:pPr>
    </w:p>
    <w:p w:rsidR="00840465" w:rsidRPr="0078289D" w:rsidRDefault="00840465" w:rsidP="0078289D">
      <w:pPr>
        <w:pStyle w:val="Prrafodelista"/>
        <w:numPr>
          <w:ilvl w:val="0"/>
          <w:numId w:val="6"/>
        </w:num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hAnsi="Times New Roman" w:cs="Times New Roman"/>
          <w:sz w:val="28"/>
          <w:szCs w:val="28"/>
        </w:rPr>
      </w:pPr>
      <w:r w:rsidRPr="0078289D">
        <w:rPr>
          <w:rFonts w:eastAsia="Times New Roman" w:hAnsi="Times New Roman" w:cs="Times New Roman"/>
          <w:sz w:val="28"/>
          <w:szCs w:val="28"/>
        </w:rPr>
        <w:t xml:space="preserve">La norma </w:t>
      </w:r>
      <w:r w:rsidR="00947902" w:rsidRPr="0078289D">
        <w:rPr>
          <w:rFonts w:eastAsia="Times New Roman" w:hAnsi="Times New Roman" w:cs="Times New Roman"/>
          <w:b/>
          <w:sz w:val="28"/>
          <w:szCs w:val="28"/>
        </w:rPr>
        <w:t xml:space="preserve">sí </w:t>
      </w:r>
      <w:r w:rsidRPr="0078289D">
        <w:rPr>
          <w:rFonts w:eastAsia="Times New Roman" w:hAnsi="Times New Roman" w:cs="Times New Roman"/>
          <w:b/>
          <w:sz w:val="28"/>
          <w:szCs w:val="28"/>
        </w:rPr>
        <w:t>es aplicable</w:t>
      </w:r>
      <w:r w:rsidR="00947902" w:rsidRPr="0078289D">
        <w:rPr>
          <w:rFonts w:eastAsia="Times New Roman" w:hAnsi="Times New Roman" w:cs="Times New Roman"/>
          <w:sz w:val="28"/>
          <w:szCs w:val="28"/>
        </w:rPr>
        <w:t xml:space="preserve"> a los</w:t>
      </w:r>
      <w:r w:rsidRPr="0078289D">
        <w:rPr>
          <w:rFonts w:eastAsia="Times New Roman" w:hAnsi="Times New Roman" w:cs="Times New Roman"/>
          <w:sz w:val="28"/>
          <w:szCs w:val="28"/>
        </w:rPr>
        <w:t xml:space="preserve"> propietario</w:t>
      </w:r>
      <w:r w:rsidR="00947902" w:rsidRPr="0078289D">
        <w:rPr>
          <w:rFonts w:eastAsia="Times New Roman" w:hAnsi="Times New Roman" w:cs="Times New Roman"/>
          <w:sz w:val="28"/>
          <w:szCs w:val="28"/>
        </w:rPr>
        <w:t>s de</w:t>
      </w:r>
      <w:r w:rsidRPr="0078289D">
        <w:rPr>
          <w:rFonts w:eastAsia="Times New Roman" w:hAnsi="Times New Roman" w:cs="Times New Roman"/>
          <w:sz w:val="28"/>
          <w:szCs w:val="28"/>
        </w:rPr>
        <w:t xml:space="preserve"> bien</w:t>
      </w:r>
      <w:r w:rsidR="00947902" w:rsidRPr="0078289D">
        <w:rPr>
          <w:rFonts w:eastAsia="Times New Roman" w:hAnsi="Times New Roman" w:cs="Times New Roman"/>
          <w:sz w:val="28"/>
          <w:szCs w:val="28"/>
        </w:rPr>
        <w:t>es</w:t>
      </w:r>
      <w:r w:rsidRPr="0078289D">
        <w:rPr>
          <w:rFonts w:eastAsia="Times New Roman" w:hAnsi="Times New Roman" w:cs="Times New Roman"/>
          <w:sz w:val="28"/>
          <w:szCs w:val="28"/>
        </w:rPr>
        <w:t xml:space="preserve"> inmueble</w:t>
      </w:r>
      <w:r w:rsidR="00947902"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00947902" w:rsidRPr="0078289D">
        <w:rPr>
          <w:rFonts w:eastAsia="Times New Roman" w:hAnsi="Times New Roman" w:cs="Times New Roman"/>
          <w:sz w:val="28"/>
          <w:szCs w:val="28"/>
        </w:rPr>
        <w:t xml:space="preserve">que son </w:t>
      </w:r>
      <w:r w:rsidRPr="0078289D">
        <w:rPr>
          <w:rFonts w:eastAsia="Times New Roman" w:hAnsi="Times New Roman" w:cs="Times New Roman"/>
          <w:b/>
          <w:sz w:val="28"/>
          <w:szCs w:val="28"/>
        </w:rPr>
        <w:t>víctima</w:t>
      </w:r>
      <w:r w:rsidR="00947902" w:rsidRPr="0078289D">
        <w:rPr>
          <w:rFonts w:eastAsia="Times New Roman" w:hAnsi="Times New Roman" w:cs="Times New Roman"/>
          <w:b/>
          <w:sz w:val="28"/>
          <w:szCs w:val="28"/>
        </w:rPr>
        <w:t>s</w:t>
      </w:r>
      <w:r w:rsidRPr="0078289D">
        <w:rPr>
          <w:rFonts w:eastAsia="Times New Roman" w:hAnsi="Times New Roman" w:cs="Times New Roman"/>
          <w:sz w:val="28"/>
          <w:szCs w:val="28"/>
        </w:rPr>
        <w:t xml:space="preserve"> del conflicto armado </w:t>
      </w:r>
      <w:r w:rsidR="00947902" w:rsidRPr="0078289D">
        <w:rPr>
          <w:rFonts w:eastAsia="Times New Roman" w:hAnsi="Times New Roman" w:cs="Times New Roman"/>
          <w:sz w:val="28"/>
          <w:szCs w:val="28"/>
        </w:rPr>
        <w:t xml:space="preserve">y solicitan la </w:t>
      </w:r>
      <w:r w:rsidRPr="0078289D">
        <w:rPr>
          <w:rFonts w:eastAsia="Times New Roman" w:hAnsi="Times New Roman" w:cs="Times New Roman"/>
          <w:sz w:val="28"/>
          <w:szCs w:val="28"/>
        </w:rPr>
        <w:t>restitución</w:t>
      </w:r>
      <w:r w:rsidR="00E029C1" w:rsidRPr="0078289D">
        <w:rPr>
          <w:rFonts w:eastAsia="Times New Roman" w:hAnsi="Times New Roman" w:cs="Times New Roman"/>
          <w:sz w:val="28"/>
          <w:szCs w:val="28"/>
        </w:rPr>
        <w:t xml:space="preserve"> de sus tierra</w:t>
      </w:r>
      <w:r w:rsidR="00947902"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00AC008C" w:rsidRPr="0078289D">
        <w:rPr>
          <w:rFonts w:eastAsia="Times New Roman" w:hAnsi="Times New Roman" w:cs="Times New Roman"/>
          <w:sz w:val="28"/>
          <w:szCs w:val="28"/>
        </w:rPr>
        <w:t>cuando</w:t>
      </w:r>
      <w:r w:rsidR="00E029C1" w:rsidRPr="0078289D">
        <w:rPr>
          <w:rFonts w:eastAsia="Times New Roman" w:hAnsi="Times New Roman" w:cs="Times New Roman"/>
          <w:sz w:val="28"/>
          <w:szCs w:val="28"/>
        </w:rPr>
        <w:t xml:space="preserve"> sus </w:t>
      </w:r>
      <w:r w:rsidRPr="0078289D">
        <w:rPr>
          <w:rFonts w:eastAsia="Times New Roman" w:hAnsi="Times New Roman" w:cs="Times New Roman"/>
          <w:sz w:val="28"/>
          <w:szCs w:val="28"/>
        </w:rPr>
        <w:t>predio</w:t>
      </w:r>
      <w:r w:rsidR="00E029C1"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00AC008C" w:rsidRPr="0078289D">
        <w:rPr>
          <w:rFonts w:eastAsia="Times New Roman" w:hAnsi="Times New Roman" w:cs="Times New Roman"/>
          <w:b/>
          <w:sz w:val="28"/>
          <w:szCs w:val="28"/>
        </w:rPr>
        <w:t>van a ser</w:t>
      </w:r>
      <w:r w:rsidRPr="0078289D">
        <w:rPr>
          <w:rFonts w:eastAsia="Times New Roman" w:hAnsi="Times New Roman" w:cs="Times New Roman"/>
          <w:b/>
          <w:sz w:val="28"/>
          <w:szCs w:val="28"/>
        </w:rPr>
        <w:t xml:space="preserve"> utilizado</w:t>
      </w:r>
      <w:r w:rsidR="00AC008C" w:rsidRPr="0078289D">
        <w:rPr>
          <w:rFonts w:eastAsia="Times New Roman" w:hAnsi="Times New Roman" w:cs="Times New Roman"/>
          <w:b/>
          <w:sz w:val="28"/>
          <w:szCs w:val="28"/>
        </w:rPr>
        <w:t>s</w:t>
      </w:r>
      <w:r w:rsidRPr="0078289D">
        <w:rPr>
          <w:rFonts w:eastAsia="Times New Roman" w:hAnsi="Times New Roman" w:cs="Times New Roman"/>
          <w:sz w:val="28"/>
          <w:szCs w:val="28"/>
        </w:rPr>
        <w:t xml:space="preserve"> para la ejecución de proyecto</w:t>
      </w:r>
      <w:r w:rsidR="00AC008C" w:rsidRPr="0078289D">
        <w:rPr>
          <w:rFonts w:eastAsia="Times New Roman" w:hAnsi="Times New Roman" w:cs="Times New Roman"/>
          <w:sz w:val="28"/>
          <w:szCs w:val="28"/>
        </w:rPr>
        <w:t>s</w:t>
      </w:r>
      <w:r w:rsidRPr="0078289D">
        <w:rPr>
          <w:rFonts w:eastAsia="Times New Roman" w:hAnsi="Times New Roman" w:cs="Times New Roman"/>
          <w:sz w:val="28"/>
          <w:szCs w:val="28"/>
        </w:rPr>
        <w:t xml:space="preserve"> </w:t>
      </w:r>
      <w:r w:rsidRPr="0078289D">
        <w:rPr>
          <w:rFonts w:eastAsia="Times New Roman" w:hAnsi="Times New Roman" w:cs="Times New Roman"/>
          <w:b/>
          <w:sz w:val="28"/>
          <w:szCs w:val="28"/>
        </w:rPr>
        <w:t>PINE</w:t>
      </w:r>
      <w:r w:rsidRPr="0078289D">
        <w:rPr>
          <w:rFonts w:eastAsia="Times New Roman" w:hAnsi="Times New Roman" w:cs="Times New Roman"/>
          <w:sz w:val="28"/>
          <w:szCs w:val="28"/>
        </w:rPr>
        <w:t>.</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tabs>
          <w:tab w:val="left" w:pos="7711"/>
        </w:tabs>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tabs>
          <w:tab w:val="left" w:pos="7711"/>
        </w:tabs>
        <w:contextualSpacing/>
        <w:jc w:val="both"/>
        <w:textAlignment w:val="baseline"/>
        <w:rPr>
          <w:sz w:val="28"/>
          <w:szCs w:val="28"/>
          <w:lang w:val="es-ES_tradnl"/>
        </w:rPr>
      </w:pPr>
      <w:r w:rsidRPr="0078289D">
        <w:rPr>
          <w:sz w:val="28"/>
          <w:szCs w:val="28"/>
          <w:lang w:val="es-ES_tradnl"/>
        </w:rPr>
        <w:t>58</w:t>
      </w:r>
      <w:r w:rsidR="005F2258" w:rsidRPr="0078289D">
        <w:rPr>
          <w:sz w:val="28"/>
          <w:szCs w:val="28"/>
          <w:lang w:val="es-ES_tradnl"/>
        </w:rPr>
        <w:t xml:space="preserve">. </w:t>
      </w:r>
      <w:r w:rsidR="00840465" w:rsidRPr="0078289D">
        <w:rPr>
          <w:sz w:val="28"/>
          <w:szCs w:val="28"/>
          <w:lang w:val="es-ES_tradnl"/>
        </w:rPr>
        <w:t xml:space="preserve">Del anterior análisis es </w:t>
      </w:r>
      <w:r w:rsidR="00A700BA" w:rsidRPr="0078289D">
        <w:rPr>
          <w:sz w:val="28"/>
          <w:szCs w:val="28"/>
          <w:lang w:val="es-ES_tradnl"/>
        </w:rPr>
        <w:t>necesario</w:t>
      </w:r>
      <w:r w:rsidR="00840465" w:rsidRPr="0078289D">
        <w:rPr>
          <w:sz w:val="28"/>
          <w:szCs w:val="28"/>
          <w:lang w:val="es-ES_tradnl"/>
        </w:rPr>
        <w:t xml:space="preserve"> concluir que la norma </w:t>
      </w:r>
      <w:r w:rsidR="002F6C36" w:rsidRPr="0078289D">
        <w:rPr>
          <w:sz w:val="28"/>
          <w:szCs w:val="28"/>
          <w:lang w:val="es-ES_tradnl"/>
        </w:rPr>
        <w:t xml:space="preserve">sólo se aplica a víctimas del conflicto cuyos predios van a ser utilizados para proyectos PINE. Con ello, la disposición demandada </w:t>
      </w:r>
      <w:r w:rsidR="00840465" w:rsidRPr="0078289D">
        <w:rPr>
          <w:sz w:val="28"/>
          <w:szCs w:val="28"/>
          <w:lang w:val="es-ES_tradnl"/>
        </w:rPr>
        <w:t xml:space="preserve">genera una distinción entre varias categorías de sujetos que se encuentran en </w:t>
      </w:r>
      <w:r w:rsidR="00136498" w:rsidRPr="0078289D">
        <w:rPr>
          <w:sz w:val="28"/>
          <w:szCs w:val="28"/>
          <w:lang w:val="es-ES_tradnl"/>
        </w:rPr>
        <w:t xml:space="preserve">diferentes </w:t>
      </w:r>
      <w:r w:rsidR="00840465" w:rsidRPr="0078289D">
        <w:rPr>
          <w:sz w:val="28"/>
          <w:szCs w:val="28"/>
          <w:lang w:val="es-ES_tradnl"/>
        </w:rPr>
        <w:t xml:space="preserve">situaciones </w:t>
      </w:r>
      <w:r w:rsidR="00136498" w:rsidRPr="0078289D">
        <w:rPr>
          <w:sz w:val="28"/>
          <w:szCs w:val="28"/>
          <w:lang w:val="es-ES_tradnl"/>
        </w:rPr>
        <w:t>de hecho</w:t>
      </w:r>
      <w:r w:rsidR="00840465" w:rsidRPr="0078289D">
        <w:rPr>
          <w:sz w:val="28"/>
          <w:szCs w:val="28"/>
          <w:lang w:val="es-ES_tradnl"/>
        </w:rPr>
        <w:t>. En este sentido, diferencia entre aquellas personas que son víctimas y no víctimas</w:t>
      </w:r>
      <w:r w:rsidR="00D32A44" w:rsidRPr="0078289D">
        <w:rPr>
          <w:sz w:val="28"/>
          <w:szCs w:val="28"/>
          <w:lang w:val="es-ES_tradnl"/>
        </w:rPr>
        <w:t xml:space="preserve"> del conflicto armado</w:t>
      </w:r>
      <w:r w:rsidR="00840465" w:rsidRPr="0078289D">
        <w:rPr>
          <w:sz w:val="28"/>
          <w:szCs w:val="28"/>
          <w:lang w:val="es-ES_tradnl"/>
        </w:rPr>
        <w:t xml:space="preserve">, y a su vez, entre aquéllas que tienen derechos sobre predios en los cuales se realizarán proyectos PINE y </w:t>
      </w:r>
      <w:r w:rsidR="00136498" w:rsidRPr="0078289D">
        <w:rPr>
          <w:sz w:val="28"/>
          <w:szCs w:val="28"/>
          <w:lang w:val="es-ES_tradnl"/>
        </w:rPr>
        <w:t xml:space="preserve">aquellos </w:t>
      </w:r>
      <w:r w:rsidR="00840465" w:rsidRPr="0078289D">
        <w:rPr>
          <w:sz w:val="28"/>
          <w:szCs w:val="28"/>
          <w:lang w:val="es-ES_tradnl"/>
        </w:rPr>
        <w:t xml:space="preserve">sobre los </w:t>
      </w:r>
      <w:r w:rsidR="00136498" w:rsidRPr="0078289D">
        <w:rPr>
          <w:sz w:val="28"/>
          <w:szCs w:val="28"/>
          <w:lang w:val="es-ES_tradnl"/>
        </w:rPr>
        <w:t>cuales</w:t>
      </w:r>
      <w:r w:rsidR="00840465" w:rsidRPr="0078289D">
        <w:rPr>
          <w:sz w:val="28"/>
          <w:szCs w:val="28"/>
          <w:lang w:val="es-ES_tradnl"/>
        </w:rPr>
        <w:t xml:space="preserve"> no</w:t>
      </w:r>
      <w:r w:rsidR="00136498" w:rsidRPr="0078289D">
        <w:rPr>
          <w:sz w:val="28"/>
          <w:szCs w:val="28"/>
          <w:lang w:val="es-ES_tradnl"/>
        </w:rPr>
        <w:t xml:space="preserve"> se van a realizar dichos proyectos</w:t>
      </w:r>
      <w:r w:rsidR="00840465"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tabs>
          <w:tab w:val="left" w:pos="7711"/>
        </w:tabs>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De esta manera, el criterio que utiliza la norma estudiada para realizar una distribución desigual de derechos y garantías, es el carácter de víctima del conflicto, y no la naturaleza del proyecto a ejecutar. En efecto, a los ciudadanos que se encuentran en el primer grupo se les garantiza </w:t>
      </w:r>
      <w:r w:rsidR="002E6F92" w:rsidRPr="0078289D">
        <w:rPr>
          <w:sz w:val="28"/>
          <w:szCs w:val="28"/>
          <w:lang w:val="es-ES_tradnl"/>
        </w:rPr>
        <w:t xml:space="preserve">el que se va a llevar a cabo </w:t>
      </w:r>
      <w:r w:rsidRPr="0078289D">
        <w:rPr>
          <w:sz w:val="28"/>
          <w:szCs w:val="28"/>
          <w:lang w:val="es-ES_tradnl"/>
        </w:rPr>
        <w:t xml:space="preserve">un procedimiento de expropiación, con todas las garantías que éste conlleva, a saber, la participación de las tres ramas del poder público, la declaratoria en cada caso concreto de los motivos de utilidad pública e interés social que implican la limitación de derecho de propiedad, el pago de una indemnización previa y justa, y la posibilidad de acudir a la jurisdicción. Sin </w:t>
      </w:r>
      <w:r w:rsidRPr="0078289D">
        <w:rPr>
          <w:sz w:val="28"/>
          <w:szCs w:val="28"/>
          <w:lang w:val="es-ES_tradnl"/>
        </w:rPr>
        <w:lastRenderedPageBreak/>
        <w:t>embargo, con la norma acusada el Legislador restringió dicho conjunto de garantías a los ciudadanos que tienen el carácter de víctimas</w:t>
      </w:r>
      <w:r w:rsidR="003869A3" w:rsidRPr="0078289D">
        <w:rPr>
          <w:sz w:val="28"/>
          <w:szCs w:val="28"/>
          <w:lang w:val="es-ES_tradnl"/>
        </w:rPr>
        <w:t xml:space="preserve"> del conflicto armado</w:t>
      </w:r>
      <w:r w:rsidRPr="0078289D">
        <w:rPr>
          <w:sz w:val="28"/>
          <w:szCs w:val="28"/>
          <w:lang w:val="es-ES_tradnl"/>
        </w:rPr>
        <w:t xml:space="preserve">, para prescribir, de forma principal, la compensación como mecanismo de reparación. En este sentido, la Sala concluye que la calidad de víctima del conflicto armado es el único criterio de distribución desigual de los derechos de acceso a la administración de justicia y debido proceso, garantizados a través del procedimiento de expropiación.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tabs>
          <w:tab w:val="left" w:pos="7711"/>
        </w:tabs>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59</w:t>
      </w:r>
      <w:r w:rsidR="005F2258" w:rsidRPr="0078289D">
        <w:rPr>
          <w:sz w:val="28"/>
          <w:szCs w:val="28"/>
          <w:lang w:val="es-ES_tradnl"/>
        </w:rPr>
        <w:t xml:space="preserve">. </w:t>
      </w:r>
      <w:r w:rsidR="00840465" w:rsidRPr="0078289D">
        <w:rPr>
          <w:sz w:val="28"/>
          <w:szCs w:val="28"/>
          <w:lang w:val="es-ES_tradnl"/>
        </w:rPr>
        <w:t xml:space="preserve">Así, la Corte advierte que la norma se dirige a regular una excepción al procedimiento de expropiación, el cual es la regla general en casos de limitación del derecho de dominio por parte del Estado. Particularmente, son dos las calidades que debe cumplir un ciudadano para ser sujeto de la norma jurídica, a saber: i) ser víctima del conflicto armado, en el marco de un proceso de restitución y ii) que el predio sobre el cual solicita la restitución sea requerido para la ejecución de un proyecto de interés nacional. Para determinar si la distinción implica una vulneración del principio de igualdad, como señalan los demandantes, la Corte realizará un juicio integrado de igualdad.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i/>
          <w:sz w:val="28"/>
          <w:szCs w:val="28"/>
          <w:lang w:val="es-ES_tradnl"/>
        </w:rPr>
      </w:pPr>
      <w:r w:rsidRPr="0078289D">
        <w:rPr>
          <w:b/>
          <w:i/>
          <w:sz w:val="28"/>
          <w:szCs w:val="28"/>
          <w:lang w:val="es-ES_tradnl"/>
        </w:rPr>
        <w:t>Aplicación del test integrado de igualdad</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r w:rsidRPr="0078289D">
        <w:rPr>
          <w:sz w:val="28"/>
          <w:szCs w:val="28"/>
          <w:lang w:val="es-ES_tradnl"/>
        </w:rPr>
        <w:t>60</w:t>
      </w:r>
      <w:r w:rsidR="005F2258" w:rsidRPr="0078289D">
        <w:rPr>
          <w:sz w:val="28"/>
          <w:szCs w:val="28"/>
          <w:lang w:val="es-ES_tradnl"/>
        </w:rPr>
        <w:t xml:space="preserve">. </w:t>
      </w:r>
      <w:r w:rsidR="00840465" w:rsidRPr="0078289D">
        <w:rPr>
          <w:sz w:val="28"/>
          <w:szCs w:val="28"/>
          <w:lang w:val="es-ES_tradnl"/>
        </w:rPr>
        <w:t xml:space="preserve">Para comenzar, es necesario definir el alcance del </w:t>
      </w:r>
      <w:r w:rsidR="00840465" w:rsidRPr="0078289D">
        <w:rPr>
          <w:b/>
          <w:sz w:val="28"/>
          <w:szCs w:val="28"/>
          <w:lang w:val="es-ES_tradnl"/>
        </w:rPr>
        <w:t>principio de igualdad</w:t>
      </w:r>
      <w:r w:rsidR="00840465" w:rsidRPr="0078289D">
        <w:rPr>
          <w:sz w:val="28"/>
          <w:szCs w:val="28"/>
          <w:lang w:val="es-ES_tradnl"/>
        </w:rPr>
        <w:t xml:space="preserve">. La Corte Constitucional se ha pronunciado al respecto en múltiples oportunidades, y ha indicado que </w:t>
      </w:r>
      <w:r w:rsidR="00840465" w:rsidRPr="0078289D">
        <w:rPr>
          <w:rFonts w:eastAsia="Times New Roman"/>
          <w:sz w:val="28"/>
          <w:szCs w:val="28"/>
          <w:lang w:val="es-ES_tradnl"/>
        </w:rPr>
        <w:t>el principio de igualdad de trato, consagrado en el artículo 13 de la Constitución Política</w:t>
      </w:r>
      <w:r w:rsidR="00840465" w:rsidRPr="0078289D">
        <w:rPr>
          <w:rFonts w:eastAsia="Times New Roman"/>
          <w:i/>
          <w:iCs/>
          <w:sz w:val="28"/>
          <w:szCs w:val="28"/>
          <w:lang w:val="es-ES_tradnl"/>
        </w:rPr>
        <w:t>,</w:t>
      </w:r>
      <w:r w:rsidR="00840465" w:rsidRPr="0078289D">
        <w:rPr>
          <w:rFonts w:eastAsia="Times New Roman"/>
          <w:sz w:val="28"/>
          <w:szCs w:val="28"/>
          <w:lang w:val="es-ES_tradnl"/>
        </w:rPr>
        <w:t xml:space="preserve"> implica dos mandatos: i) en primer lugar, el de dar un mismo trato a supuestos de hecho equivalentes cuando no exista una razón para dar un trato diferente; y ii) en segundo lugar, el de dar un trato desigual a supuestos de hecho diferentes.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r w:rsidRPr="0078289D">
        <w:rPr>
          <w:rFonts w:eastAsia="Times New Roman"/>
          <w:sz w:val="28"/>
          <w:szCs w:val="28"/>
          <w:lang w:val="es-ES_tradnl"/>
        </w:rPr>
        <w:t xml:space="preserve">Ahora bien, la Corte Constitucional ha desglosado los anteriores mandatos en otros más específicos, y para ello, ha adoptado como criterio el grado de semejanza entre los supuestos de hecho a comparar. Al respecto, en </w:t>
      </w:r>
      <w:r w:rsidRPr="0078289D">
        <w:rPr>
          <w:rFonts w:eastAsia="Times New Roman"/>
          <w:b/>
          <w:sz w:val="28"/>
          <w:szCs w:val="28"/>
          <w:lang w:val="es-ES_tradnl"/>
        </w:rPr>
        <w:t>Sentencia C-015 de 2014</w:t>
      </w:r>
      <w:r w:rsidRPr="0078289D">
        <w:rPr>
          <w:rFonts w:eastAsia="Times New Roman"/>
          <w:b/>
          <w:sz w:val="28"/>
          <w:szCs w:val="28"/>
          <w:vertAlign w:val="superscript"/>
          <w:lang w:val="es-ES_tradnl"/>
        </w:rPr>
        <w:footnoteReference w:id="60"/>
      </w:r>
      <w:r w:rsidRPr="0078289D">
        <w:rPr>
          <w:rFonts w:eastAsia="Times New Roman"/>
          <w:sz w:val="28"/>
          <w:szCs w:val="28"/>
          <w:lang w:val="es-ES_tradnl"/>
        </w:rPr>
        <w:t xml:space="preserve"> manifestó:</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6271"/>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w:t>
      </w:r>
      <w:r w:rsidRPr="0078289D">
        <w:rPr>
          <w:rFonts w:eastAsia="Times New Roman"/>
          <w:sz w:val="28"/>
          <w:szCs w:val="28"/>
          <w:lang w:val="es-ES_tradnl"/>
        </w:rPr>
        <w:tab/>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textAlignment w:val="baseline"/>
        <w:rPr>
          <w:i/>
          <w:sz w:val="28"/>
          <w:szCs w:val="28"/>
          <w:lang w:val="es-ES_tradnl"/>
        </w:rPr>
      </w:pPr>
      <w:r w:rsidRPr="0078289D">
        <w:rPr>
          <w:rFonts w:eastAsia="Times New Roman"/>
          <w:i/>
          <w:sz w:val="28"/>
          <w:szCs w:val="28"/>
          <w:lang w:val="es-ES_tradnl"/>
        </w:rPr>
        <w:t xml:space="preserve">“4.3.5. A partir del grado de semejanza o de identidad, es posible precisar los dos mandatos antedichos en cuatro mandatos más específicos aún, a saber: (i) el de dar el mismo trato a situaciones de hecho idénticas; (ii) el de dar un trato diferente a situaciones de hecho que no tienen ningún elemento en común; (iii) el de dar un trato paritario o semejante a situaciones de hecho que presenten similitudes y diferencias, cuando las primeras sean  más relevantes que las segundas; y (iv) el de dar un trato diferente a situaciones de hecho que presentes similitudes y diferencias, cuando las segundas </w:t>
      </w:r>
      <w:r w:rsidRPr="0078289D">
        <w:rPr>
          <w:rFonts w:eastAsia="Times New Roman"/>
          <w:sz w:val="28"/>
          <w:szCs w:val="28"/>
          <w:lang w:val="es-ES_tradnl"/>
        </w:rPr>
        <w:t>(sic)</w:t>
      </w:r>
      <w:r w:rsidRPr="0078289D">
        <w:rPr>
          <w:rFonts w:eastAsia="Times New Roman"/>
          <w:i/>
          <w:sz w:val="28"/>
          <w:szCs w:val="28"/>
          <w:lang w:val="es-ES_tradnl"/>
        </w:rPr>
        <w:t xml:space="preserve"> más relevantes que las primeras”.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r w:rsidRPr="0078289D">
        <w:rPr>
          <w:sz w:val="28"/>
          <w:szCs w:val="28"/>
          <w:lang w:val="es-ES_tradnl"/>
        </w:rPr>
        <w:lastRenderedPageBreak/>
        <w:t>61</w:t>
      </w:r>
      <w:r w:rsidR="005F2258" w:rsidRPr="0078289D">
        <w:rPr>
          <w:sz w:val="28"/>
          <w:szCs w:val="28"/>
          <w:lang w:val="es-ES_tradnl"/>
        </w:rPr>
        <w:t xml:space="preserve">. </w:t>
      </w:r>
      <w:r w:rsidR="00EE3A54" w:rsidRPr="0078289D">
        <w:rPr>
          <w:sz w:val="28"/>
          <w:szCs w:val="28"/>
          <w:lang w:val="es-ES_tradnl"/>
        </w:rPr>
        <w:t>Así mismo</w:t>
      </w:r>
      <w:r w:rsidR="00840465" w:rsidRPr="0078289D">
        <w:rPr>
          <w:sz w:val="28"/>
          <w:szCs w:val="28"/>
          <w:lang w:val="es-ES_tradnl"/>
        </w:rPr>
        <w:t xml:space="preserve">, la jurisprudencia de la Corte Constitucional ha analizado extensamente la forma en que debe realizarse el análisis de constitucionalidad de una norma en virtud del principio de igualdad. Así, ha identificado un primer método, el denominado test o juicio de proporcionalidad, frecuentemente utilizado por la Corte Europea de Derechos Humanos y algunos tribunales constitucionales europeos, como los de España y Alemania. </w:t>
      </w:r>
      <w:r w:rsidR="00840465" w:rsidRPr="0078289D">
        <w:rPr>
          <w:rFonts w:eastAsia="Times New Roman"/>
          <w:sz w:val="28"/>
          <w:szCs w:val="28"/>
          <w:lang w:val="es-ES_tradnl"/>
        </w:rPr>
        <w:t xml:space="preserve">En este tipo de test el juez estudia, en primer lugar, la </w:t>
      </w:r>
      <w:r w:rsidR="00840465" w:rsidRPr="0078289D">
        <w:rPr>
          <w:rFonts w:eastAsia="Times New Roman"/>
          <w:i/>
          <w:sz w:val="28"/>
          <w:szCs w:val="28"/>
          <w:lang w:val="es-ES_tradnl"/>
        </w:rPr>
        <w:t>idoneidad</w:t>
      </w:r>
      <w:r w:rsidR="00840465" w:rsidRPr="0078289D">
        <w:rPr>
          <w:rFonts w:eastAsia="Times New Roman"/>
          <w:sz w:val="28"/>
          <w:szCs w:val="28"/>
          <w:lang w:val="es-ES_tradnl"/>
        </w:rPr>
        <w:t xml:space="preserve"> de la medida; posteriormente analiza si el trato diferenciado es </w:t>
      </w:r>
      <w:r w:rsidR="00840465" w:rsidRPr="0078289D">
        <w:rPr>
          <w:rFonts w:eastAsia="Times New Roman"/>
          <w:i/>
          <w:sz w:val="28"/>
          <w:szCs w:val="28"/>
          <w:lang w:val="es-ES_tradnl"/>
        </w:rPr>
        <w:t>necesario</w:t>
      </w:r>
      <w:r w:rsidR="00840465" w:rsidRPr="0078289D">
        <w:rPr>
          <w:rFonts w:eastAsia="Times New Roman"/>
          <w:sz w:val="28"/>
          <w:szCs w:val="28"/>
          <w:lang w:val="es-ES_tradnl"/>
        </w:rPr>
        <w:t>, es decir, si existe una medida menos lesiva que logre alcanzar el fin propuesto; y, finalmente, el juez realiza un análisis de “</w:t>
      </w:r>
      <w:r w:rsidR="00840465" w:rsidRPr="0078289D">
        <w:rPr>
          <w:rFonts w:eastAsia="Times New Roman"/>
          <w:i/>
          <w:sz w:val="28"/>
          <w:szCs w:val="28"/>
          <w:lang w:val="es-ES_tradnl"/>
        </w:rPr>
        <w:t>proporcionalidad en estricto sentido</w:t>
      </w:r>
      <w:r w:rsidR="00840465" w:rsidRPr="0078289D">
        <w:rPr>
          <w:rFonts w:eastAsia="Times New Roman"/>
          <w:sz w:val="28"/>
          <w:szCs w:val="28"/>
          <w:lang w:val="es-ES_tradnl"/>
        </w:rPr>
        <w:t>” con el fin de determinar si la medida adoptada sacrifica valores y principios constitucionales de mayor envergadura que los protegidos con el fin propuesto</w:t>
      </w:r>
      <w:r w:rsidR="00840465" w:rsidRPr="0078289D">
        <w:rPr>
          <w:rFonts w:eastAsia="Times New Roman"/>
          <w:sz w:val="28"/>
          <w:szCs w:val="28"/>
          <w:vertAlign w:val="superscript"/>
          <w:lang w:val="es-ES_tradnl"/>
        </w:rPr>
        <w:footnoteReference w:id="61"/>
      </w:r>
      <w:r w:rsidR="00840465" w:rsidRPr="0078289D">
        <w:rPr>
          <w:rFonts w:eastAsia="Times New Roman"/>
          <w:sz w:val="28"/>
          <w:szCs w:val="28"/>
          <w:lang w:val="es-ES_tradnl"/>
        </w:rPr>
        <w:t xml:space="preserve">.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xml:space="preserve">El segundo método, denominado “test de igualdad”,  ha sido desarrollado por la jurisprudencia de la Corte Suprema de Estados Unidos. Éste ha señalado la existencia de distintos niveles de intensidad en los “escrutinios”, y ha identificado, principalmente, tres niveles: débil, intermedio y estricto. La mencionada diferenciación es importante, toda vez que brinda al juez el espectro para el análisis de constitucionalidad. Así, en aquellos casos en que el test es estricto, el trato diferente debe ser </w:t>
      </w:r>
      <w:r w:rsidRPr="0078289D">
        <w:rPr>
          <w:rFonts w:eastAsia="Times New Roman"/>
          <w:i/>
          <w:sz w:val="28"/>
          <w:szCs w:val="28"/>
          <w:lang w:val="es-ES_tradnl"/>
        </w:rPr>
        <w:t xml:space="preserve">necesario </w:t>
      </w:r>
      <w:r w:rsidRPr="0078289D">
        <w:rPr>
          <w:rFonts w:eastAsia="Times New Roman"/>
          <w:sz w:val="28"/>
          <w:szCs w:val="28"/>
          <w:lang w:val="es-ES_tradnl"/>
        </w:rPr>
        <w:t>para alcanzar un objetivo constitucionalmente aceptable. Por otro lado, en los casos de tests flexibles, la medida sólo debe ser potencialmente adecuada para alcanzar un propósito que no riña con la Carta Política</w:t>
      </w:r>
      <w:r w:rsidRPr="0078289D">
        <w:rPr>
          <w:rFonts w:eastAsia="Times New Roman"/>
          <w:sz w:val="28"/>
          <w:szCs w:val="28"/>
          <w:vertAlign w:val="superscript"/>
          <w:lang w:val="es-ES_tradnl"/>
        </w:rPr>
        <w:footnoteReference w:id="62"/>
      </w:r>
      <w:r w:rsidRPr="0078289D">
        <w:rPr>
          <w:rFonts w:eastAsia="Times New Roman"/>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La Corte Constitucional ha identificado las ventajas y debilidades del juicio de proporcionalidad europeo y de los test de igualdad desarrollados por la Corte Suprema de Estados Unidos, y ha concluido que la aproximación más razonable es aquélla de carácter integrador, que adapte las fortalezas de ambos métodos. En este sentido, ha adoptado el criterio del </w:t>
      </w:r>
      <w:r w:rsidRPr="0078289D">
        <w:rPr>
          <w:i/>
          <w:sz w:val="28"/>
          <w:szCs w:val="28"/>
          <w:lang w:val="es-ES_tradnl"/>
        </w:rPr>
        <w:t>“juicio integrado de igualdad”</w:t>
      </w:r>
      <w:r w:rsidRPr="0078289D">
        <w:rPr>
          <w:sz w:val="28"/>
          <w:szCs w:val="28"/>
          <w:lang w:val="es-ES_tradnl"/>
        </w:rPr>
        <w:t>, el cual está compuesto por los pasos del juicio de proporcionalidad, a saber, el análisis de adecuación, idoneidad y proporcionalidad de la medida. Sin embargo, ha utilizado los criterios brindados por el test de igualdad estadounidense, con el fin de realizar un análisis de igualdad de diferente intensidad, dependiendo de si se está ante el caso de un test estricto, intermedio o flexible</w:t>
      </w:r>
      <w:r w:rsidRPr="0078289D">
        <w:rPr>
          <w:sz w:val="28"/>
          <w:szCs w:val="28"/>
          <w:vertAlign w:val="superscript"/>
          <w:lang w:val="es-ES_tradnl"/>
        </w:rPr>
        <w:footnoteReference w:id="63"/>
      </w:r>
      <w:r w:rsidRPr="0078289D">
        <w:rPr>
          <w:sz w:val="28"/>
          <w:szCs w:val="28"/>
          <w:lang w:val="es-ES_tradnl"/>
        </w:rPr>
        <w:t xml:space="preserve">. Particularmente, la Corte Constitucional ha interpretado que en aquellas áreas en las que el Legislador tiene un mayor margen de configuración, por ejemplo, en materia tributaria, el grado de intensidad del control constitucional debe ser débil, para efectos de preservar el principio de separación de poderes. De otro lado, en aquellas situaciones en que el Legislador tiene un menor grado de autonomía, el control constitucional debe ser estricto, para efectos de preservar los principios esenciales contenidos en la Carta Política. </w:t>
      </w:r>
    </w:p>
    <w:p w:rsidR="00F874CA" w:rsidRPr="0078289D" w:rsidRDefault="00F874CA"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sz w:val="28"/>
          <w:szCs w:val="28"/>
          <w:lang w:val="es-ES_tradnl"/>
        </w:rPr>
      </w:pPr>
      <w:r w:rsidRPr="0078289D">
        <w:rPr>
          <w:rFonts w:eastAsia="Times New Roman"/>
          <w:sz w:val="28"/>
          <w:szCs w:val="28"/>
          <w:lang w:val="es-ES_tradnl"/>
        </w:rPr>
        <w:lastRenderedPageBreak/>
        <w:t>62</w:t>
      </w:r>
      <w:r w:rsidR="005F2258" w:rsidRPr="0078289D">
        <w:rPr>
          <w:rFonts w:eastAsia="Times New Roman"/>
          <w:sz w:val="28"/>
          <w:szCs w:val="28"/>
          <w:lang w:val="es-ES_tradnl"/>
        </w:rPr>
        <w:t xml:space="preserve">. </w:t>
      </w:r>
      <w:r w:rsidR="00840465" w:rsidRPr="0078289D">
        <w:rPr>
          <w:rFonts w:eastAsia="Times New Roman"/>
          <w:sz w:val="28"/>
          <w:szCs w:val="28"/>
          <w:lang w:val="es-ES_tradnl"/>
        </w:rPr>
        <w:t xml:space="preserve">La Corte Constitucional se ha manifestado de manera puntual sobre los criterios para determinar la realización de un juicio de igualdad estricto. Así, ha manifestado que </w:t>
      </w:r>
      <w:r w:rsidR="00CB1C48" w:rsidRPr="0078289D">
        <w:rPr>
          <w:rFonts w:eastAsia="Times New Roman"/>
          <w:sz w:val="28"/>
          <w:szCs w:val="28"/>
          <w:lang w:val="es-ES_tradnl"/>
        </w:rPr>
        <w:t xml:space="preserve">se debe efectuar un test de igualdad más riguroso </w:t>
      </w:r>
      <w:r w:rsidR="00840465" w:rsidRPr="0078289D">
        <w:rPr>
          <w:rFonts w:eastAsia="Times New Roman"/>
          <w:sz w:val="28"/>
          <w:szCs w:val="28"/>
          <w:lang w:val="es-ES_tradnl"/>
        </w:rPr>
        <w:t>en aquellos casos en que</w:t>
      </w:r>
      <w:r w:rsidR="00CB1C48" w:rsidRPr="0078289D">
        <w:rPr>
          <w:rFonts w:eastAsia="Times New Roman"/>
          <w:sz w:val="28"/>
          <w:szCs w:val="28"/>
          <w:lang w:val="es-ES_tradnl"/>
        </w:rPr>
        <w:t>:</w:t>
      </w:r>
      <w:r w:rsidR="00840465" w:rsidRPr="0078289D">
        <w:rPr>
          <w:rFonts w:eastAsia="Times New Roman"/>
          <w:sz w:val="28"/>
          <w:szCs w:val="28"/>
          <w:lang w:val="es-ES_tradnl"/>
        </w:rPr>
        <w:t xml:space="preserve"> i) exista una limitación de un derecho constitucional a un grupo de personas, ii) el Legislador haya utilizado uno de los criterios sospechosos del artículo 13 constitucional para realizar una diferenciación, iii) exista una diferenciación pese a que la Carta Política expresamente especifique criterios de igualdad, o iv) cuando se afecten poblaciones en si</w:t>
      </w:r>
      <w:r w:rsidR="00E6783D" w:rsidRPr="0078289D">
        <w:rPr>
          <w:rFonts w:eastAsia="Times New Roman"/>
          <w:sz w:val="28"/>
          <w:szCs w:val="28"/>
          <w:lang w:val="es-ES_tradnl"/>
        </w:rPr>
        <w:t>tuación de debilidad manifiesta</w:t>
      </w:r>
      <w:r w:rsidR="00840465" w:rsidRPr="0078289D">
        <w:rPr>
          <w:rFonts w:eastAsia="Times New Roman"/>
          <w:sz w:val="28"/>
          <w:szCs w:val="28"/>
          <w:lang w:val="es-ES_tradnl"/>
        </w:rPr>
        <w:t xml:space="preserve">. La Corte se pronunció al respecto en la </w:t>
      </w:r>
      <w:r w:rsidR="00840465" w:rsidRPr="0078289D">
        <w:rPr>
          <w:rFonts w:eastAsia="Times New Roman"/>
          <w:b/>
          <w:sz w:val="28"/>
          <w:szCs w:val="28"/>
          <w:lang w:val="es-ES_tradnl"/>
        </w:rPr>
        <w:t>Sentencia C-091 de 2001</w:t>
      </w:r>
      <w:r w:rsidR="00840465" w:rsidRPr="0078289D">
        <w:rPr>
          <w:rFonts w:eastAsia="Times New Roman"/>
          <w:sz w:val="28"/>
          <w:szCs w:val="28"/>
          <w:lang w:val="es-ES_tradnl"/>
        </w:rPr>
        <w:t>, así:</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textAlignment w:val="baseline"/>
        <w:rPr>
          <w:rFonts w:eastAsia="Times New Roman"/>
          <w:i/>
          <w:sz w:val="28"/>
          <w:szCs w:val="28"/>
          <w:u w:color="410108"/>
          <w:lang w:val="es-ES_tradnl" w:eastAsia="es-ES"/>
        </w:rPr>
      </w:pPr>
      <w:r w:rsidRPr="0078289D">
        <w:rPr>
          <w:rFonts w:eastAsia="Times New Roman"/>
          <w:i/>
          <w:sz w:val="28"/>
          <w:szCs w:val="28"/>
          <w:u w:color="000000"/>
          <w:lang w:val="es-ES_tradnl" w:eastAsia="es-ES"/>
        </w:rPr>
        <w:t>“17- En varias sentencias</w:t>
      </w:r>
      <w:r w:rsidRPr="0078289D">
        <w:rPr>
          <w:rFonts w:eastAsia="Times New Roman"/>
          <w:i/>
          <w:sz w:val="28"/>
          <w:szCs w:val="28"/>
          <w:u w:color="410108"/>
          <w:lang w:val="es-ES_tradnl" w:eastAsia="es-ES"/>
        </w:rPr>
        <w:t>, esta Corte ha ido definiendo cuáles son los factores que obligan a recurrir a un juicio de igualdad más riguroso. Conforme a esa evolución jurisprudencial, el escrutinio judicial debe ser más intenso al menos en los siguientes casos: de un lado, cuando la ley limita el goce de un derecho constitucional a un determinado grupo de personas, puesto que la Carta indica que todas las personas tienen derecho a una igual protección de sus derechos y libertades (CP art. 13). De otro lado, cuando el Congreso utiliza como elemento de diferenciación un criterio prohibido o sospechoso, como la raza, pues la Constitución y los tratados de derechos humanos excluyen el uso de esas categorías  (CP art. 13). En tercer término, cuando la Carta señala mandatos específicos de igualdad, como sucede con la equiparación entre todas las confesiones religiosas (CP art, 19), pues en esos eventos, la libertad de configuración del Legislador se ve menguada. Y, finalmente, cuando la regulación afecta a poblaciones que se encuentran en situaciones de debilidad manifiesta ya que éstas ameritan una especial protección del Estado (CP art. 13)”.</w:t>
      </w:r>
    </w:p>
    <w:p w:rsidR="00F874CA" w:rsidRPr="0078289D" w:rsidRDefault="00F874CA"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b/>
          <w:i/>
          <w:sz w:val="28"/>
          <w:szCs w:val="28"/>
          <w:lang w:val="es-ES_tradnl"/>
        </w:rPr>
      </w:pPr>
      <w:r w:rsidRPr="0078289D">
        <w:rPr>
          <w:rFonts w:eastAsia="Times New Roman"/>
          <w:b/>
          <w:i/>
          <w:sz w:val="28"/>
          <w:szCs w:val="28"/>
          <w:lang w:val="es-ES_tradnl"/>
        </w:rPr>
        <w:t>Análisis de la finalidad de la medida</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b/>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63</w:t>
      </w:r>
      <w:r w:rsidR="00EF5FBF" w:rsidRPr="0078289D">
        <w:rPr>
          <w:sz w:val="28"/>
          <w:szCs w:val="28"/>
          <w:lang w:val="es-ES_tradnl"/>
        </w:rPr>
        <w:t xml:space="preserve">. </w:t>
      </w:r>
      <w:r w:rsidR="00840465" w:rsidRPr="0078289D">
        <w:rPr>
          <w:sz w:val="28"/>
          <w:szCs w:val="28"/>
          <w:lang w:val="es-ES_tradnl"/>
        </w:rPr>
        <w:t xml:space="preserve">En el caso analizado, la Sala advierte que existen al menos dos criterios que permiten deducir la necesidad de adelantar un </w:t>
      </w:r>
      <w:r w:rsidR="00840465" w:rsidRPr="0078289D">
        <w:rPr>
          <w:b/>
          <w:sz w:val="28"/>
          <w:szCs w:val="28"/>
          <w:lang w:val="es-ES_tradnl"/>
        </w:rPr>
        <w:t>test estricto de igualdad</w:t>
      </w:r>
      <w:r w:rsidR="00840465" w:rsidRPr="0078289D">
        <w:rPr>
          <w:sz w:val="28"/>
          <w:szCs w:val="28"/>
          <w:lang w:val="es-ES_tradnl"/>
        </w:rPr>
        <w:t xml:space="preserve">. En primer lugar, la norma consagra la limitación de hecho de dos derechos fundamentales, como es el caso de los derechos fundamentales de acceso a la administración de justicia y debido proceso y del  derecho a la restitución, el cual es consecuencia del derecho fundamental a la reparación del que son titulares las víctimas del conflicto armado. En efecto, la norma restringe los derechos fundamentales de acceso a la administración de justicia y debido proceso, toda vez que impide que se desarrolle el procedimiento de expropiación a favor de un grupo de ciudadanos destinatarios de la norma jurídica, esto es, las víctimas del conflicto armado cuyos predios serán utilizados para la ejecución de proyectos PINE.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64</w:t>
      </w:r>
      <w:r w:rsidR="00EF5FBF" w:rsidRPr="0078289D">
        <w:rPr>
          <w:sz w:val="28"/>
          <w:szCs w:val="28"/>
          <w:lang w:val="es-ES_tradnl"/>
        </w:rPr>
        <w:t xml:space="preserve">. </w:t>
      </w:r>
      <w:r w:rsidR="00840465" w:rsidRPr="0078289D">
        <w:rPr>
          <w:sz w:val="28"/>
          <w:szCs w:val="28"/>
          <w:lang w:val="es-ES_tradnl"/>
        </w:rPr>
        <w:t xml:space="preserve">Por otro lado, la norma jurídica afecta directamente a un grupo de ciudadanos que se encuentra en una situación de debilidad manifiesta, producto del desplazamiento forzado. La Corte Constitucional ha aceptado que las víctimas del desplazamiento forzado son sujetos de especial protección, y que por lo tanto, aquellas normas que contemplen un trato </w:t>
      </w:r>
      <w:r w:rsidR="00840465" w:rsidRPr="0078289D">
        <w:rPr>
          <w:sz w:val="28"/>
          <w:szCs w:val="28"/>
          <w:lang w:val="es-ES_tradnl"/>
        </w:rPr>
        <w:lastRenderedPageBreak/>
        <w:t xml:space="preserve">desigual en virtud de la calidad de víctimas, deben superar el juicio de constitucionalidad estricto. Así, en </w:t>
      </w:r>
      <w:r w:rsidR="00840465" w:rsidRPr="0078289D">
        <w:rPr>
          <w:b/>
          <w:sz w:val="28"/>
          <w:szCs w:val="28"/>
          <w:lang w:val="es-ES_tradnl"/>
        </w:rPr>
        <w:t>Sentencia C-609 de 2012</w:t>
      </w:r>
      <w:r w:rsidR="00840465" w:rsidRPr="0078289D">
        <w:rPr>
          <w:b/>
          <w:sz w:val="28"/>
          <w:szCs w:val="28"/>
          <w:vertAlign w:val="superscript"/>
          <w:lang w:val="es-ES_tradnl"/>
        </w:rPr>
        <w:footnoteReference w:id="64"/>
      </w:r>
      <w:r w:rsidR="00840465" w:rsidRPr="0078289D">
        <w:rPr>
          <w:sz w:val="28"/>
          <w:szCs w:val="28"/>
          <w:lang w:val="es-ES_tradnl"/>
        </w:rPr>
        <w:t xml:space="preserve"> indicó:</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360"/>
        <w:contextualSpacing/>
        <w:jc w:val="both"/>
        <w:textAlignment w:val="baseline"/>
        <w:rPr>
          <w:rFonts w:eastAsia="Times New Roman"/>
          <w:iCs/>
          <w:sz w:val="28"/>
          <w:szCs w:val="28"/>
          <w:lang w:val="es-ES_tradnl"/>
        </w:rPr>
      </w:pPr>
      <w:r w:rsidRPr="0078289D">
        <w:rPr>
          <w:rFonts w:eastAsia="Times New Roman"/>
          <w:i/>
          <w:iCs/>
          <w:sz w:val="28"/>
          <w:szCs w:val="28"/>
          <w:lang w:val="es-ES_tradnl"/>
        </w:rPr>
        <w:t>“</w:t>
      </w:r>
      <w:r w:rsidRPr="0078289D">
        <w:rPr>
          <w:rFonts w:eastAsia="Times New Roman"/>
          <w:b/>
          <w:i/>
          <w:iCs/>
          <w:sz w:val="28"/>
          <w:szCs w:val="28"/>
          <w:u w:val="single"/>
          <w:lang w:val="es-ES_tradnl"/>
        </w:rPr>
        <w:t>Considera esta Corporación que el supuesto planteado en la demanda respecto de la posible vulneración del derecho de las víctimas trae consigo aplicar un test de igualdad estricto, por cuanto en amplia jurisprudencia constitucional (supra 7 y ss)  estas han sido catalogados como sujetos de especial protección constitucional</w:t>
      </w:r>
      <w:r w:rsidRPr="0078289D">
        <w:rPr>
          <w:rFonts w:eastAsia="Times New Roman"/>
          <w:i/>
          <w:iCs/>
          <w:sz w:val="28"/>
          <w:szCs w:val="28"/>
          <w:lang w:val="es-ES_tradnl"/>
        </w:rPr>
        <w:t xml:space="preserve">.  En este orden de ideas, en principio, se requiere de este tipo de test por cuanto se estaría en presencia de un criterio que genera sospecha al juez constitucional, por estar en juego los derechos de las víctimas del conflicto armado interno.  Ciertamente, el demandante plantea que al limitarse los honorarios a los abogados de las víctimas del conflicto armado interno (en materia de tutela y en acciones contencioso administrativas) se está produciendo un menoscabo a este tipo de víctimas por cuanto limita de manera grave su acceso a la administración de justicia.  (…).  En consecuencia, corresponde al juez constitucional verificar si en efecto la vulneración planteada en la demanda se está o no presentando”. </w:t>
      </w:r>
      <w:r w:rsidRPr="0078289D">
        <w:rPr>
          <w:rFonts w:eastAsia="Times New Roman"/>
          <w:iCs/>
          <w:sz w:val="28"/>
          <w:szCs w:val="28"/>
          <w:lang w:val="es-ES_tradnl"/>
        </w:rPr>
        <w:t>(Subraya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En conclusión, la Corte Constitucional considera que se configuran los requisitos de procedencia del test estricto de igualdad, el cual se realizará en el acápite siguiente.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b/>
          <w:i/>
          <w:sz w:val="28"/>
          <w:szCs w:val="28"/>
          <w:lang w:val="es-ES_tradnl"/>
        </w:rPr>
      </w:pPr>
      <w:r w:rsidRPr="0078289D">
        <w:rPr>
          <w:b/>
          <w:i/>
          <w:sz w:val="28"/>
          <w:szCs w:val="28"/>
          <w:lang w:val="es-ES_tradnl"/>
        </w:rPr>
        <w:t xml:space="preserve">Test estricto de igualdad –Artículo 50 de la Ley 1753 de 2015.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Cs/>
          <w:sz w:val="28"/>
          <w:szCs w:val="28"/>
          <w:lang w:val="es-ES_tradnl"/>
        </w:rPr>
      </w:pPr>
      <w:r w:rsidRPr="0078289D">
        <w:rPr>
          <w:rFonts w:eastAsia="Times New Roman"/>
          <w:iCs/>
          <w:sz w:val="28"/>
          <w:szCs w:val="28"/>
          <w:lang w:val="es-ES_tradnl"/>
        </w:rPr>
        <w:t>65</w:t>
      </w:r>
      <w:r w:rsidR="00EF5FBF" w:rsidRPr="0078289D">
        <w:rPr>
          <w:rFonts w:eastAsia="Times New Roman"/>
          <w:iCs/>
          <w:sz w:val="28"/>
          <w:szCs w:val="28"/>
          <w:lang w:val="es-ES_tradnl"/>
        </w:rPr>
        <w:t xml:space="preserve">. </w:t>
      </w:r>
      <w:r w:rsidR="00840465" w:rsidRPr="0078289D">
        <w:rPr>
          <w:rFonts w:eastAsia="Times New Roman"/>
          <w:iCs/>
          <w:sz w:val="28"/>
          <w:szCs w:val="28"/>
          <w:lang w:val="es-ES_tradnl"/>
        </w:rPr>
        <w:t xml:space="preserve">La jurisprudencia de la Corte Constitucional ha establecido los criterios para la realización del test estricto en el marco del juicio integrado de igualdad. Así, la </w:t>
      </w:r>
      <w:r w:rsidR="00840465" w:rsidRPr="0078289D">
        <w:rPr>
          <w:rFonts w:eastAsia="Times New Roman"/>
          <w:b/>
          <w:iCs/>
          <w:sz w:val="28"/>
          <w:szCs w:val="28"/>
          <w:lang w:val="es-ES_tradnl"/>
        </w:rPr>
        <w:t>Sentencia C-015 de 2014</w:t>
      </w:r>
      <w:r w:rsidR="00840465" w:rsidRPr="0078289D">
        <w:rPr>
          <w:rFonts w:eastAsia="Times New Roman"/>
          <w:iCs/>
          <w:sz w:val="28"/>
          <w:szCs w:val="28"/>
          <w:vertAlign w:val="superscript"/>
          <w:lang w:val="es-ES_tradnl"/>
        </w:rPr>
        <w:footnoteReference w:id="65"/>
      </w:r>
      <w:r w:rsidR="00840465" w:rsidRPr="0078289D">
        <w:rPr>
          <w:rFonts w:eastAsia="Times New Roman"/>
          <w:iCs/>
          <w:sz w:val="28"/>
          <w:szCs w:val="28"/>
          <w:lang w:val="es-ES_tradnl"/>
        </w:rPr>
        <w:t xml:space="preserve"> indicó que, en primer lugar, debe determinarse si el fin perseguido con la norma jurídica es importante y constitucionalmente aceptable. A su vez, el juez constitucional debe señalar si el medio utilizado por la norma es necesario para la obtención del fin. Finalmente, debe realizarse un juicio de proporcionalidad en sentido estricto, con el fin de determinar si los beneficios resultantes de la norma exceden las limitaciones a los valores y principios involucrados. Así, la Corporación señaló: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rFonts w:eastAsia="Times New Roman"/>
          <w:i/>
          <w:iCs/>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textAlignment w:val="baseline"/>
        <w:rPr>
          <w:sz w:val="28"/>
          <w:szCs w:val="28"/>
          <w:lang w:val="es-ES_tradnl"/>
        </w:rPr>
      </w:pPr>
      <w:r w:rsidRPr="0078289D">
        <w:rPr>
          <w:rFonts w:eastAsia="Times New Roman"/>
          <w:i/>
          <w:iCs/>
          <w:sz w:val="28"/>
          <w:szCs w:val="28"/>
          <w:lang w:val="es-ES_tradnl"/>
        </w:rPr>
        <w:t>“El test estricto es el más exigente, pues busca establecer que si el fin es legítimo, importante e imperioso y si el medio es legítimo, adecuado y necesario, es decir, si no puede ser remplazado por otro menos lesivo. Este test incluye un cuarto objeto de análisis: si los beneficios de adoptar la medida exceden claramente las restricciones impuestas sobre otros principios y valores constitucionales”.</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F2110"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66</w:t>
      </w:r>
      <w:r w:rsidR="00EF5FBF" w:rsidRPr="0078289D">
        <w:rPr>
          <w:sz w:val="28"/>
          <w:szCs w:val="28"/>
          <w:lang w:val="es-ES_tradnl"/>
        </w:rPr>
        <w:t xml:space="preserve">. </w:t>
      </w:r>
      <w:r w:rsidR="00840465" w:rsidRPr="0078289D">
        <w:rPr>
          <w:sz w:val="28"/>
          <w:szCs w:val="28"/>
          <w:lang w:val="es-ES_tradnl"/>
        </w:rPr>
        <w:t xml:space="preserve">En primer lugar, la Corte analizará </w:t>
      </w:r>
      <w:r w:rsidR="00840465" w:rsidRPr="0078289D">
        <w:rPr>
          <w:b/>
          <w:sz w:val="28"/>
          <w:szCs w:val="28"/>
          <w:lang w:val="es-ES_tradnl"/>
        </w:rPr>
        <w:t>si la</w:t>
      </w:r>
      <w:r w:rsidR="00840465" w:rsidRPr="0078289D">
        <w:rPr>
          <w:sz w:val="28"/>
          <w:szCs w:val="28"/>
          <w:lang w:val="es-ES_tradnl"/>
        </w:rPr>
        <w:t xml:space="preserve"> </w:t>
      </w:r>
      <w:r w:rsidR="00840465" w:rsidRPr="0078289D">
        <w:rPr>
          <w:b/>
          <w:sz w:val="28"/>
          <w:szCs w:val="28"/>
          <w:lang w:val="es-ES_tradnl"/>
        </w:rPr>
        <w:t>finalidad del artículo 50 de la Ley 1753 de 2015</w:t>
      </w:r>
      <w:r w:rsidR="00840465" w:rsidRPr="0078289D">
        <w:rPr>
          <w:sz w:val="28"/>
          <w:szCs w:val="28"/>
          <w:lang w:val="es-ES_tradnl"/>
        </w:rPr>
        <w:t xml:space="preserve"> </w:t>
      </w:r>
      <w:r w:rsidR="00840465" w:rsidRPr="0078289D">
        <w:rPr>
          <w:b/>
          <w:sz w:val="28"/>
          <w:szCs w:val="28"/>
          <w:lang w:val="es-ES_tradnl"/>
        </w:rPr>
        <w:t>es legítima e importante</w:t>
      </w:r>
      <w:r w:rsidR="00840465" w:rsidRPr="0078289D">
        <w:rPr>
          <w:sz w:val="28"/>
          <w:szCs w:val="28"/>
          <w:lang w:val="es-ES_tradnl"/>
        </w:rPr>
        <w:t xml:space="preserve">. En efecto, la Corte </w:t>
      </w:r>
      <w:r w:rsidR="00840465" w:rsidRPr="0078289D">
        <w:rPr>
          <w:sz w:val="28"/>
          <w:szCs w:val="28"/>
          <w:lang w:val="es-ES_tradnl"/>
        </w:rPr>
        <w:lastRenderedPageBreak/>
        <w:t xml:space="preserve">Constitucional advierte que la norma demandada hace parte del Plan Nacional de Desarrollo presentado por el Presidente de la República para el periodo 2014 – 2018, denominado “Todos por un nuevo país”. En los antecedentes del referido Plan de Desarrollo, el Gobierno Nacional manifestó que estaba conformado por una parte general en la que se incluían las metas y prioridades del Estado y las estrategias políticas en las áreas económica, social y ambiental, así: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i/>
          <w:sz w:val="28"/>
          <w:szCs w:val="28"/>
          <w:lang w:val="es-ES_tradnl"/>
        </w:rPr>
      </w:pPr>
      <w:r w:rsidRPr="0078289D">
        <w:rPr>
          <w:i/>
          <w:sz w:val="28"/>
          <w:szCs w:val="28"/>
          <w:lang w:val="es-ES_tradnl"/>
        </w:rPr>
        <w:t xml:space="preserve">“El Plan Nacional de Desarrollo, como instrumento de planificación y gestión del Gobierno Nacional para el desarrollo y crecimiento del país, está conformado por una parte general y un plan de inversiones de las entidades públicas del orden nacional.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i/>
          <w:sz w:val="28"/>
          <w:szCs w:val="28"/>
          <w:lang w:val="es-ES_tradnl"/>
        </w:rPr>
      </w:pPr>
      <w:r w:rsidRPr="0078289D">
        <w:rPr>
          <w:i/>
          <w:sz w:val="28"/>
          <w:szCs w:val="28"/>
          <w:lang w:val="es-ES_tradnl"/>
        </w:rPr>
        <w:t>La parte general comprende normas de carácter programático que señalan los propósitos y objetivos a largo plazo, las metas y prioridades del Estado a mediano plazo y las estrategias y políticas en materia económica, social y ambiental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r w:rsidRPr="0078289D">
        <w:rPr>
          <w:sz w:val="28"/>
          <w:szCs w:val="28"/>
          <w:lang w:val="es-ES_tradnl"/>
        </w:rPr>
        <w:t>67</w:t>
      </w:r>
      <w:r w:rsidR="004E77F5" w:rsidRPr="0078289D">
        <w:rPr>
          <w:sz w:val="28"/>
          <w:szCs w:val="28"/>
          <w:lang w:val="es-ES_tradnl"/>
        </w:rPr>
        <w:t xml:space="preserve">. </w:t>
      </w:r>
      <w:r w:rsidR="00EE3A54" w:rsidRPr="0078289D">
        <w:rPr>
          <w:sz w:val="28"/>
          <w:szCs w:val="28"/>
          <w:lang w:val="es-ES_tradnl"/>
        </w:rPr>
        <w:t>Así mismo</w:t>
      </w:r>
      <w:r w:rsidR="00840465" w:rsidRPr="0078289D">
        <w:rPr>
          <w:sz w:val="28"/>
          <w:szCs w:val="28"/>
          <w:lang w:val="es-ES_tradnl"/>
        </w:rPr>
        <w:t xml:space="preserve">, el Gobierno Nacional manifestó que el Plan Nacional de Desarrollo tenía como objetivo afianzar las políticas públicas a cargo del Estado con motivo del desarrollo del proceso de paz y las recomendaciones realizadas por organizaciones internacionales, tales como la Organización para la Cooperación y el Desarrollo Económico (OCDE). De esta manera, son tres los ejes del plan del Gobierno: paz, equidad y educación. En los antecedentes del documento se expresa lo siguiente: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 xml:space="preserve">“Considerando el momento histórico por el que está atravesando el país, en el que el acercamiento, diálogo y negociación con grupos insurgentes se está desarrollando de manera simultánea con este proceso de planificación, y la necesidad de adoptar mejores prácticas en las políticas públicas, en consideración a las recomendaciones realizadas por parte de la Organización para la Cooperación y el Desarrollo Económico (OCDE) y los retos propuestos en la Agenda de Desarrollo post 2015 de las Naciones Unidas, en la parte general este Plan Nacional de Desarrollo 2014-2018 se presentan metas y objetivos del Gobierno Nacional para implementar las condiciones necesarias para construir una sociedad en paz, equitativa y educada, en el marco de una estrategia envolvente de crecimiento verde, para garantizar la sostenibilidad ambiental, bajo los enfoques de orientación a resultados y de estructura regional para el cierre de brechas territoriales. </w:t>
      </w:r>
    </w:p>
    <w:p w:rsidR="004E77F5" w:rsidRPr="0078289D" w:rsidRDefault="004E77F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 xml:space="preserve">Con este propósito, el PND se construye en torno a tres grandes pilares que representan la visión del país para el próximo cuatrienio: la paz, la equidad y la educación”.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A su vez, el Gobierno Nacional explicó la estrategia de crecimiento económico que informa el plan, así: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iCs/>
          <w:sz w:val="28"/>
          <w:szCs w:val="28"/>
          <w:lang w:val="es-ES_tradnl"/>
        </w:rPr>
        <w:lastRenderedPageBreak/>
        <w:t>“Competitividad e infraestructura estratégicas</w:t>
      </w:r>
      <w:r w:rsidRPr="0078289D">
        <w:rPr>
          <w:rFonts w:eastAsia="Times New Roman"/>
          <w:i/>
          <w:sz w:val="28"/>
          <w:szCs w:val="28"/>
          <w:lang w:val="es-ES_tradnl"/>
        </w:rPr>
        <w:t xml:space="preserve">: La estrategia de competitividad e infraestructura estratégicas es la estrategia de crecimiento económico del Plan. Esta estrategia transversal se fija </w:t>
      </w:r>
      <w:r w:rsidRPr="0078289D">
        <w:rPr>
          <w:rFonts w:eastAsia="Times New Roman"/>
          <w:sz w:val="28"/>
          <w:szCs w:val="28"/>
          <w:lang w:val="es-ES_tradnl"/>
        </w:rPr>
        <w:t>(sic)</w:t>
      </w:r>
      <w:r w:rsidRPr="0078289D">
        <w:rPr>
          <w:rFonts w:eastAsia="Times New Roman"/>
          <w:i/>
          <w:sz w:val="28"/>
          <w:szCs w:val="28"/>
          <w:lang w:val="es-ES_tradnl"/>
        </w:rPr>
        <w:t xml:space="preserve"> cinco objetivos: (1) el desarrollo productivo, (2) la promoción de la ciencia, la tecnología y la innovación, (3) el uso de las tecnologías de la información y las comunicaciones como plataforma para la equidad, la educación y la competitividad, (4) el desarrollo de la infraestructura y servicios de logística y transporte para la integración territorial, y (5) el desarrollo minero-energético para la equidad regional”.</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i/>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68</w:t>
      </w:r>
      <w:r w:rsidR="004E77F5" w:rsidRPr="0078289D">
        <w:rPr>
          <w:rFonts w:eastAsia="Times New Roman"/>
          <w:sz w:val="28"/>
          <w:szCs w:val="28"/>
          <w:lang w:val="es-ES_tradnl"/>
        </w:rPr>
        <w:t xml:space="preserve">. </w:t>
      </w:r>
      <w:r w:rsidR="00840465" w:rsidRPr="0078289D">
        <w:rPr>
          <w:rFonts w:eastAsia="Times New Roman"/>
          <w:sz w:val="28"/>
          <w:szCs w:val="28"/>
          <w:lang w:val="es-ES_tradnl"/>
        </w:rPr>
        <w:t xml:space="preserve">La Corte considera que la finalidad de la norma es importante y aceptable constitucionalmente. En efecto, la norma contempla una política pública del Gobierno Nacional en materia económica, cuyo objetivo es la generación de desarrollo en determinadas áreas. El artículo 50 de la Ley 1753 de 2015 tiene como objetivo agilizar la ejecución de los Proyectos de Interés Estratégico Nacional (PINES) a través de la consagración de mecanismos más expeditos que el procedimiento de expropiación. </w:t>
      </w:r>
      <w:r w:rsidR="00EE3A54" w:rsidRPr="0078289D">
        <w:rPr>
          <w:rFonts w:eastAsia="Times New Roman"/>
          <w:sz w:val="28"/>
          <w:szCs w:val="28"/>
          <w:lang w:val="es-ES_tradnl"/>
        </w:rPr>
        <w:t>Así mismo</w:t>
      </w:r>
      <w:r w:rsidR="00840465" w:rsidRPr="0078289D">
        <w:rPr>
          <w:rFonts w:eastAsia="Times New Roman"/>
          <w:sz w:val="28"/>
          <w:szCs w:val="28"/>
          <w:lang w:val="es-ES_tradnl"/>
        </w:rPr>
        <w:t xml:space="preserve">, la norma desarrolla el principio de separación de poderes y las facultades del Gobierno Nacional en la dirección política y económica del Estado (artículos 113, 150 y 200 de la Constitución Política, entre otros).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textAlignment w:val="baseline"/>
        <w:rPr>
          <w:sz w:val="28"/>
          <w:szCs w:val="28"/>
          <w:lang w:val="es-ES_tradnl"/>
        </w:rPr>
      </w:pPr>
      <w:r w:rsidRPr="0078289D">
        <w:rPr>
          <w:sz w:val="28"/>
          <w:szCs w:val="28"/>
          <w:lang w:val="es-ES_tradnl"/>
        </w:rPr>
        <w:t xml:space="preserve">Así, la Corte advierte que el artículo 50 de la Ley 1753 de 2015, que impone la compensación como mecanismo principal de reparación para las víctimas del conflicto armado, se justifica en la necesidad de adelantar un proyecto de interés estratégico nacional, como es el caso de los proyectos </w:t>
      </w:r>
      <w:r w:rsidRPr="0078289D">
        <w:rPr>
          <w:b/>
          <w:sz w:val="28"/>
          <w:szCs w:val="28"/>
          <w:lang w:val="es-ES_tradnl"/>
        </w:rPr>
        <w:t>PINE</w:t>
      </w:r>
      <w:r w:rsidRPr="0078289D">
        <w:rPr>
          <w:sz w:val="28"/>
          <w:szCs w:val="28"/>
          <w:lang w:val="es-ES_tradnl"/>
        </w:rPr>
        <w:t xml:space="preserve">. En este sentido, podría afirmarse que dada la importancia nacional del proyecto a adelantar, el Legislador implícitamente consideró que era necesario consagrar un mecanismo más expedito que la expropiación.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69</w:t>
      </w:r>
      <w:r w:rsidR="004E77F5" w:rsidRPr="0078289D">
        <w:rPr>
          <w:rFonts w:eastAsia="Times New Roman"/>
          <w:sz w:val="28"/>
          <w:szCs w:val="28"/>
          <w:lang w:val="es-ES_tradnl"/>
        </w:rPr>
        <w:t xml:space="preserve">. </w:t>
      </w:r>
      <w:r w:rsidR="00840465" w:rsidRPr="0078289D">
        <w:rPr>
          <w:rFonts w:eastAsia="Times New Roman"/>
          <w:sz w:val="28"/>
          <w:szCs w:val="28"/>
          <w:lang w:val="es-ES_tradnl"/>
        </w:rPr>
        <w:t xml:space="preserve">Una vez concluido que la finalidad del artículo 50 de la Ley 1753 de 2015 es legítima, la Sala deberá analizar </w:t>
      </w:r>
      <w:r w:rsidR="00840465" w:rsidRPr="0078289D">
        <w:rPr>
          <w:rFonts w:eastAsia="Times New Roman"/>
          <w:b/>
          <w:sz w:val="28"/>
          <w:szCs w:val="28"/>
          <w:lang w:val="es-ES_tradnl"/>
        </w:rPr>
        <w:t>si la medida consagrada es</w:t>
      </w:r>
      <w:r w:rsidR="00840465" w:rsidRPr="0078289D">
        <w:rPr>
          <w:rFonts w:eastAsia="Times New Roman"/>
          <w:sz w:val="28"/>
          <w:szCs w:val="28"/>
          <w:lang w:val="es-ES_tradnl"/>
        </w:rPr>
        <w:t xml:space="preserve"> </w:t>
      </w:r>
      <w:r w:rsidR="00840465" w:rsidRPr="0078289D">
        <w:rPr>
          <w:rFonts w:eastAsia="Times New Roman"/>
          <w:b/>
          <w:sz w:val="28"/>
          <w:szCs w:val="28"/>
          <w:lang w:val="es-ES_tradnl"/>
        </w:rPr>
        <w:t>adecuada para la obtención del fin</w:t>
      </w:r>
      <w:r w:rsidR="00840465" w:rsidRPr="0078289D">
        <w:rPr>
          <w:rFonts w:eastAsia="Times New Roman"/>
          <w:sz w:val="28"/>
          <w:szCs w:val="28"/>
          <w:lang w:val="es-ES_tradnl"/>
        </w:rPr>
        <w:t xml:space="preserve"> </w:t>
      </w:r>
      <w:r w:rsidR="00840465" w:rsidRPr="0078289D">
        <w:rPr>
          <w:rFonts w:eastAsia="Times New Roman"/>
          <w:b/>
          <w:sz w:val="28"/>
          <w:szCs w:val="28"/>
          <w:lang w:val="es-ES_tradnl"/>
        </w:rPr>
        <w:t>propuesto</w:t>
      </w:r>
      <w:r w:rsidR="00840465" w:rsidRPr="0078289D">
        <w:rPr>
          <w:rFonts w:eastAsia="Times New Roman"/>
          <w:sz w:val="28"/>
          <w:szCs w:val="28"/>
          <w:lang w:val="es-ES_tradnl"/>
        </w:rPr>
        <w:t xml:space="preserve">. De esta manera, la Corte deberá indagar si la consagración de una excepción adicional al deber de restitución del Estado con respecto a las víctimas del conflicto armado, cuando los bienes involucrados han sido previstos para la ejecución de un proyecto PINE,  permite el afianzamiento de proyectos que, a juicio del Gobierno Nacional, son relevantes para el crecimiento y desarrollo económicos.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70</w:t>
      </w:r>
      <w:r w:rsidR="004E77F5" w:rsidRPr="0078289D">
        <w:rPr>
          <w:rFonts w:eastAsia="Times New Roman"/>
          <w:sz w:val="28"/>
          <w:szCs w:val="28"/>
          <w:lang w:val="es-ES_tradnl"/>
        </w:rPr>
        <w:t xml:space="preserve">. </w:t>
      </w:r>
      <w:r w:rsidR="00840465" w:rsidRPr="0078289D">
        <w:rPr>
          <w:rFonts w:eastAsia="Times New Roman"/>
          <w:sz w:val="28"/>
          <w:szCs w:val="28"/>
          <w:lang w:val="es-ES_tradnl"/>
        </w:rPr>
        <w:t xml:space="preserve">La Sala considera que la medida es adecuada para lograr el fin propuesto por el Gobierno Nacional. En efecto, la inclusión de una excepción al deber de restitución a cargo del Estado evita que la Administración Pública inicie un proceso de expropiación, el cual  resulta, en todo caso, más dispendioso que la ejecución de los trámites que requiere la compensación. </w:t>
      </w:r>
      <w:r w:rsidR="00EE3A54" w:rsidRPr="0078289D">
        <w:rPr>
          <w:rFonts w:eastAsia="Times New Roman"/>
          <w:sz w:val="28"/>
          <w:szCs w:val="28"/>
          <w:lang w:val="es-ES_tradnl"/>
        </w:rPr>
        <w:t>Así mismo</w:t>
      </w:r>
      <w:r w:rsidR="00840465" w:rsidRPr="0078289D">
        <w:rPr>
          <w:rFonts w:eastAsia="Times New Roman"/>
          <w:sz w:val="28"/>
          <w:szCs w:val="28"/>
          <w:lang w:val="es-ES_tradnl"/>
        </w:rPr>
        <w:t xml:space="preserve">, también evita que las autoridades públicas, en caso de que requieran realizar un proyecto de interés nacional de carácter urgente, tengan que esperar la sentencia resultante de un proceso de restitución. Finalmente, la compensación propuesta permite reparar a las víctimas en el marco de la cláusula de responsabilidad del Estado consagrada en el artículo 90 constitucional. </w:t>
      </w:r>
    </w:p>
    <w:p w:rsidR="008F2110"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71</w:t>
      </w:r>
      <w:r w:rsidR="004E77F5" w:rsidRPr="0078289D">
        <w:rPr>
          <w:rFonts w:eastAsia="Times New Roman"/>
          <w:sz w:val="28"/>
          <w:szCs w:val="28"/>
          <w:lang w:val="es-ES_tradnl"/>
        </w:rPr>
        <w:t xml:space="preserve">. </w:t>
      </w:r>
      <w:r w:rsidR="00840465" w:rsidRPr="0078289D">
        <w:rPr>
          <w:rFonts w:eastAsia="Times New Roman"/>
          <w:sz w:val="28"/>
          <w:szCs w:val="28"/>
          <w:lang w:val="es-ES_tradnl"/>
        </w:rPr>
        <w:t xml:space="preserve">Una vez concluido que la medida es adecuada, la Sala deberá indagar si también es necesaria, es decir, si la previsión contenida en la norma jurídica es la única manera para obtener el fin propuesto. Pues bien, la Sala considera que </w:t>
      </w:r>
      <w:r w:rsidR="00840465" w:rsidRPr="0078289D">
        <w:rPr>
          <w:rFonts w:eastAsia="Times New Roman"/>
          <w:b/>
          <w:sz w:val="28"/>
          <w:szCs w:val="28"/>
          <w:lang w:val="es-ES_tradnl"/>
        </w:rPr>
        <w:t xml:space="preserve">la medida no es necesaria, </w:t>
      </w:r>
      <w:r w:rsidR="00840465" w:rsidRPr="0078289D">
        <w:rPr>
          <w:rFonts w:eastAsia="Times New Roman"/>
          <w:sz w:val="28"/>
          <w:szCs w:val="28"/>
          <w:lang w:val="es-ES_tradnl"/>
        </w:rPr>
        <w:t xml:space="preserve">toda vez que ésta puede ser remplazada por otra menos lesiva de los derechos fundamentales involucrados, y de los cuales son titulares ciudadanos en una condición especial de vulnerabilidad, como es el caso del procedimiento de expropiación. En consecuencia, privar a las víctimas del conflicto armado de la posibilidad de acceder a la restitución de los bienes de los cuales fueron despojados </w:t>
      </w:r>
      <w:r w:rsidR="00840465" w:rsidRPr="0078289D">
        <w:rPr>
          <w:rFonts w:eastAsia="Times New Roman"/>
          <w:b/>
          <w:sz w:val="28"/>
          <w:szCs w:val="28"/>
          <w:lang w:val="es-ES_tradnl"/>
        </w:rPr>
        <w:t xml:space="preserve">no es la única alternativa </w:t>
      </w:r>
      <w:r w:rsidR="00840465" w:rsidRPr="0078289D">
        <w:rPr>
          <w:rFonts w:eastAsia="Times New Roman"/>
          <w:sz w:val="28"/>
          <w:szCs w:val="28"/>
          <w:lang w:val="es-ES_tradnl"/>
        </w:rPr>
        <w:t xml:space="preserve">para el fortalecimiento de los proyectos PINE.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2B247F" w:rsidRPr="0078289D" w:rsidRDefault="003966D1"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Al incluir</w:t>
      </w:r>
      <w:r w:rsidR="002B247F" w:rsidRPr="0078289D">
        <w:rPr>
          <w:rFonts w:eastAsia="Times New Roman"/>
          <w:sz w:val="28"/>
          <w:szCs w:val="28"/>
          <w:lang w:val="es-ES_tradnl"/>
        </w:rPr>
        <w:t xml:space="preserve"> una excepción al deber de restitución del Estado y </w:t>
      </w:r>
      <w:r w:rsidR="00B658D1" w:rsidRPr="0078289D">
        <w:rPr>
          <w:rFonts w:eastAsia="Times New Roman"/>
          <w:sz w:val="28"/>
          <w:szCs w:val="28"/>
          <w:lang w:val="es-ES_tradnl"/>
        </w:rPr>
        <w:t>consagrar</w:t>
      </w:r>
      <w:r w:rsidR="002B247F" w:rsidRPr="0078289D">
        <w:rPr>
          <w:rFonts w:eastAsia="Times New Roman"/>
          <w:sz w:val="28"/>
          <w:szCs w:val="28"/>
          <w:lang w:val="es-ES_tradnl"/>
        </w:rPr>
        <w:t xml:space="preserve"> la compensación como medida principal de reparación se produce una verdadera restricción del derecho</w:t>
      </w:r>
      <w:r w:rsidR="00B658D1" w:rsidRPr="0078289D">
        <w:rPr>
          <w:rFonts w:eastAsia="Times New Roman"/>
          <w:sz w:val="28"/>
          <w:szCs w:val="28"/>
          <w:lang w:val="es-ES_tradnl"/>
        </w:rPr>
        <w:t xml:space="preserve"> </w:t>
      </w:r>
      <w:r w:rsidR="00C42E60" w:rsidRPr="0078289D">
        <w:rPr>
          <w:rFonts w:eastAsia="Times New Roman"/>
          <w:sz w:val="28"/>
          <w:szCs w:val="28"/>
          <w:lang w:val="es-ES_tradnl"/>
        </w:rPr>
        <w:t>a la</w:t>
      </w:r>
      <w:r w:rsidR="00B658D1" w:rsidRPr="0078289D">
        <w:rPr>
          <w:rFonts w:eastAsia="Times New Roman"/>
          <w:sz w:val="28"/>
          <w:szCs w:val="28"/>
          <w:lang w:val="es-ES_tradnl"/>
        </w:rPr>
        <w:t xml:space="preserve"> restitución de las víctimas</w:t>
      </w:r>
      <w:r w:rsidR="00C42E60" w:rsidRPr="0078289D">
        <w:rPr>
          <w:rFonts w:eastAsia="Times New Roman"/>
          <w:sz w:val="28"/>
          <w:szCs w:val="28"/>
          <w:lang w:val="es-ES_tradnl"/>
        </w:rPr>
        <w:t xml:space="preserve"> del conflicto armado</w:t>
      </w:r>
      <w:r w:rsidR="00B658D1" w:rsidRPr="0078289D">
        <w:rPr>
          <w:rFonts w:eastAsia="Times New Roman"/>
          <w:sz w:val="28"/>
          <w:szCs w:val="28"/>
          <w:lang w:val="es-ES_tradnl"/>
        </w:rPr>
        <w:t>.</w:t>
      </w:r>
      <w:r w:rsidR="002B247F" w:rsidRPr="0078289D">
        <w:rPr>
          <w:rFonts w:eastAsia="Times New Roman"/>
          <w:sz w:val="28"/>
          <w:szCs w:val="28"/>
          <w:lang w:val="es-ES_tradnl"/>
        </w:rPr>
        <w:t xml:space="preserve"> </w:t>
      </w:r>
      <w:r w:rsidR="00B658D1" w:rsidRPr="0078289D">
        <w:rPr>
          <w:rFonts w:eastAsia="Times New Roman"/>
          <w:sz w:val="28"/>
          <w:szCs w:val="28"/>
          <w:lang w:val="es-ES_tradnl"/>
        </w:rPr>
        <w:t>Como se mencionó previamente, este derecho</w:t>
      </w:r>
      <w:r w:rsidR="002B247F" w:rsidRPr="0078289D">
        <w:rPr>
          <w:rFonts w:eastAsia="Times New Roman"/>
          <w:sz w:val="28"/>
          <w:szCs w:val="28"/>
          <w:lang w:val="es-ES_tradnl"/>
        </w:rPr>
        <w:t xml:space="preserve"> </w:t>
      </w:r>
      <w:r w:rsidR="00766AE9" w:rsidRPr="0078289D">
        <w:rPr>
          <w:rFonts w:eastAsia="Times New Roman"/>
          <w:sz w:val="28"/>
          <w:szCs w:val="28"/>
          <w:lang w:val="es-ES_tradnl"/>
        </w:rPr>
        <w:t>es objeto de una protección constitucional reforzada,</w:t>
      </w:r>
      <w:r w:rsidR="002B247F" w:rsidRPr="0078289D">
        <w:rPr>
          <w:rFonts w:eastAsia="Times New Roman"/>
          <w:sz w:val="28"/>
          <w:szCs w:val="28"/>
          <w:lang w:val="es-ES_tradnl"/>
        </w:rPr>
        <w:t xml:space="preserve"> de acuerdo con lo consagrado en el artículo 90</w:t>
      </w:r>
      <w:r w:rsidR="00766AE9" w:rsidRPr="0078289D">
        <w:rPr>
          <w:rFonts w:eastAsia="Times New Roman"/>
          <w:sz w:val="28"/>
          <w:szCs w:val="28"/>
          <w:lang w:val="es-ES_tradnl"/>
        </w:rPr>
        <w:t>,</w:t>
      </w:r>
      <w:r w:rsidR="002B247F" w:rsidRPr="0078289D">
        <w:rPr>
          <w:rFonts w:eastAsia="Times New Roman"/>
          <w:sz w:val="28"/>
          <w:szCs w:val="28"/>
          <w:lang w:val="es-ES_tradnl"/>
        </w:rPr>
        <w:t xml:space="preserve"> </w:t>
      </w:r>
      <w:r w:rsidR="006F56CB" w:rsidRPr="0078289D">
        <w:rPr>
          <w:rFonts w:eastAsia="Times New Roman"/>
          <w:sz w:val="28"/>
          <w:szCs w:val="28"/>
          <w:lang w:val="es-ES_tradnl"/>
        </w:rPr>
        <w:t xml:space="preserve">y </w:t>
      </w:r>
      <w:r w:rsidR="00766AE9" w:rsidRPr="0078289D">
        <w:rPr>
          <w:rFonts w:eastAsia="Times New Roman"/>
          <w:sz w:val="28"/>
          <w:szCs w:val="28"/>
          <w:lang w:val="es-ES_tradnl"/>
        </w:rPr>
        <w:t>en los tratados sobre derechos humanos</w:t>
      </w:r>
      <w:r w:rsidR="006F56CB" w:rsidRPr="0078289D">
        <w:rPr>
          <w:rFonts w:eastAsia="Times New Roman"/>
          <w:sz w:val="28"/>
          <w:szCs w:val="28"/>
          <w:lang w:val="es-ES_tradnl"/>
        </w:rPr>
        <w:t>.</w:t>
      </w:r>
      <w:r w:rsidR="00AD4DA8" w:rsidRPr="0078289D">
        <w:rPr>
          <w:rFonts w:eastAsia="Times New Roman"/>
          <w:sz w:val="28"/>
          <w:szCs w:val="28"/>
          <w:lang w:val="es-ES_tradnl"/>
        </w:rPr>
        <w:t xml:space="preserve"> </w:t>
      </w:r>
      <w:r w:rsidR="006F56CB" w:rsidRPr="0078289D">
        <w:rPr>
          <w:rFonts w:eastAsia="Times New Roman"/>
          <w:sz w:val="28"/>
          <w:szCs w:val="28"/>
          <w:lang w:val="es-ES_tradnl"/>
        </w:rPr>
        <w:t xml:space="preserve">En particular, están consagrados en tratados ratificados por Colombia, </w:t>
      </w:r>
      <w:r w:rsidR="002B247F" w:rsidRPr="0078289D">
        <w:rPr>
          <w:rFonts w:eastAsia="Times New Roman"/>
          <w:sz w:val="28"/>
          <w:szCs w:val="28"/>
          <w:lang w:val="es-ES_tradnl"/>
        </w:rPr>
        <w:t xml:space="preserve">los cuales </w:t>
      </w:r>
      <w:r w:rsidR="00AD4DA8" w:rsidRPr="0078289D">
        <w:rPr>
          <w:rFonts w:eastAsia="Times New Roman"/>
          <w:sz w:val="28"/>
          <w:szCs w:val="28"/>
          <w:lang w:val="es-ES_tradnl"/>
        </w:rPr>
        <w:t>hacen parte del bloque de constitucionalidad en sentido estricto, como es el caso de la Convención Americana sobre Derechos Humanos, el Pacto de Derechos Civiles y Políticos de la Organización de las Naciones Unidas y e</w:t>
      </w:r>
      <w:r w:rsidR="002C70E2" w:rsidRPr="0078289D">
        <w:rPr>
          <w:rFonts w:eastAsia="Times New Roman"/>
          <w:sz w:val="28"/>
          <w:szCs w:val="28"/>
          <w:lang w:val="es-ES_tradnl"/>
        </w:rPr>
        <w:t>l Estatuto de Roma, entre otros.</w:t>
      </w:r>
      <w:r w:rsidR="00AD4DA8" w:rsidRPr="0078289D">
        <w:rPr>
          <w:rFonts w:eastAsia="Times New Roman"/>
          <w:sz w:val="28"/>
          <w:szCs w:val="28"/>
          <w:lang w:val="es-ES_tradnl"/>
        </w:rPr>
        <w:t xml:space="preserve"> </w:t>
      </w:r>
      <w:r w:rsidR="002C70E2" w:rsidRPr="0078289D">
        <w:rPr>
          <w:rFonts w:eastAsia="Times New Roman"/>
          <w:sz w:val="28"/>
          <w:szCs w:val="28"/>
          <w:lang w:val="es-ES_tradnl"/>
        </w:rPr>
        <w:t xml:space="preserve">El alcance de la protección constitucional por vía del bloque de constitucionalidad se concreta a través </w:t>
      </w:r>
      <w:r w:rsidR="00AD4DA8" w:rsidRPr="0078289D">
        <w:rPr>
          <w:rFonts w:eastAsia="Times New Roman"/>
          <w:sz w:val="28"/>
          <w:szCs w:val="28"/>
          <w:lang w:val="es-ES_tradnl"/>
        </w:rPr>
        <w:t xml:space="preserve">de los Principios Pinheiro y los Principios Deng,y que </w:t>
      </w:r>
      <w:r w:rsidR="002B247F" w:rsidRPr="0078289D">
        <w:rPr>
          <w:rFonts w:eastAsia="Times New Roman"/>
          <w:sz w:val="28"/>
          <w:szCs w:val="28"/>
          <w:lang w:val="es-ES_tradnl"/>
        </w:rPr>
        <w:t>hacen parte del bloque de constitucionalidad en sentido lato</w:t>
      </w:r>
      <w:r w:rsidR="002C70E2" w:rsidRPr="0078289D">
        <w:rPr>
          <w:rFonts w:eastAsia="Times New Roman"/>
          <w:sz w:val="28"/>
          <w:szCs w:val="28"/>
          <w:lang w:val="es-ES_tradnl"/>
        </w:rPr>
        <w:t>.</w:t>
      </w:r>
      <w:r w:rsidR="002B247F" w:rsidRPr="0078289D">
        <w:rPr>
          <w:rFonts w:eastAsia="Times New Roman"/>
          <w:sz w:val="28"/>
          <w:szCs w:val="28"/>
          <w:lang w:val="es-ES_tradnl"/>
        </w:rPr>
        <w:t xml:space="preserve"> </w:t>
      </w:r>
    </w:p>
    <w:p w:rsidR="002B247F" w:rsidRPr="0078289D" w:rsidRDefault="002B247F"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2B247F" w:rsidRPr="0078289D" w:rsidRDefault="002B247F"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xml:space="preserve">Ahora bien, la Sala resalta que el proceso de expropiación, lejos de resultar un simple trámite formal adelantado por el Estado para limitar el derecho de propiedad de un particular, tiene una connotación protectora cuando involucra una restricción del derecho de propiedad – y por ende, del derecho de restitución- a las víctimas del conflicto. En efecto, el trámite de expropiación garantiza en estos casos la indemnización justa, característica definitoria de la reparación integral. La Corte Constitucional se pronunció recientemente al respecto en </w:t>
      </w:r>
      <w:r w:rsidRPr="0078289D">
        <w:rPr>
          <w:rFonts w:eastAsia="Times New Roman"/>
          <w:b/>
          <w:sz w:val="28"/>
          <w:szCs w:val="28"/>
          <w:lang w:val="es-ES_tradnl"/>
        </w:rPr>
        <w:t>Sentencia C-180 de 2014</w:t>
      </w:r>
      <w:r w:rsidRPr="0078289D">
        <w:rPr>
          <w:rStyle w:val="Refdenotaalpie"/>
          <w:rFonts w:eastAsia="Times New Roman"/>
          <w:sz w:val="28"/>
          <w:szCs w:val="28"/>
          <w:lang w:val="es-ES_tradnl"/>
        </w:rPr>
        <w:footnoteReference w:id="66"/>
      </w:r>
      <w:r w:rsidR="004C1AFD" w:rsidRPr="0078289D">
        <w:rPr>
          <w:rFonts w:eastAsia="Times New Roman"/>
          <w:b/>
          <w:sz w:val="28"/>
          <w:szCs w:val="28"/>
          <w:lang w:val="es-ES_tradnl"/>
        </w:rPr>
        <w:t xml:space="preserve"> </w:t>
      </w:r>
      <w:r w:rsidRPr="0078289D">
        <w:rPr>
          <w:rFonts w:eastAsia="Times New Roman"/>
          <w:sz w:val="28"/>
          <w:szCs w:val="28"/>
          <w:lang w:val="es-ES_tradnl"/>
        </w:rPr>
        <w:t>sobre el derecho de reparación de las víctimas del conflicto armado e indicó que la</w:t>
      </w:r>
      <w:r w:rsidR="004C1AFD" w:rsidRPr="0078289D">
        <w:rPr>
          <w:rFonts w:eastAsia="Times New Roman"/>
          <w:sz w:val="28"/>
          <w:szCs w:val="28"/>
          <w:lang w:val="es-ES_tradnl"/>
        </w:rPr>
        <w:t>:</w:t>
      </w:r>
      <w:r w:rsidRPr="0078289D">
        <w:rPr>
          <w:rFonts w:eastAsia="Times New Roman"/>
          <w:sz w:val="28"/>
          <w:szCs w:val="28"/>
          <w:lang w:val="es-ES_tradnl"/>
        </w:rPr>
        <w:t xml:space="preserve"> i) restitución, ii) indemnización, iii) rehabilitación, iv) satisfacción y v) garantías de no repetición</w:t>
      </w:r>
      <w:r w:rsidR="004C1AFD" w:rsidRPr="0078289D">
        <w:rPr>
          <w:rFonts w:eastAsia="Times New Roman"/>
          <w:sz w:val="28"/>
          <w:szCs w:val="28"/>
          <w:lang w:val="es-ES_tradnl"/>
        </w:rPr>
        <w:t>,</w:t>
      </w:r>
      <w:r w:rsidRPr="0078289D">
        <w:rPr>
          <w:rFonts w:eastAsia="Times New Roman"/>
          <w:sz w:val="28"/>
          <w:szCs w:val="28"/>
          <w:lang w:val="es-ES_tradnl"/>
        </w:rPr>
        <w:t xml:space="preserve"> son necesarias para efectuar una verdadera reparación integral. Así, indicó esta Corporación:</w:t>
      </w:r>
    </w:p>
    <w:p w:rsidR="002B247F" w:rsidRPr="0078289D" w:rsidRDefault="002B247F"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B409A" w:rsidRPr="0078289D" w:rsidRDefault="008B409A"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2B247F" w:rsidRPr="0078289D" w:rsidRDefault="002B247F"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
        </w:rPr>
        <w:t xml:space="preserve">“El segundo matiz de este derecho de las víctimas, - a ser reparadas adecuadamente por los perjuicios sufridos - impone al Estado la correlativa obligación de reparar a las víctimas </w:t>
      </w:r>
      <w:r w:rsidRPr="0078289D">
        <w:rPr>
          <w:rFonts w:eastAsia="Times New Roman"/>
          <w:b/>
          <w:i/>
          <w:sz w:val="28"/>
          <w:szCs w:val="28"/>
          <w:u w:val="single"/>
          <w:lang w:val="es-ES"/>
        </w:rPr>
        <w:t xml:space="preserve">teniendo en cuenta que la reparación incluye las formas siguientes: restitución, indemnización,  rehabilitación, satisfacción y las garantías de no </w:t>
      </w:r>
      <w:r w:rsidRPr="0078289D">
        <w:rPr>
          <w:rFonts w:eastAsia="Times New Roman"/>
          <w:b/>
          <w:i/>
          <w:sz w:val="28"/>
          <w:szCs w:val="28"/>
          <w:u w:val="single"/>
          <w:lang w:val="es-ES"/>
        </w:rPr>
        <w:lastRenderedPageBreak/>
        <w:t>repetición; igualmente el deber de reparar sin perjuicio de que luego repita contra el autor de la violación</w:t>
      </w:r>
      <w:r w:rsidRPr="0078289D">
        <w:rPr>
          <w:rFonts w:eastAsia="Times New Roman"/>
          <w:i/>
          <w:sz w:val="28"/>
          <w:szCs w:val="28"/>
          <w:u w:color="0000FF"/>
          <w:lang w:val="es-ES"/>
        </w:rPr>
        <w:t>, hacerlo sin establecer distinciones injustificadas entre las víctimas y garantizar la ejecución de las decisiones judiciales que impongan medidas de reparación”.</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sz w:val="28"/>
          <w:szCs w:val="28"/>
          <w:lang w:val="es-ES_tradnl"/>
        </w:rPr>
      </w:pPr>
      <w:r w:rsidRPr="0078289D">
        <w:rPr>
          <w:rFonts w:eastAsia="Times New Roman"/>
          <w:sz w:val="28"/>
          <w:szCs w:val="28"/>
          <w:lang w:val="es-ES_tradnl"/>
        </w:rPr>
        <w:t>72</w:t>
      </w:r>
      <w:r w:rsidR="00AB13A3" w:rsidRPr="0078289D">
        <w:rPr>
          <w:rFonts w:eastAsia="Times New Roman"/>
          <w:sz w:val="28"/>
          <w:szCs w:val="28"/>
          <w:lang w:val="es-ES_tradnl"/>
        </w:rPr>
        <w:t xml:space="preserve">. </w:t>
      </w:r>
      <w:r w:rsidR="00840465" w:rsidRPr="0078289D">
        <w:rPr>
          <w:rFonts w:eastAsia="Times New Roman"/>
          <w:sz w:val="28"/>
          <w:szCs w:val="28"/>
          <w:lang w:val="es-ES_tradnl"/>
        </w:rPr>
        <w:t>Así mismo, l</w:t>
      </w:r>
      <w:r w:rsidR="00840465" w:rsidRPr="0078289D">
        <w:rPr>
          <w:sz w:val="28"/>
          <w:szCs w:val="28"/>
          <w:lang w:val="es-ES_tradnl"/>
        </w:rPr>
        <w:t xml:space="preserve">a Sala advierte que la referida norma jurídica no resulta aplicable en aquellas situaciones en que el propietario del bien inmueble no sea una víctima del conflicto, incluso si el predio va a ser utilizado para la ejecución de un proyecto </w:t>
      </w:r>
      <w:r w:rsidR="00840465" w:rsidRPr="0078289D">
        <w:rPr>
          <w:b/>
          <w:sz w:val="28"/>
          <w:szCs w:val="28"/>
          <w:lang w:val="es-ES_tradnl"/>
        </w:rPr>
        <w:t xml:space="preserve">PINE. </w:t>
      </w:r>
      <w:r w:rsidR="00840465" w:rsidRPr="0078289D">
        <w:rPr>
          <w:sz w:val="28"/>
          <w:szCs w:val="28"/>
          <w:lang w:val="es-ES_tradnl"/>
        </w:rPr>
        <w:t xml:space="preserve">Por ello, en estos casos, la Administración Pública debe iniciar el respectivo procedimiento de expropiación para poder limitar el derecho de dominio de aquella persona que no tiene el carácter de víctima, el cual, como se ha indicado, se encuentra revestido de unas garantías constitucionales y legales para evitar la configuración de arbitrariedades por parte del Estado. No obstante, estas garantías sí son restringidas a las víctimas del conflicto armado en un proceso de restitución, sin razón alguna.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xml:space="preserve">De esta manera, la norma jurídica realiza una distribución inequitativa y desigual entre dos grupos de ciudadanos, al permitir que uno sea beneficiario de las garantías del proceso de expropiación, mientras que el otro debe asumir las consecuencias de la compensación, sin siquiera requerirse su consentimiento. Esta situación resulta aún más lesiva si se tiene en cuenta que el grupo de ciudadanos que ve sus garantías cercenadas se encuentra en una condición de indefensión y vulnerabilidad.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En este sentido, la Sala considera que las autoridades públicas pueden,  eventualmente, adquirir la titularidad de los predios de las víctimas del conflicto armado con el fin de ejecutar proyectos de interés estratégico nacional, a través del proceso de expropiación consagrado en el artículo 58 de la Constitución Política, sin afectar los derechos fundamentales de las víctimas a acceder a la restitución del bien del que fueron despojadas</w:t>
      </w:r>
      <w:r w:rsidR="00CD09CA" w:rsidRPr="0078289D">
        <w:rPr>
          <w:rFonts w:eastAsia="Times New Roman"/>
          <w:sz w:val="28"/>
          <w:szCs w:val="28"/>
          <w:lang w:val="es-ES_tradnl"/>
        </w:rPr>
        <w:t xml:space="preserve"> y a ser tratados en igualdad de condiciones con los demás colombianos titulares de derechos de propiedad sobre bienes inmuebles</w:t>
      </w:r>
      <w:r w:rsidRPr="0078289D">
        <w:rPr>
          <w:rFonts w:eastAsia="Times New Roman"/>
          <w:sz w:val="28"/>
          <w:szCs w:val="28"/>
          <w:lang w:val="es-ES_tradnl"/>
        </w:rPr>
        <w:t>.</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73</w:t>
      </w:r>
      <w:r w:rsidR="00AB13A3" w:rsidRPr="0078289D">
        <w:rPr>
          <w:rFonts w:eastAsia="Times New Roman"/>
          <w:sz w:val="28"/>
          <w:szCs w:val="28"/>
          <w:lang w:val="es-ES_tradnl"/>
        </w:rPr>
        <w:t xml:space="preserve">. </w:t>
      </w:r>
      <w:r w:rsidR="00840465" w:rsidRPr="0078289D">
        <w:rPr>
          <w:rFonts w:eastAsia="Times New Roman"/>
          <w:sz w:val="28"/>
          <w:szCs w:val="28"/>
          <w:lang w:val="es-ES_tradnl"/>
        </w:rPr>
        <w:t xml:space="preserve">Finalmente, pese a que la medida contemplada en el artículo 50 de la Ley 1753 de 2015 no es necesaria, lo que implica que la norma jurídica vulnera el principio de igualdad, lo cierto es que </w:t>
      </w:r>
      <w:r w:rsidR="00840465" w:rsidRPr="0078289D">
        <w:rPr>
          <w:rFonts w:eastAsia="Times New Roman"/>
          <w:b/>
          <w:sz w:val="28"/>
          <w:szCs w:val="28"/>
          <w:lang w:val="es-ES_tradnl"/>
        </w:rPr>
        <w:t xml:space="preserve">tampoco es proporcional. </w:t>
      </w:r>
      <w:r w:rsidR="00840465" w:rsidRPr="0078289D">
        <w:rPr>
          <w:rFonts w:eastAsia="Times New Roman"/>
          <w:sz w:val="28"/>
          <w:szCs w:val="28"/>
          <w:lang w:val="es-ES_tradnl"/>
        </w:rPr>
        <w:t xml:space="preserve"> En efecto, la importancia de los bienes jurídicos involucrados, a saber, los derechos fundamentales a la restitución de víctimas del conflicto armado, acceso a la administración de justicia y debido proceso excede ampliamente la necesidad de consecución del fin propuesto. La Corte considera que un criterio de conveniencia, como es el caso de la realización de proyectos de interés estratégico nacional, cuya naturaleza es puramente económica, no puede sobreponerse a la protección de los derechos fundamentales consagrados a favor de sujetos de especial protección constitucional, como es el caso de las víctimas del conflicto armado.</w:t>
      </w:r>
      <w:r w:rsidR="008D3FAB" w:rsidRPr="0078289D">
        <w:rPr>
          <w:rFonts w:eastAsia="Times New Roman"/>
          <w:sz w:val="28"/>
          <w:szCs w:val="28"/>
          <w:lang w:val="es-ES_tradnl"/>
        </w:rPr>
        <w:t xml:space="preserve"> Por lo tanto, </w:t>
      </w:r>
      <w:r w:rsidR="009E30C9" w:rsidRPr="0078289D">
        <w:rPr>
          <w:rFonts w:eastAsia="Times New Roman"/>
          <w:sz w:val="28"/>
          <w:szCs w:val="28"/>
          <w:lang w:val="es-ES_tradnl"/>
        </w:rPr>
        <w:t xml:space="preserve">declarará la inconstitucionalidad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p>
    <w:p w:rsidR="002257CF" w:rsidRPr="0078289D" w:rsidRDefault="004C1AFD"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Con todo</w:t>
      </w:r>
      <w:r w:rsidR="002257CF" w:rsidRPr="0078289D">
        <w:rPr>
          <w:rFonts w:eastAsia="Times New Roman"/>
          <w:sz w:val="28"/>
          <w:szCs w:val="28"/>
          <w:lang w:val="es-ES_tradnl"/>
        </w:rPr>
        <w:t xml:space="preserve">, pese a que la Corte demostró que el procedimiento de expropiación reviste de mayores garantías a las víctimas del conflicto armado que la </w:t>
      </w:r>
      <w:r w:rsidR="002257CF" w:rsidRPr="0078289D">
        <w:rPr>
          <w:rFonts w:eastAsia="Times New Roman"/>
          <w:sz w:val="28"/>
          <w:szCs w:val="28"/>
          <w:lang w:val="es-ES_tradnl"/>
        </w:rPr>
        <w:lastRenderedPageBreak/>
        <w:t xml:space="preserve">compensación directa, </w:t>
      </w:r>
      <w:r w:rsidR="00C42E60" w:rsidRPr="0078289D">
        <w:rPr>
          <w:rFonts w:eastAsia="Times New Roman"/>
          <w:sz w:val="28"/>
          <w:szCs w:val="28"/>
          <w:lang w:val="es-ES_tradnl"/>
        </w:rPr>
        <w:t xml:space="preserve">podría alegarse en gracia de discusión </w:t>
      </w:r>
      <w:r w:rsidR="00C07539" w:rsidRPr="0078289D">
        <w:rPr>
          <w:rFonts w:eastAsia="Times New Roman"/>
          <w:sz w:val="28"/>
          <w:szCs w:val="28"/>
          <w:lang w:val="es-ES_tradnl"/>
        </w:rPr>
        <w:t xml:space="preserve">que </w:t>
      </w:r>
      <w:r w:rsidR="002257CF" w:rsidRPr="0078289D">
        <w:rPr>
          <w:rFonts w:eastAsia="Times New Roman"/>
          <w:sz w:val="28"/>
          <w:szCs w:val="28"/>
          <w:lang w:val="es-ES_tradnl"/>
        </w:rPr>
        <w:t xml:space="preserve">dicho procedimiento implicaría someter a las víctimas a </w:t>
      </w:r>
      <w:r w:rsidR="00967521" w:rsidRPr="0078289D">
        <w:rPr>
          <w:rFonts w:eastAsia="Times New Roman"/>
          <w:sz w:val="28"/>
          <w:szCs w:val="28"/>
          <w:lang w:val="es-ES_tradnl"/>
        </w:rPr>
        <w:t xml:space="preserve">la carga de un proceso de expropiación, lo cual resultaría en </w:t>
      </w:r>
      <w:r w:rsidR="002257CF" w:rsidRPr="0078289D">
        <w:rPr>
          <w:rFonts w:eastAsia="Times New Roman"/>
          <w:sz w:val="28"/>
          <w:szCs w:val="28"/>
          <w:lang w:val="es-ES_tradnl"/>
        </w:rPr>
        <w:t xml:space="preserve">una doble victimización. No obstante, para la Sala Plena esta postura no es de recibo, por dos razones principalmente. En primer lugar, porque si bien el proceso de expropiación impone una carga procesal a las víctimas, ésta es razonable, teniendo </w:t>
      </w:r>
      <w:r w:rsidR="00C07539" w:rsidRPr="0078289D">
        <w:rPr>
          <w:rFonts w:eastAsia="Times New Roman"/>
          <w:sz w:val="28"/>
          <w:szCs w:val="28"/>
          <w:lang w:val="es-ES_tradnl"/>
        </w:rPr>
        <w:t>en cuenta</w:t>
      </w:r>
      <w:r w:rsidR="002257CF" w:rsidRPr="0078289D">
        <w:rPr>
          <w:rFonts w:eastAsia="Times New Roman"/>
          <w:sz w:val="28"/>
          <w:szCs w:val="28"/>
          <w:lang w:val="es-ES_tradnl"/>
        </w:rPr>
        <w:t xml:space="preserve"> las garan</w:t>
      </w:r>
      <w:r w:rsidR="00C07539" w:rsidRPr="0078289D">
        <w:rPr>
          <w:rFonts w:eastAsia="Times New Roman"/>
          <w:sz w:val="28"/>
          <w:szCs w:val="28"/>
          <w:lang w:val="es-ES_tradnl"/>
        </w:rPr>
        <w:t>tías resultantes de adelantarlo.</w:t>
      </w:r>
      <w:r w:rsidR="002257CF" w:rsidRPr="0078289D">
        <w:rPr>
          <w:rFonts w:eastAsia="Times New Roman"/>
          <w:sz w:val="28"/>
          <w:szCs w:val="28"/>
          <w:lang w:val="es-ES_tradnl"/>
        </w:rPr>
        <w:t xml:space="preserve"> </w:t>
      </w:r>
      <w:r w:rsidR="00F31834" w:rsidRPr="0078289D">
        <w:rPr>
          <w:rFonts w:eastAsia="Times New Roman"/>
          <w:sz w:val="28"/>
          <w:szCs w:val="28"/>
          <w:lang w:val="es-ES_tradnl"/>
        </w:rPr>
        <w:t xml:space="preserve">En particular, porque este proceso garantiza que las víctimas reciban, no sólo una compensación, sino una </w:t>
      </w:r>
      <w:r w:rsidR="002257CF" w:rsidRPr="0078289D">
        <w:rPr>
          <w:rFonts w:eastAsia="Times New Roman"/>
          <w:sz w:val="28"/>
          <w:szCs w:val="28"/>
          <w:lang w:val="es-ES_tradnl"/>
        </w:rPr>
        <w:t xml:space="preserve">indemnización justa por la limitación a su derecho de propiedad. En segundo lugar, porque </w:t>
      </w:r>
      <w:r w:rsidR="00B20288" w:rsidRPr="0078289D">
        <w:rPr>
          <w:rFonts w:eastAsia="Times New Roman"/>
          <w:sz w:val="28"/>
          <w:szCs w:val="28"/>
          <w:lang w:val="es-ES_tradnl"/>
        </w:rPr>
        <w:t xml:space="preserve">el hecho de que </w:t>
      </w:r>
      <w:r w:rsidR="00D32E05" w:rsidRPr="0078289D">
        <w:rPr>
          <w:rFonts w:eastAsia="Times New Roman"/>
          <w:sz w:val="28"/>
          <w:szCs w:val="28"/>
          <w:lang w:val="es-ES_tradnl"/>
        </w:rPr>
        <w:t xml:space="preserve">se les permita a las víctimas acceder al procedimiento de expropiación en condiciones de igualdad con el resto de los ciudadanos no significa que se les </w:t>
      </w:r>
      <w:r w:rsidR="00947EF7" w:rsidRPr="0078289D">
        <w:rPr>
          <w:rFonts w:eastAsia="Times New Roman"/>
          <w:sz w:val="28"/>
          <w:szCs w:val="28"/>
          <w:lang w:val="es-ES_tradnl"/>
        </w:rPr>
        <w:t>obligue</w:t>
      </w:r>
      <w:r w:rsidR="00D32E05" w:rsidRPr="0078289D">
        <w:rPr>
          <w:rFonts w:eastAsia="Times New Roman"/>
          <w:sz w:val="28"/>
          <w:szCs w:val="28"/>
          <w:lang w:val="es-ES_tradnl"/>
        </w:rPr>
        <w:t xml:space="preserve"> a </w:t>
      </w:r>
      <w:r w:rsidR="00695CE9" w:rsidRPr="0078289D">
        <w:rPr>
          <w:rFonts w:eastAsia="Times New Roman"/>
          <w:sz w:val="28"/>
          <w:szCs w:val="28"/>
          <w:lang w:val="es-ES_tradnl"/>
        </w:rPr>
        <w:t>someterse a este procedimiento.</w:t>
      </w:r>
      <w:r w:rsidR="002257CF" w:rsidRPr="0078289D">
        <w:rPr>
          <w:rFonts w:eastAsia="Times New Roman"/>
          <w:sz w:val="28"/>
          <w:szCs w:val="28"/>
          <w:lang w:val="es-ES_tradnl"/>
        </w:rPr>
        <w:t xml:space="preserve"> </w:t>
      </w:r>
      <w:r w:rsidR="00695CE9" w:rsidRPr="0078289D">
        <w:rPr>
          <w:rFonts w:eastAsia="Times New Roman"/>
          <w:sz w:val="28"/>
          <w:szCs w:val="28"/>
          <w:lang w:val="es-ES_tradnl"/>
        </w:rPr>
        <w:t xml:space="preserve">Las víctimas bien pueden decidir vender voluntariamente al </w:t>
      </w:r>
      <w:r w:rsidR="00F3578E" w:rsidRPr="0078289D">
        <w:rPr>
          <w:rFonts w:eastAsia="Times New Roman"/>
          <w:sz w:val="28"/>
          <w:szCs w:val="28"/>
          <w:lang w:val="es-ES_tradnl"/>
        </w:rPr>
        <w:t>Estado sus bienes, sin necesidad de acudir al proceso de expropiación.</w:t>
      </w:r>
      <w:r w:rsidR="00695CE9" w:rsidRPr="0078289D">
        <w:rPr>
          <w:rFonts w:eastAsia="Times New Roman"/>
          <w:sz w:val="28"/>
          <w:szCs w:val="28"/>
          <w:lang w:val="es-ES_tradnl"/>
        </w:rPr>
        <w:t xml:space="preserve"> </w:t>
      </w:r>
      <w:r w:rsidR="00F3578E" w:rsidRPr="0078289D">
        <w:rPr>
          <w:rFonts w:eastAsia="Times New Roman"/>
          <w:sz w:val="28"/>
          <w:szCs w:val="28"/>
          <w:lang w:val="es-ES_tradnl"/>
        </w:rPr>
        <w:t>El deber de acudir a la expropiación s</w:t>
      </w:r>
      <w:r w:rsidR="008D3FAB" w:rsidRPr="0078289D">
        <w:rPr>
          <w:rFonts w:eastAsia="Times New Roman"/>
          <w:sz w:val="28"/>
          <w:szCs w:val="28"/>
          <w:lang w:val="es-ES_tradnl"/>
        </w:rPr>
        <w:t>ólo obliga al Estado a adelantar dicho proceso</w:t>
      </w:r>
      <w:r w:rsidR="00F3578E" w:rsidRPr="0078289D">
        <w:rPr>
          <w:rFonts w:eastAsia="Times New Roman"/>
          <w:sz w:val="28"/>
          <w:szCs w:val="28"/>
          <w:lang w:val="es-ES_tradnl"/>
        </w:rPr>
        <w:t xml:space="preserve"> cuando </w:t>
      </w:r>
      <w:r w:rsidR="00947EF7" w:rsidRPr="0078289D">
        <w:rPr>
          <w:rFonts w:eastAsia="Times New Roman"/>
          <w:sz w:val="28"/>
          <w:szCs w:val="28"/>
          <w:lang w:val="es-ES_tradnl"/>
        </w:rPr>
        <w:t>requiera</w:t>
      </w:r>
      <w:r w:rsidR="00F3578E" w:rsidRPr="0078289D">
        <w:rPr>
          <w:rFonts w:eastAsia="Times New Roman"/>
          <w:sz w:val="28"/>
          <w:szCs w:val="28"/>
          <w:lang w:val="es-ES_tradnl"/>
        </w:rPr>
        <w:t xml:space="preserve"> dichos bienes</w:t>
      </w:r>
      <w:r w:rsidR="00947EF7" w:rsidRPr="0078289D">
        <w:rPr>
          <w:rFonts w:eastAsia="Times New Roman"/>
          <w:sz w:val="28"/>
          <w:szCs w:val="28"/>
          <w:lang w:val="es-ES_tradnl"/>
        </w:rPr>
        <w:t xml:space="preserve"> para adelantar proyectos de utilidad pública</w:t>
      </w:r>
      <w:r w:rsidR="00F3578E" w:rsidRPr="0078289D">
        <w:rPr>
          <w:rFonts w:eastAsia="Times New Roman"/>
          <w:sz w:val="28"/>
          <w:szCs w:val="28"/>
          <w:lang w:val="es-ES_tradnl"/>
        </w:rPr>
        <w:t xml:space="preserve"> y no se haya podido llegar a un acuerdo </w:t>
      </w:r>
      <w:r w:rsidR="00557174" w:rsidRPr="0078289D">
        <w:rPr>
          <w:rFonts w:eastAsia="Times New Roman"/>
          <w:sz w:val="28"/>
          <w:szCs w:val="28"/>
          <w:lang w:val="es-ES_tradnl"/>
        </w:rPr>
        <w:t>con el propietario</w:t>
      </w:r>
      <w:r w:rsidR="008D3FAB" w:rsidRPr="0078289D">
        <w:rPr>
          <w:rFonts w:eastAsia="Times New Roman"/>
          <w:sz w:val="28"/>
          <w:szCs w:val="28"/>
          <w:lang w:val="es-ES_tradnl"/>
        </w:rPr>
        <w:t xml:space="preserve">. </w:t>
      </w:r>
      <w:r w:rsidR="00557174" w:rsidRPr="0078289D">
        <w:rPr>
          <w:rFonts w:eastAsia="Times New Roman"/>
          <w:sz w:val="28"/>
          <w:szCs w:val="28"/>
          <w:lang w:val="es-ES_tradnl"/>
        </w:rPr>
        <w:t xml:space="preserve">En esa medida, garantizar la aplicabilidad del proceso expropiatorio </w:t>
      </w:r>
      <w:r w:rsidR="002257CF" w:rsidRPr="0078289D">
        <w:rPr>
          <w:rFonts w:eastAsia="Times New Roman"/>
          <w:sz w:val="28"/>
          <w:szCs w:val="28"/>
          <w:lang w:val="es-ES_tradnl"/>
        </w:rPr>
        <w:t xml:space="preserve">permite que las víctimas </w:t>
      </w:r>
      <w:r w:rsidR="00947EF7" w:rsidRPr="0078289D">
        <w:rPr>
          <w:rFonts w:eastAsia="Times New Roman"/>
          <w:sz w:val="28"/>
          <w:szCs w:val="28"/>
          <w:lang w:val="es-ES_tradnl"/>
        </w:rPr>
        <w:t>decidan voluntariamente</w:t>
      </w:r>
      <w:r w:rsidR="00557174" w:rsidRPr="0078289D">
        <w:rPr>
          <w:rFonts w:eastAsia="Times New Roman"/>
          <w:sz w:val="28"/>
          <w:szCs w:val="28"/>
          <w:lang w:val="es-ES_tradnl"/>
        </w:rPr>
        <w:t xml:space="preserve"> si venden </w:t>
      </w:r>
      <w:r w:rsidR="00947EF7" w:rsidRPr="0078289D">
        <w:rPr>
          <w:rFonts w:eastAsia="Times New Roman"/>
          <w:sz w:val="28"/>
          <w:szCs w:val="28"/>
          <w:lang w:val="es-ES_tradnl"/>
        </w:rPr>
        <w:t xml:space="preserve">o se someten al proceso de expropiación </w:t>
      </w:r>
      <w:r w:rsidR="00CC7F4B" w:rsidRPr="0078289D">
        <w:rPr>
          <w:rFonts w:eastAsia="Times New Roman"/>
          <w:sz w:val="28"/>
          <w:szCs w:val="28"/>
          <w:lang w:val="es-ES_tradnl"/>
        </w:rPr>
        <w:t>una vez</w:t>
      </w:r>
      <w:r w:rsidR="00947EF7" w:rsidRPr="0078289D">
        <w:rPr>
          <w:rFonts w:eastAsia="Times New Roman"/>
          <w:sz w:val="28"/>
          <w:szCs w:val="28"/>
          <w:lang w:val="es-ES_tradnl"/>
        </w:rPr>
        <w:t xml:space="preserve"> el bien les ha sido restituido;</w:t>
      </w:r>
      <w:r w:rsidR="00CC7F4B" w:rsidRPr="0078289D">
        <w:rPr>
          <w:rFonts w:eastAsia="Times New Roman"/>
          <w:sz w:val="28"/>
          <w:szCs w:val="28"/>
          <w:lang w:val="es-ES_tradnl"/>
        </w:rPr>
        <w:t xml:space="preserve"> </w:t>
      </w:r>
      <w:r w:rsidR="007643E5" w:rsidRPr="0078289D">
        <w:rPr>
          <w:rFonts w:eastAsia="Times New Roman"/>
          <w:sz w:val="28"/>
          <w:szCs w:val="28"/>
          <w:lang w:val="es-ES_tradnl"/>
        </w:rPr>
        <w:t>pero</w:t>
      </w:r>
      <w:r w:rsidR="00181EDB" w:rsidRPr="0078289D">
        <w:rPr>
          <w:rFonts w:eastAsia="Times New Roman"/>
          <w:sz w:val="28"/>
          <w:szCs w:val="28"/>
          <w:lang w:val="es-ES_tradnl"/>
        </w:rPr>
        <w:t xml:space="preserve"> si </w:t>
      </w:r>
      <w:r w:rsidR="007643E5" w:rsidRPr="0078289D">
        <w:rPr>
          <w:rFonts w:eastAsia="Times New Roman"/>
          <w:sz w:val="28"/>
          <w:szCs w:val="28"/>
          <w:lang w:val="es-ES_tradnl"/>
        </w:rPr>
        <w:t xml:space="preserve">no están de acuerdo con los términos de la expropiación, </w:t>
      </w:r>
      <w:r w:rsidR="00181EDB" w:rsidRPr="0078289D">
        <w:rPr>
          <w:rFonts w:eastAsia="Times New Roman"/>
          <w:sz w:val="28"/>
          <w:szCs w:val="28"/>
          <w:lang w:val="es-ES_tradnl"/>
        </w:rPr>
        <w:t xml:space="preserve">se </w:t>
      </w:r>
      <w:r w:rsidR="007643E5" w:rsidRPr="0078289D">
        <w:rPr>
          <w:rFonts w:eastAsia="Times New Roman"/>
          <w:sz w:val="28"/>
          <w:szCs w:val="28"/>
          <w:lang w:val="es-ES_tradnl"/>
        </w:rPr>
        <w:t xml:space="preserve">les garantiza que tengan la posibilidad de </w:t>
      </w:r>
      <w:r w:rsidR="00947EF7" w:rsidRPr="0078289D">
        <w:rPr>
          <w:rFonts w:eastAsia="Times New Roman"/>
          <w:sz w:val="28"/>
          <w:szCs w:val="28"/>
          <w:lang w:val="es-ES_tradnl"/>
        </w:rPr>
        <w:t xml:space="preserve">adelantar </w:t>
      </w:r>
      <w:r w:rsidR="007643E5" w:rsidRPr="0078289D">
        <w:rPr>
          <w:rFonts w:eastAsia="Times New Roman"/>
          <w:sz w:val="28"/>
          <w:szCs w:val="28"/>
          <w:lang w:val="es-ES_tradnl"/>
        </w:rPr>
        <w:t xml:space="preserve">un proceso </w:t>
      </w:r>
      <w:r w:rsidR="00947EF7" w:rsidRPr="0078289D">
        <w:rPr>
          <w:rFonts w:eastAsia="Times New Roman"/>
          <w:sz w:val="28"/>
          <w:szCs w:val="28"/>
          <w:lang w:val="es-ES_tradnl"/>
        </w:rPr>
        <w:t>judicial</w:t>
      </w:r>
      <w:r w:rsidR="007643E5" w:rsidRPr="0078289D">
        <w:rPr>
          <w:rFonts w:eastAsia="Times New Roman"/>
          <w:sz w:val="28"/>
          <w:szCs w:val="28"/>
          <w:lang w:val="es-ES_tradnl"/>
        </w:rPr>
        <w:t xml:space="preserve"> </w:t>
      </w:r>
      <w:r w:rsidR="00CC7F4B" w:rsidRPr="0078289D">
        <w:rPr>
          <w:rFonts w:eastAsia="Times New Roman"/>
          <w:sz w:val="28"/>
          <w:szCs w:val="28"/>
          <w:lang w:val="es-ES_tradnl"/>
        </w:rPr>
        <w:t xml:space="preserve">en igualdad de condiciones con los demás ciudadanos. </w:t>
      </w:r>
      <w:r w:rsidR="00DD4F03" w:rsidRPr="0078289D">
        <w:rPr>
          <w:rFonts w:eastAsia="Times New Roman"/>
          <w:sz w:val="28"/>
          <w:szCs w:val="28"/>
          <w:lang w:val="es-ES_tradnl"/>
        </w:rPr>
        <w:t xml:space="preserve">Esto permite que las víctimas </w:t>
      </w:r>
      <w:r w:rsidR="002257CF" w:rsidRPr="0078289D">
        <w:rPr>
          <w:rFonts w:eastAsia="Times New Roman"/>
          <w:sz w:val="28"/>
          <w:szCs w:val="28"/>
          <w:lang w:val="es-ES_tradnl"/>
        </w:rPr>
        <w:t>desarrollen su autonomía, tomen decisión libre</w:t>
      </w:r>
      <w:r w:rsidR="00DD4F03" w:rsidRPr="0078289D">
        <w:rPr>
          <w:rFonts w:eastAsia="Times New Roman"/>
          <w:sz w:val="28"/>
          <w:szCs w:val="28"/>
          <w:lang w:val="es-ES_tradnl"/>
        </w:rPr>
        <w:t>mente</w:t>
      </w:r>
      <w:r w:rsidR="002257CF" w:rsidRPr="0078289D">
        <w:rPr>
          <w:rFonts w:eastAsia="Times New Roman"/>
          <w:sz w:val="28"/>
          <w:szCs w:val="28"/>
          <w:lang w:val="es-ES_tradnl"/>
        </w:rPr>
        <w:t xml:space="preserve"> y </w:t>
      </w:r>
      <w:r w:rsidR="00DD4F03" w:rsidRPr="0078289D">
        <w:rPr>
          <w:rFonts w:eastAsia="Times New Roman"/>
          <w:sz w:val="28"/>
          <w:szCs w:val="28"/>
          <w:lang w:val="es-ES_tradnl"/>
        </w:rPr>
        <w:t xml:space="preserve">de manera </w:t>
      </w:r>
      <w:r w:rsidR="002257CF" w:rsidRPr="0078289D">
        <w:rPr>
          <w:rFonts w:eastAsia="Times New Roman"/>
          <w:sz w:val="28"/>
          <w:szCs w:val="28"/>
          <w:lang w:val="es-ES_tradnl"/>
        </w:rPr>
        <w:t>conscie</w:t>
      </w:r>
      <w:r w:rsidR="00DD4F03" w:rsidRPr="0078289D">
        <w:rPr>
          <w:rFonts w:eastAsia="Times New Roman"/>
          <w:sz w:val="28"/>
          <w:szCs w:val="28"/>
          <w:lang w:val="es-ES_tradnl"/>
        </w:rPr>
        <w:t>nte sobre sus propios intereses. De esta manera se</w:t>
      </w:r>
      <w:r w:rsidR="002257CF" w:rsidRPr="0078289D">
        <w:rPr>
          <w:rFonts w:eastAsia="Times New Roman"/>
          <w:sz w:val="28"/>
          <w:szCs w:val="28"/>
          <w:lang w:val="es-ES_tradnl"/>
        </w:rPr>
        <w:t xml:space="preserve"> las pone en un plano de igualdad con el resto de ciudadanos, garantizando así el desarrollo de un escenario de normalidad. </w:t>
      </w:r>
    </w:p>
    <w:p w:rsidR="002257CF" w:rsidRPr="0078289D" w:rsidRDefault="002257CF"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color w:val="1A1A1A"/>
          <w:sz w:val="28"/>
          <w:szCs w:val="28"/>
          <w:lang w:val="es-ES"/>
        </w:rPr>
      </w:pPr>
      <w:r w:rsidRPr="0078289D">
        <w:rPr>
          <w:rFonts w:eastAsia="Times New Roman"/>
          <w:color w:val="1A1A1A"/>
          <w:sz w:val="28"/>
          <w:szCs w:val="28"/>
          <w:lang w:val="es-ES"/>
        </w:rPr>
        <w:t>74</w:t>
      </w:r>
      <w:r w:rsidR="00AB13A3" w:rsidRPr="0078289D">
        <w:rPr>
          <w:rFonts w:eastAsia="Times New Roman"/>
          <w:color w:val="1A1A1A"/>
          <w:sz w:val="28"/>
          <w:szCs w:val="28"/>
          <w:lang w:val="es-ES"/>
        </w:rPr>
        <w:t xml:space="preserve">. </w:t>
      </w:r>
      <w:r w:rsidR="002257CF" w:rsidRPr="0078289D">
        <w:rPr>
          <w:rFonts w:eastAsia="Times New Roman"/>
          <w:color w:val="1A1A1A"/>
          <w:sz w:val="28"/>
          <w:szCs w:val="28"/>
          <w:lang w:val="es-ES"/>
        </w:rPr>
        <w:t>Por otra parte</w:t>
      </w:r>
      <w:r w:rsidR="00840465" w:rsidRPr="0078289D">
        <w:rPr>
          <w:rFonts w:eastAsia="Times New Roman"/>
          <w:color w:val="1A1A1A"/>
          <w:sz w:val="28"/>
          <w:szCs w:val="28"/>
          <w:lang w:val="es-ES"/>
        </w:rPr>
        <w:t>, la Sala considera conveniente  advertir un argumento adicional de inconstitucionalidad de la norma jurídica demandada y analizada en la presente sección de esta providencia. En efecto, el parágrafo del artículo 50 de la Ley 1753 de 2015 consagra el carácter retroactivo de la norma, al permitir que las previsiones allí contenidas puedan ser aplicadas incluso a aquellos proyectos declarados como PINE antes de su vigencia.</w:t>
      </w:r>
    </w:p>
    <w:p w:rsidR="008F2110"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color w:val="1A1A1A"/>
          <w:sz w:val="28"/>
          <w:szCs w:val="28"/>
          <w:lang w:val="es-ES"/>
        </w:rPr>
      </w:pPr>
    </w:p>
    <w:p w:rsidR="00840465" w:rsidRPr="0078289D" w:rsidRDefault="008F2110"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sz w:val="28"/>
          <w:szCs w:val="28"/>
          <w:lang w:val="es-ES_tradnl"/>
        </w:rPr>
      </w:pPr>
      <w:r w:rsidRPr="0078289D">
        <w:rPr>
          <w:rFonts w:eastAsia="Times New Roman"/>
          <w:color w:val="1A1A1A"/>
          <w:sz w:val="28"/>
          <w:szCs w:val="28"/>
          <w:lang w:val="es-ES"/>
        </w:rPr>
        <w:t>75</w:t>
      </w:r>
      <w:r w:rsidR="00AB13A3" w:rsidRPr="0078289D">
        <w:rPr>
          <w:rFonts w:eastAsia="Times New Roman"/>
          <w:color w:val="1A1A1A"/>
          <w:sz w:val="28"/>
          <w:szCs w:val="28"/>
          <w:lang w:val="es-ES"/>
        </w:rPr>
        <w:t xml:space="preserve">. </w:t>
      </w:r>
      <w:r w:rsidR="00840465" w:rsidRPr="0078289D">
        <w:rPr>
          <w:rFonts w:eastAsia="Times New Roman"/>
          <w:color w:val="1A1A1A"/>
          <w:sz w:val="28"/>
          <w:szCs w:val="28"/>
          <w:lang w:val="es-ES"/>
        </w:rPr>
        <w:t xml:space="preserve">Para la Sala es claro que la mencionada previsión deviene en una vulneración de los principios de seguridad jurídica, buena fe y confianza legítima consagrados en el artículo 83 de la Constitución Política. En efecto, la norma conculca el derecho a la restitución de aquellos ciudadanos que han iniciado un proceso de restitución en su calidad de víctimas del conflicto armado, pese a que ésta es posterior. En este sentido, la norma modifica </w:t>
      </w:r>
      <w:r w:rsidR="00840465" w:rsidRPr="0078289D">
        <w:rPr>
          <w:rFonts w:eastAsia="Times New Roman"/>
          <w:sz w:val="28"/>
          <w:szCs w:val="28"/>
          <w:lang w:val="es-ES_tradnl"/>
        </w:rPr>
        <w:t xml:space="preserve">las condiciones inicialmente previstas para acceder al derecho fundamental a la restitución de las víctimas del conflicto. </w:t>
      </w:r>
    </w:p>
    <w:p w:rsidR="002257CF" w:rsidRPr="0078289D" w:rsidRDefault="003311B3" w:rsidP="0078289D">
      <w:pPr>
        <w:widowControl w:val="0"/>
        <w:pBdr>
          <w:top w:val="none" w:sz="0" w:space="0" w:color="auto"/>
          <w:left w:val="none" w:sz="0" w:space="0" w:color="auto"/>
          <w:bottom w:val="none" w:sz="0" w:space="0" w:color="auto"/>
          <w:right w:val="none" w:sz="0" w:space="0" w:color="auto"/>
        </w:pBdr>
        <w:tabs>
          <w:tab w:val="left" w:pos="2436"/>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76. En conclusión, l</w:t>
      </w:r>
      <w:r w:rsidR="002257CF" w:rsidRPr="0078289D">
        <w:rPr>
          <w:rFonts w:eastAsia="Times New Roman"/>
          <w:sz w:val="28"/>
          <w:szCs w:val="28"/>
          <w:lang w:val="es-ES_tradnl"/>
        </w:rPr>
        <w:t xml:space="preserve">a medida prevista </w:t>
      </w:r>
      <w:r w:rsidRPr="0078289D">
        <w:rPr>
          <w:rFonts w:eastAsia="Times New Roman"/>
          <w:sz w:val="28"/>
          <w:szCs w:val="28"/>
          <w:lang w:val="es-ES_tradnl"/>
        </w:rPr>
        <w:t xml:space="preserve">en el artículo 50 de la actual ley del plan </w:t>
      </w:r>
      <w:r w:rsidR="002257CF" w:rsidRPr="0078289D">
        <w:rPr>
          <w:rFonts w:eastAsia="Times New Roman"/>
          <w:sz w:val="28"/>
          <w:szCs w:val="28"/>
          <w:lang w:val="es-ES_tradnl"/>
        </w:rPr>
        <w:t>afecta gravemente los derechos fundamentales a la reparación y la restitución de un grupo de sujetos de especial protección constitucional, a saber, la</w:t>
      </w:r>
      <w:r w:rsidR="005C183F" w:rsidRPr="0078289D">
        <w:rPr>
          <w:rFonts w:eastAsia="Times New Roman"/>
          <w:sz w:val="28"/>
          <w:szCs w:val="28"/>
          <w:lang w:val="es-ES_tradnl"/>
        </w:rPr>
        <w:t>s víctimas del conflicto armado.</w:t>
      </w:r>
      <w:r w:rsidR="002257CF" w:rsidRPr="0078289D">
        <w:rPr>
          <w:rFonts w:eastAsia="Times New Roman"/>
          <w:sz w:val="28"/>
          <w:szCs w:val="28"/>
          <w:lang w:val="es-ES_tradnl"/>
        </w:rPr>
        <w:t xml:space="preserve"> </w:t>
      </w:r>
      <w:r w:rsidR="005C183F" w:rsidRPr="0078289D">
        <w:rPr>
          <w:rFonts w:eastAsia="Times New Roman"/>
          <w:sz w:val="28"/>
          <w:szCs w:val="28"/>
          <w:lang w:val="es-ES_tradnl"/>
        </w:rPr>
        <w:t>Impedir el acceso al proceso de expropiación en condiciones de igualdad con el resto de la ciudadanía constituye una</w:t>
      </w:r>
      <w:r w:rsidR="007F6230" w:rsidRPr="0078289D">
        <w:rPr>
          <w:rFonts w:eastAsia="Times New Roman"/>
          <w:sz w:val="28"/>
          <w:szCs w:val="28"/>
          <w:lang w:val="es-ES_tradnl"/>
        </w:rPr>
        <w:t xml:space="preserve"> </w:t>
      </w:r>
      <w:r w:rsidR="002257CF" w:rsidRPr="0078289D">
        <w:rPr>
          <w:rFonts w:eastAsia="Times New Roman"/>
          <w:sz w:val="28"/>
          <w:szCs w:val="28"/>
          <w:lang w:val="es-ES_tradnl"/>
        </w:rPr>
        <w:t>limitación</w:t>
      </w:r>
      <w:r w:rsidR="007F6230" w:rsidRPr="0078289D">
        <w:rPr>
          <w:rFonts w:eastAsia="Times New Roman"/>
          <w:sz w:val="28"/>
          <w:szCs w:val="28"/>
          <w:lang w:val="es-ES_tradnl"/>
        </w:rPr>
        <w:t xml:space="preserve"> </w:t>
      </w:r>
      <w:r w:rsidR="005C183F" w:rsidRPr="0078289D">
        <w:rPr>
          <w:rFonts w:eastAsia="Times New Roman"/>
          <w:sz w:val="28"/>
          <w:szCs w:val="28"/>
          <w:lang w:val="es-ES_tradnl"/>
        </w:rPr>
        <w:t>in</w:t>
      </w:r>
      <w:r w:rsidR="007F6230" w:rsidRPr="0078289D">
        <w:rPr>
          <w:rFonts w:eastAsia="Times New Roman"/>
          <w:sz w:val="28"/>
          <w:szCs w:val="28"/>
          <w:lang w:val="es-ES_tradnl"/>
        </w:rPr>
        <w:t>necesaria</w:t>
      </w:r>
      <w:r w:rsidR="005C183F" w:rsidRPr="0078289D">
        <w:rPr>
          <w:rFonts w:eastAsia="Times New Roman"/>
          <w:sz w:val="28"/>
          <w:szCs w:val="28"/>
          <w:lang w:val="es-ES_tradnl"/>
        </w:rPr>
        <w:t xml:space="preserve"> de los derechos de las víctimas</w:t>
      </w:r>
      <w:r w:rsidR="002257CF" w:rsidRPr="0078289D">
        <w:rPr>
          <w:rFonts w:eastAsia="Times New Roman"/>
          <w:sz w:val="28"/>
          <w:szCs w:val="28"/>
          <w:lang w:val="es-ES_tradnl"/>
        </w:rPr>
        <w:t xml:space="preserve">. Así, pese a que el fin de </w:t>
      </w:r>
      <w:r w:rsidR="002257CF" w:rsidRPr="0078289D">
        <w:rPr>
          <w:rFonts w:eastAsia="Times New Roman"/>
          <w:sz w:val="28"/>
          <w:szCs w:val="28"/>
          <w:lang w:val="es-ES_tradnl"/>
        </w:rPr>
        <w:lastRenderedPageBreak/>
        <w:t xml:space="preserve">la norma es legítimo, la Corte observa que existen otros mecanismos que permiten la limitación del derecho de propiedad para la realización de proyectos de interés nacional y que son menos lesivos de los derechos fundamentales a la restitución y la igualdad, tal como es el caso del procedimiento de expropiación. </w:t>
      </w:r>
      <w:r w:rsidRPr="0078289D">
        <w:rPr>
          <w:rFonts w:eastAsia="Times New Roman"/>
          <w:sz w:val="28"/>
          <w:szCs w:val="28"/>
          <w:lang w:val="es-ES_tradnl"/>
        </w:rPr>
        <w:t>Por lo tanto,</w:t>
      </w:r>
      <w:r w:rsidR="002257CF" w:rsidRPr="0078289D">
        <w:rPr>
          <w:rFonts w:eastAsia="Times New Roman"/>
          <w:sz w:val="28"/>
          <w:szCs w:val="28"/>
          <w:lang w:val="es-ES_tradnl"/>
        </w:rPr>
        <w:t xml:space="preserve"> </w:t>
      </w:r>
      <w:r w:rsidRPr="0078289D">
        <w:rPr>
          <w:rFonts w:eastAsia="Times New Roman"/>
          <w:sz w:val="28"/>
          <w:szCs w:val="28"/>
          <w:lang w:val="es-ES_tradnl"/>
        </w:rPr>
        <w:t>la Sala declarará la inexequibilidad del artículo 50 en la parte demandada.</w:t>
      </w: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p>
    <w:p w:rsidR="00E465DD" w:rsidRPr="0078289D" w:rsidRDefault="00EB41AA" w:rsidP="0078289D">
      <w:pPr>
        <w:pBdr>
          <w:top w:val="none" w:sz="0" w:space="0" w:color="auto"/>
          <w:left w:val="none" w:sz="0" w:space="0" w:color="auto"/>
          <w:bottom w:val="none" w:sz="0" w:space="0" w:color="auto"/>
          <w:right w:val="none" w:sz="0" w:space="0" w:color="auto"/>
        </w:pBdr>
        <w:jc w:val="center"/>
        <w:rPr>
          <w:b/>
          <w:i/>
          <w:color w:val="000000"/>
          <w:sz w:val="28"/>
          <w:szCs w:val="28"/>
          <w:u w:color="000000"/>
          <w:lang w:val="es-ES_tradnl" w:eastAsia="es-ES"/>
        </w:rPr>
      </w:pPr>
      <w:r w:rsidRPr="0078289D">
        <w:rPr>
          <w:b/>
          <w:i/>
          <w:color w:val="000000"/>
          <w:sz w:val="28"/>
          <w:szCs w:val="28"/>
          <w:u w:color="000000"/>
          <w:lang w:val="es-ES_tradnl" w:eastAsia="es-ES"/>
        </w:rPr>
        <w:t>Segunda parte de la Segunda Sección</w:t>
      </w:r>
    </w:p>
    <w:p w:rsidR="00E465DD" w:rsidRPr="0078289D" w:rsidRDefault="00E465DD"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p>
    <w:p w:rsidR="00BD0EA7" w:rsidRPr="0078289D" w:rsidRDefault="00BD0EA7" w:rsidP="0078289D">
      <w:pPr>
        <w:pBdr>
          <w:top w:val="none" w:sz="0" w:space="0" w:color="auto"/>
          <w:left w:val="none" w:sz="0" w:space="0" w:color="auto"/>
          <w:bottom w:val="none" w:sz="0" w:space="0" w:color="auto"/>
          <w:right w:val="none" w:sz="0" w:space="0" w:color="auto"/>
        </w:pBdr>
        <w:jc w:val="both"/>
        <w:rPr>
          <w:b/>
          <w:color w:val="000000"/>
          <w:sz w:val="28"/>
          <w:szCs w:val="28"/>
          <w:u w:color="000000"/>
          <w:lang w:val="es-ES_tradnl" w:eastAsia="es-ES"/>
        </w:rPr>
      </w:pPr>
      <w:r w:rsidRPr="0078289D">
        <w:rPr>
          <w:b/>
          <w:color w:val="000000"/>
          <w:sz w:val="28"/>
          <w:szCs w:val="28"/>
          <w:u w:color="000000"/>
          <w:lang w:val="es-ES_tradnl" w:eastAsia="es-ES"/>
        </w:rPr>
        <w:t xml:space="preserve">Normas demandadas </w:t>
      </w:r>
      <w:r w:rsidR="00E465DD" w:rsidRPr="0078289D">
        <w:rPr>
          <w:b/>
          <w:color w:val="000000"/>
          <w:sz w:val="28"/>
          <w:szCs w:val="28"/>
          <w:u w:color="000000"/>
          <w:lang w:val="es-ES_tradnl" w:eastAsia="es-ES"/>
        </w:rPr>
        <w:t>relacionadas con el Sistema Nacional de Proyectos de Interés Nacional y Estratégicos</w:t>
      </w:r>
    </w:p>
    <w:p w:rsidR="00BD0EA7" w:rsidRPr="0078289D" w:rsidRDefault="00BD0EA7"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p>
    <w:p w:rsidR="00E465DD" w:rsidRPr="0078289D" w:rsidRDefault="00E465DD"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r w:rsidRPr="0078289D">
        <w:rPr>
          <w:color w:val="000000"/>
          <w:sz w:val="28"/>
          <w:szCs w:val="28"/>
          <w:u w:color="000000"/>
          <w:lang w:val="es-ES_tradnl" w:eastAsia="es-ES"/>
        </w:rPr>
        <w:t xml:space="preserve">En esta segunda parte de la segunda sección de la demanda se formulan cargos contra </w:t>
      </w:r>
      <w:r w:rsidR="00DD2D76" w:rsidRPr="0078289D">
        <w:rPr>
          <w:color w:val="000000"/>
          <w:sz w:val="28"/>
          <w:szCs w:val="28"/>
          <w:u w:color="000000"/>
          <w:lang w:val="es-ES_tradnl" w:eastAsia="es-ES"/>
        </w:rPr>
        <w:t>los</w:t>
      </w:r>
      <w:r w:rsidRPr="0078289D">
        <w:rPr>
          <w:color w:val="000000"/>
          <w:sz w:val="28"/>
          <w:szCs w:val="28"/>
          <w:u w:color="000000"/>
          <w:lang w:val="es-ES_tradnl" w:eastAsia="es-ES"/>
        </w:rPr>
        <w:t xml:space="preserve"> artículo</w:t>
      </w:r>
      <w:r w:rsidR="00DD2D76" w:rsidRPr="0078289D">
        <w:rPr>
          <w:color w:val="000000"/>
          <w:sz w:val="28"/>
          <w:szCs w:val="28"/>
          <w:u w:color="000000"/>
          <w:lang w:val="es-ES_tradnl" w:eastAsia="es-ES"/>
        </w:rPr>
        <w:t>s</w:t>
      </w:r>
      <w:r w:rsidRPr="0078289D">
        <w:rPr>
          <w:color w:val="000000"/>
          <w:sz w:val="28"/>
          <w:szCs w:val="28"/>
          <w:u w:color="000000"/>
          <w:lang w:val="es-ES_tradnl" w:eastAsia="es-ES"/>
        </w:rPr>
        <w:t xml:space="preserve"> 4</w:t>
      </w:r>
      <w:r w:rsidR="00DD2D76" w:rsidRPr="0078289D">
        <w:rPr>
          <w:color w:val="000000"/>
          <w:sz w:val="28"/>
          <w:szCs w:val="28"/>
          <w:u w:color="000000"/>
          <w:lang w:val="es-ES_tradnl" w:eastAsia="es-ES"/>
        </w:rPr>
        <w:t>9</w:t>
      </w:r>
      <w:r w:rsidRPr="0078289D">
        <w:rPr>
          <w:color w:val="000000"/>
          <w:sz w:val="28"/>
          <w:szCs w:val="28"/>
          <w:u w:color="000000"/>
          <w:lang w:val="es-ES_tradnl" w:eastAsia="es-ES"/>
        </w:rPr>
        <w:t xml:space="preserve"> </w:t>
      </w:r>
      <w:r w:rsidR="00DD2D76" w:rsidRPr="0078289D">
        <w:rPr>
          <w:color w:val="000000"/>
          <w:sz w:val="28"/>
          <w:szCs w:val="28"/>
          <w:u w:color="000000"/>
          <w:lang w:val="es-ES_tradnl" w:eastAsia="es-ES"/>
        </w:rPr>
        <w:t xml:space="preserve">y 52 (parcial) </w:t>
      </w:r>
      <w:r w:rsidRPr="0078289D">
        <w:rPr>
          <w:color w:val="000000"/>
          <w:sz w:val="28"/>
          <w:szCs w:val="28"/>
          <w:u w:color="000000"/>
          <w:lang w:val="es-ES_tradnl" w:eastAsia="es-ES"/>
        </w:rPr>
        <w:t xml:space="preserve">de la Ley 1753 de 2015, que se </w:t>
      </w:r>
      <w:r w:rsidR="00293C04" w:rsidRPr="0078289D">
        <w:rPr>
          <w:color w:val="000000"/>
          <w:sz w:val="28"/>
          <w:szCs w:val="28"/>
          <w:u w:color="000000"/>
          <w:lang w:val="es-ES_tradnl" w:eastAsia="es-ES"/>
        </w:rPr>
        <w:t>refieren</w:t>
      </w:r>
      <w:r w:rsidRPr="0078289D">
        <w:rPr>
          <w:color w:val="000000"/>
          <w:sz w:val="28"/>
          <w:szCs w:val="28"/>
          <w:u w:color="000000"/>
          <w:lang w:val="es-ES_tradnl" w:eastAsia="es-ES"/>
        </w:rPr>
        <w:t xml:space="preserve"> </w:t>
      </w:r>
      <w:r w:rsidR="00293C04" w:rsidRPr="0078289D">
        <w:rPr>
          <w:color w:val="000000"/>
          <w:sz w:val="28"/>
          <w:szCs w:val="28"/>
          <w:u w:color="000000"/>
          <w:lang w:val="es-ES_tradnl" w:eastAsia="es-ES"/>
        </w:rPr>
        <w:t>a</w:t>
      </w:r>
      <w:r w:rsidRPr="0078289D">
        <w:rPr>
          <w:color w:val="000000"/>
          <w:sz w:val="28"/>
          <w:szCs w:val="28"/>
          <w:u w:color="000000"/>
          <w:lang w:val="es-ES_tradnl" w:eastAsia="es-ES"/>
        </w:rPr>
        <w:t>l Sistema Nacional de Proyectos de Interés Nacional y Estra</w:t>
      </w:r>
      <w:r w:rsidR="00DD2D76" w:rsidRPr="0078289D">
        <w:rPr>
          <w:color w:val="000000"/>
          <w:sz w:val="28"/>
          <w:szCs w:val="28"/>
          <w:u w:color="000000"/>
          <w:lang w:val="es-ES_tradnl" w:eastAsia="es-ES"/>
        </w:rPr>
        <w:t xml:space="preserve">tégicos, </w:t>
      </w:r>
      <w:r w:rsidR="00F563A4" w:rsidRPr="0078289D">
        <w:rPr>
          <w:color w:val="000000"/>
          <w:sz w:val="28"/>
          <w:szCs w:val="28"/>
          <w:u w:color="000000"/>
          <w:lang w:val="es-ES_tradnl" w:eastAsia="es-ES"/>
        </w:rPr>
        <w:t>las cuales</w:t>
      </w:r>
      <w:r w:rsidR="00DD2D76" w:rsidRPr="0078289D">
        <w:rPr>
          <w:color w:val="000000"/>
          <w:sz w:val="28"/>
          <w:szCs w:val="28"/>
          <w:u w:color="000000"/>
          <w:lang w:val="es-ES_tradnl" w:eastAsia="es-ES"/>
        </w:rPr>
        <w:t xml:space="preserve"> se transcribe</w:t>
      </w:r>
      <w:r w:rsidR="00293C04" w:rsidRPr="0078289D">
        <w:rPr>
          <w:color w:val="000000"/>
          <w:sz w:val="28"/>
          <w:szCs w:val="28"/>
          <w:u w:color="000000"/>
          <w:lang w:val="es-ES_tradnl" w:eastAsia="es-ES"/>
        </w:rPr>
        <w:t>n</w:t>
      </w:r>
      <w:r w:rsidR="00DD2D76" w:rsidRPr="0078289D">
        <w:rPr>
          <w:color w:val="000000"/>
          <w:sz w:val="28"/>
          <w:szCs w:val="28"/>
          <w:u w:color="000000"/>
          <w:lang w:val="es-ES_tradnl" w:eastAsia="es-ES"/>
        </w:rPr>
        <w:t xml:space="preserve"> a continuación:</w:t>
      </w:r>
    </w:p>
    <w:p w:rsidR="00E465DD" w:rsidRPr="0078289D" w:rsidRDefault="00E465DD"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jc w:val="center"/>
        <w:rPr>
          <w:b/>
          <w:i/>
          <w:color w:val="000000"/>
          <w:sz w:val="28"/>
          <w:szCs w:val="28"/>
          <w:u w:color="000000"/>
          <w:lang w:val="es-ES_tradnl" w:eastAsia="es-ES"/>
        </w:rPr>
      </w:pPr>
      <w:r w:rsidRPr="0078289D">
        <w:rPr>
          <w:b/>
          <w:i/>
          <w:color w:val="000000"/>
          <w:sz w:val="28"/>
          <w:szCs w:val="28"/>
          <w:u w:color="000000"/>
          <w:lang w:val="es-ES_tradnl" w:eastAsia="es-ES"/>
        </w:rPr>
        <w:t>Ley 1753 de 2015</w:t>
      </w:r>
    </w:p>
    <w:p w:rsidR="00412096" w:rsidRPr="0078289D" w:rsidRDefault="00412096" w:rsidP="0078289D">
      <w:pPr>
        <w:pBdr>
          <w:top w:val="none" w:sz="0" w:space="0" w:color="auto"/>
          <w:left w:val="none" w:sz="0" w:space="0" w:color="auto"/>
          <w:bottom w:val="none" w:sz="0" w:space="0" w:color="auto"/>
          <w:right w:val="none" w:sz="0" w:space="0" w:color="auto"/>
        </w:pBdr>
        <w:jc w:val="both"/>
        <w:rPr>
          <w:b/>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bookmarkStart w:id="8" w:name="49"/>
      <w:bookmarkEnd w:id="8"/>
      <w:r w:rsidRPr="0078289D">
        <w:rPr>
          <w:i/>
          <w:color w:val="000000"/>
          <w:sz w:val="28"/>
          <w:szCs w:val="28"/>
          <w:u w:val="single" w:color="000000"/>
          <w:lang w:val="es-ES_tradnl" w:eastAsia="es-ES"/>
        </w:rPr>
        <w:t>ARTÍCULO 49. SISTEMA NACIONAL DE PROYECTOS DE INTERÉS NACIONAL Y ESTRATÉGICOS (SINAPINE). El Gobierno Nacional organizará el Sistema Nacional de Proyectos de Interés Nacional y Estratégicos (Sinapine) como la estrategia de gestión pública para la planeación integral, optimización de los procedimientos y trámites, gestión y seguimiento de los Proyectos de Interés Nacional y Estratégicos (PINE), de origen público, privado o mixto que sean seleccionados como tales por el Gobierno nacional, por su alto impacto en el crecimiento económico y social del país.</w:t>
      </w: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r w:rsidRPr="0078289D">
        <w:rPr>
          <w:i/>
          <w:color w:val="000000"/>
          <w:sz w:val="28"/>
          <w:szCs w:val="28"/>
          <w:u w:val="single" w:color="000000"/>
          <w:lang w:val="es-ES_tradnl" w:eastAsia="es-ES"/>
        </w:rPr>
        <w:t>La Comisión Intersectorial de Infraestructura y Proyectos Estratégicos (CIIPE) seleccionará los proyectos que serán considerados como PINE y ordenará que se incluyan en el Sinape.</w:t>
      </w: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r w:rsidRPr="0078289D">
        <w:rPr>
          <w:i/>
          <w:color w:val="000000"/>
          <w:sz w:val="28"/>
          <w:szCs w:val="28"/>
          <w:u w:val="single" w:color="000000"/>
          <w:lang w:val="es-ES_tradnl" w:eastAsia="es-ES"/>
        </w:rPr>
        <w:t>La ejecución y desarrollo de los PINE constituye motivo de utilidad pública e interés social, quedando autorizada la expropiación administrativa o judicial de los bienes inmuebles urbanos y rurales que se requieran para tal fin, de conformidad con el artícul</w:t>
      </w:r>
      <w:r w:rsidRPr="0078289D">
        <w:rPr>
          <w:i/>
          <w:color w:val="000000"/>
          <w:sz w:val="28"/>
          <w:szCs w:val="28"/>
          <w:u w:val="single"/>
          <w:lang w:val="es-ES_tradnl" w:eastAsia="es-ES"/>
        </w:rPr>
        <w:t>o </w:t>
      </w:r>
      <w:r w:rsidR="007D6FC5" w:rsidRPr="0078289D">
        <w:rPr>
          <w:i/>
          <w:sz w:val="28"/>
          <w:szCs w:val="28"/>
          <w:u w:val="single"/>
          <w:lang w:val="es-US"/>
        </w:rPr>
        <w:t>58</w:t>
      </w:r>
      <w:r w:rsidR="007D6FC5" w:rsidRPr="0078289D">
        <w:rPr>
          <w:sz w:val="28"/>
          <w:szCs w:val="28"/>
          <w:u w:val="single"/>
          <w:lang w:val="es-US"/>
        </w:rPr>
        <w:t xml:space="preserve"> </w:t>
      </w:r>
      <w:r w:rsidRPr="0078289D">
        <w:rPr>
          <w:i/>
          <w:color w:val="000000"/>
          <w:sz w:val="28"/>
          <w:szCs w:val="28"/>
          <w:u w:val="single" w:color="000000"/>
          <w:lang w:val="es-ES_tradnl" w:eastAsia="es-ES"/>
        </w:rPr>
        <w:t>de la Constitución Política.</w:t>
      </w: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color w:val="4B4949"/>
          <w:sz w:val="28"/>
          <w:szCs w:val="28"/>
          <w:u w:color="000000"/>
          <w:lang w:val="es-ES_tradnl" w:eastAsia="es-ES"/>
        </w:rPr>
      </w:pPr>
      <w:r w:rsidRPr="0078289D">
        <w:rPr>
          <w:i/>
          <w:color w:val="000000"/>
          <w:sz w:val="28"/>
          <w:szCs w:val="28"/>
          <w:u w:val="single" w:color="000000"/>
          <w:lang w:val="es-ES_tradnl" w:eastAsia="es-ES"/>
        </w:rPr>
        <w:t>En estos proyectos el área requerida para la construcción y operación debidamente delimitadas, le confiere a la entidad ejecutora o gestora del proyecto la primera opción de compra de todos los inmuebles comprendidos en tal zona, la cual podrá ejercer durante un periodo de tiempo no mayor a tres (3) años, contados a partir del acto de adjudicación del proyecto, el cual deberá ser registrado en el respectivo folio de matrícula inmobiliaria. Para proyectos de generación eléctrica que decida conformar la comisión tripartita, este plazo contará a partir de la aprobación del manual de valores unitarios</w:t>
      </w:r>
      <w:r w:rsidRPr="0078289D">
        <w:rPr>
          <w:i/>
          <w:sz w:val="28"/>
          <w:szCs w:val="28"/>
          <w:u w:val="single"/>
          <w:lang w:val="es-ES_tradnl" w:eastAsia="es-ES"/>
        </w:rPr>
        <w:t xml:space="preserve">, y para los demás proyectos de </w:t>
      </w:r>
      <w:r w:rsidRPr="0078289D">
        <w:rPr>
          <w:i/>
          <w:sz w:val="28"/>
          <w:szCs w:val="28"/>
          <w:u w:val="single"/>
          <w:lang w:val="es-ES_tradnl" w:eastAsia="es-ES"/>
        </w:rPr>
        <w:lastRenderedPageBreak/>
        <w:t>generación, este plazo se contará a partir de la ejecutoria del acto administrativo mediante el cual se otorga la licencia ambiental</w:t>
      </w:r>
      <w:r w:rsidRPr="0078289D">
        <w:rPr>
          <w:i/>
          <w:sz w:val="28"/>
          <w:szCs w:val="28"/>
          <w:u w:color="000000"/>
          <w:lang w:val="es-ES_tradnl" w:eastAsia="es-ES"/>
        </w:rPr>
        <w:t>.</w:t>
      </w: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color w:val="000000"/>
          <w:sz w:val="28"/>
          <w:szCs w:val="28"/>
          <w:u w:val="single" w:color="000000"/>
          <w:lang w:val="es-ES_tradnl" w:eastAsia="es-ES"/>
        </w:rPr>
      </w:pPr>
      <w:r w:rsidRPr="0078289D">
        <w:rPr>
          <w:i/>
          <w:color w:val="000000"/>
          <w:sz w:val="28"/>
          <w:szCs w:val="28"/>
          <w:u w:val="single" w:color="000000"/>
          <w:lang w:val="es-ES_tradnl" w:eastAsia="es-ES"/>
        </w:rPr>
        <w:t>La CIIPE podrá conferirle la categoría PINE a proyectos que hubiesen sido declarados de utilidad pública e interés social antes de la entrada en vigencia de esta ley.</w:t>
      </w:r>
    </w:p>
    <w:p w:rsidR="00412096" w:rsidRPr="0078289D" w:rsidRDefault="00412096" w:rsidP="0078289D">
      <w:pPr>
        <w:pBdr>
          <w:top w:val="none" w:sz="0" w:space="0" w:color="auto"/>
          <w:left w:val="none" w:sz="0" w:space="0" w:color="auto"/>
          <w:bottom w:val="none" w:sz="0" w:space="0" w:color="auto"/>
          <w:right w:val="none" w:sz="0" w:space="0" w:color="auto"/>
        </w:pBdr>
        <w:ind w:left="284"/>
        <w:contextualSpacing/>
        <w:jc w:val="both"/>
        <w:rPr>
          <w:i/>
          <w:color w:val="000000"/>
          <w:sz w:val="28"/>
          <w:szCs w:val="28"/>
          <w:u w:val="single"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contextualSpacing/>
        <w:jc w:val="both"/>
        <w:rPr>
          <w:b/>
          <w:i/>
          <w:color w:val="000000"/>
          <w:sz w:val="28"/>
          <w:szCs w:val="28"/>
          <w:u w:color="000000"/>
          <w:lang w:val="es-ES_tradnl" w:eastAsia="es-ES"/>
        </w:rPr>
      </w:pPr>
      <w:r w:rsidRPr="0078289D">
        <w:rPr>
          <w:b/>
          <w:color w:val="000000"/>
          <w:sz w:val="28"/>
          <w:szCs w:val="28"/>
          <w:u w:color="000000"/>
          <w:lang w:val="es-ES_tradnl" w:eastAsia="es-ES"/>
        </w:rPr>
        <w:t>…</w:t>
      </w:r>
    </w:p>
    <w:p w:rsidR="00412096" w:rsidRPr="0078289D" w:rsidRDefault="00412096" w:rsidP="0078289D">
      <w:pPr>
        <w:pBdr>
          <w:top w:val="none" w:sz="0" w:space="0" w:color="auto"/>
          <w:left w:val="none" w:sz="0" w:space="0" w:color="auto"/>
          <w:bottom w:val="none" w:sz="0" w:space="0" w:color="auto"/>
          <w:right w:val="none" w:sz="0" w:space="0" w:color="auto"/>
        </w:pBdr>
        <w:ind w:left="284"/>
        <w:contextualSpacing/>
        <w:jc w:val="both"/>
        <w:rPr>
          <w:b/>
          <w:i/>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sz w:val="28"/>
          <w:szCs w:val="28"/>
          <w:u w:color="000000"/>
          <w:lang w:val="es-ES_tradnl" w:eastAsia="es-ES"/>
        </w:rPr>
      </w:pPr>
      <w:bookmarkStart w:id="9" w:name="52"/>
      <w:bookmarkEnd w:id="9"/>
      <w:r w:rsidRPr="0078289D">
        <w:rPr>
          <w:i/>
          <w:sz w:val="28"/>
          <w:szCs w:val="28"/>
          <w:u w:color="000000"/>
          <w:lang w:val="es-ES_tradnl" w:eastAsia="es-ES"/>
        </w:rPr>
        <w:t>“ARTÍCULO 52. SERVIDUMBRE EN PROYECTOS DE INTERÉS NACIONAL Y ESTRATÉGICOS (PINE).Adiciónese el artículo 32A a la Ley 56 de 1981, el cual quedará así:</w:t>
      </w: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i/>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ind w:left="284"/>
        <w:jc w:val="both"/>
        <w:rPr>
          <w:color w:val="4B4949"/>
          <w:sz w:val="28"/>
          <w:szCs w:val="28"/>
          <w:u w:color="000000"/>
          <w:lang w:val="es-ES_tradnl" w:eastAsia="es-ES"/>
        </w:rPr>
      </w:pPr>
      <w:r w:rsidRPr="0078289D">
        <w:rPr>
          <w:i/>
          <w:sz w:val="28"/>
          <w:szCs w:val="28"/>
          <w:u w:color="000000"/>
          <w:lang w:val="es-ES_tradnl" w:eastAsia="es-ES"/>
        </w:rPr>
        <w:t>“Artículo 32A. El Gobierno nacional reglamentará el procedimiento para la imposición de servidumbres requeridas para el desarrollo de proyectos de generación y trasmisión de energía eléctrica</w:t>
      </w:r>
      <w:r w:rsidRPr="0078289D">
        <w:rPr>
          <w:color w:val="4B4949"/>
          <w:sz w:val="28"/>
          <w:szCs w:val="28"/>
          <w:u w:color="000000"/>
          <w:lang w:val="es-ES_tradnl" w:eastAsia="es-ES"/>
        </w:rPr>
        <w:t xml:space="preserve"> </w:t>
      </w:r>
      <w:r w:rsidRPr="0078289D">
        <w:rPr>
          <w:i/>
          <w:color w:val="000000"/>
          <w:sz w:val="28"/>
          <w:szCs w:val="28"/>
          <w:u w:val="single" w:color="000000"/>
          <w:lang w:val="es-ES_tradnl" w:eastAsia="es-ES"/>
        </w:rPr>
        <w:t>que hayan sido calificados de interés nacional y estratégico por la Comisión Intersectorial de Infraestructura y Proyectos Estratégicos (CIIPE)”.</w:t>
      </w:r>
    </w:p>
    <w:p w:rsidR="00412096" w:rsidRPr="0078289D" w:rsidRDefault="00412096" w:rsidP="0078289D">
      <w:pPr>
        <w:pBdr>
          <w:top w:val="none" w:sz="0" w:space="0" w:color="auto"/>
          <w:left w:val="none" w:sz="0" w:space="0" w:color="auto"/>
          <w:bottom w:val="none" w:sz="0" w:space="0" w:color="auto"/>
          <w:right w:val="none" w:sz="0" w:space="0" w:color="auto"/>
        </w:pBdr>
        <w:ind w:left="284"/>
        <w:contextualSpacing/>
        <w:jc w:val="both"/>
        <w:rPr>
          <w:b/>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b/>
          <w:sz w:val="28"/>
          <w:szCs w:val="28"/>
          <w:lang w:val="es-US"/>
        </w:rPr>
      </w:pPr>
      <w:r w:rsidRPr="0078289D">
        <w:rPr>
          <w:b/>
          <w:sz w:val="28"/>
          <w:szCs w:val="28"/>
          <w:lang w:val="es-US"/>
        </w:rPr>
        <w:t>Concepto de la violaci</w:t>
      </w:r>
      <w:r w:rsidR="00293C04" w:rsidRPr="0078289D">
        <w:rPr>
          <w:b/>
          <w:sz w:val="28"/>
          <w:szCs w:val="28"/>
          <w:lang w:val="es-US"/>
        </w:rPr>
        <w:t>ó</w:t>
      </w:r>
      <w:r w:rsidRPr="0078289D">
        <w:rPr>
          <w:b/>
          <w:sz w:val="28"/>
          <w:szCs w:val="28"/>
          <w:lang w:val="es-US"/>
        </w:rPr>
        <w:t>n</w:t>
      </w: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Como </w:t>
      </w:r>
      <w:r w:rsidRPr="0078289D">
        <w:rPr>
          <w:b/>
          <w:sz w:val="28"/>
          <w:szCs w:val="28"/>
          <w:lang w:val="es-ES_tradnl"/>
        </w:rPr>
        <w:t xml:space="preserve">primer cargo, </w:t>
      </w:r>
      <w:r w:rsidRPr="0078289D">
        <w:rPr>
          <w:sz w:val="28"/>
          <w:szCs w:val="28"/>
          <w:lang w:val="es-ES_tradnl"/>
        </w:rPr>
        <w:t xml:space="preserve">los accionantes señalan que la creación del Sistema Nacional de Proyectos Estratégicos (abreviado indistintamente </w:t>
      </w:r>
      <w:r w:rsidR="00431FE1" w:rsidRPr="0078289D">
        <w:rPr>
          <w:sz w:val="28"/>
          <w:szCs w:val="28"/>
          <w:lang w:val="es-ES_tradnl"/>
        </w:rPr>
        <w:t xml:space="preserve">en las disposiciones demandadas </w:t>
      </w:r>
      <w:r w:rsidRPr="0078289D">
        <w:rPr>
          <w:sz w:val="28"/>
          <w:szCs w:val="28"/>
          <w:lang w:val="es-ES_tradnl"/>
        </w:rPr>
        <w:t xml:space="preserve">con las siglas SINAPINE y SINAPE) y el otorgamiento de facultades exclusivas a la </w:t>
      </w:r>
      <w:r w:rsidRPr="0078289D">
        <w:rPr>
          <w:sz w:val="28"/>
          <w:szCs w:val="28"/>
          <w:lang w:val="es-ES"/>
        </w:rPr>
        <w:t>Comisión Intersectorial de Infraestructura y Proyectos Estratégicos (CIIPE)</w:t>
      </w:r>
      <w:r w:rsidRPr="0078289D">
        <w:rPr>
          <w:i/>
          <w:sz w:val="28"/>
          <w:szCs w:val="28"/>
          <w:lang w:val="es-ES"/>
        </w:rPr>
        <w:t xml:space="preserve"> </w:t>
      </w:r>
      <w:r w:rsidRPr="0078289D">
        <w:rPr>
          <w:sz w:val="28"/>
          <w:szCs w:val="28"/>
          <w:lang w:val="es-ES_tradnl"/>
        </w:rPr>
        <w:t xml:space="preserve">para su ordenación, vulneran los principios de descentralización administrativa, autonomía de las entidades territoriales, coordinación, concurrencia y subsidiariedad. </w:t>
      </w:r>
    </w:p>
    <w:p w:rsidR="00412096" w:rsidRPr="0078289D" w:rsidRDefault="00412096" w:rsidP="0078289D">
      <w:pPr>
        <w:pBdr>
          <w:top w:val="none" w:sz="0" w:space="0" w:color="auto"/>
          <w:left w:val="none" w:sz="0" w:space="0" w:color="auto"/>
          <w:bottom w:val="none" w:sz="0" w:space="0" w:color="auto"/>
          <w:right w:val="none" w:sz="0" w:space="0" w:color="auto"/>
        </w:pBdr>
        <w:jc w:val="both"/>
        <w:rPr>
          <w:b/>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Inician su exposición señalando la importancia del </w:t>
      </w:r>
      <w:r w:rsidRPr="0078289D">
        <w:rPr>
          <w:b/>
          <w:sz w:val="28"/>
          <w:szCs w:val="28"/>
          <w:lang w:val="es-ES_tradnl"/>
        </w:rPr>
        <w:t>principio de autonomía territorial</w:t>
      </w:r>
      <w:r w:rsidRPr="0078289D">
        <w:rPr>
          <w:sz w:val="28"/>
          <w:szCs w:val="28"/>
          <w:lang w:val="es-ES_tradnl"/>
        </w:rPr>
        <w:t xml:space="preserve">, consagrado en el artículo 1º superior. Así mismo, manifiestan que la jurisprudencia de la Corte constitucional, particularmente de las </w:t>
      </w:r>
      <w:r w:rsidR="00643342" w:rsidRPr="0078289D">
        <w:rPr>
          <w:b/>
          <w:sz w:val="28"/>
          <w:szCs w:val="28"/>
          <w:lang w:val="es-ES_tradnl"/>
        </w:rPr>
        <w:t>Sentencias C-894 de 2003 y C–</w:t>
      </w:r>
      <w:r w:rsidRPr="0078289D">
        <w:rPr>
          <w:b/>
          <w:sz w:val="28"/>
          <w:szCs w:val="28"/>
          <w:lang w:val="es-ES_tradnl"/>
        </w:rPr>
        <w:t>123 de 2014</w:t>
      </w:r>
      <w:r w:rsidRPr="0078289D">
        <w:rPr>
          <w:sz w:val="28"/>
          <w:szCs w:val="28"/>
          <w:lang w:val="es-ES_tradnl"/>
        </w:rPr>
        <w:t xml:space="preserve">, expresa que la autonomía territorial debe realizarse </w:t>
      </w:r>
      <w:r w:rsidRPr="0078289D">
        <w:rPr>
          <w:i/>
          <w:sz w:val="28"/>
          <w:szCs w:val="28"/>
          <w:lang w:val="es-ES_tradnl"/>
        </w:rPr>
        <w:t>“en la medida de lo posible”</w:t>
      </w:r>
      <w:r w:rsidRPr="0078289D">
        <w:rPr>
          <w:sz w:val="28"/>
          <w:szCs w:val="28"/>
          <w:lang w:val="es-ES_tradnl"/>
        </w:rPr>
        <w:t xml:space="preserve"> y que, por lo tanto, su limitación sólo puede corresponder a un interés superior.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Aseguran que en el caso analizado se desconocen los principio</w:t>
      </w:r>
      <w:r w:rsidR="00431FE1" w:rsidRPr="0078289D">
        <w:rPr>
          <w:sz w:val="28"/>
          <w:szCs w:val="28"/>
          <w:lang w:val="es-ES_tradnl"/>
        </w:rPr>
        <w:t>s</w:t>
      </w:r>
      <w:r w:rsidRPr="0078289D">
        <w:rPr>
          <w:sz w:val="28"/>
          <w:szCs w:val="28"/>
          <w:lang w:val="es-ES_tradnl"/>
        </w:rPr>
        <w:t xml:space="preserve"> de autonomía territorial, coordinación, concurrencia y subsidiariedad, toda vez que se desplazan las competencias de las entidades territoriales en materia de regulación, uso, planeación y gestión del suelo, y éstas son otorgadas a una comisión conformada por entidades del nivel central, a saber, la Comisión Intersectorial de Infraestructura y Proyectos Estratégicos (CIIPE). En este sentido, las normas facultan al Gobierno Nacional a seleccionar, ordenar e incluir los PINES en el Sistema Nacional de Proyectos de Interés Nacional y Estratégicos, y a adoptar decisiones que afectan necesariamente a entidades del nivel regional. </w:t>
      </w:r>
    </w:p>
    <w:p w:rsidR="00412096" w:rsidRPr="0078289D" w:rsidRDefault="00412096" w:rsidP="0078289D">
      <w:pPr>
        <w:pBdr>
          <w:top w:val="none" w:sz="0" w:space="0" w:color="auto"/>
          <w:left w:val="none" w:sz="0" w:space="0" w:color="auto"/>
          <w:bottom w:val="none" w:sz="0" w:space="0" w:color="auto"/>
          <w:right w:val="none" w:sz="0" w:space="0" w:color="auto"/>
        </w:pBdr>
        <w:jc w:val="both"/>
        <w:rPr>
          <w:i/>
          <w:sz w:val="28"/>
          <w:szCs w:val="28"/>
          <w:u w:val="single"/>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lastRenderedPageBreak/>
        <w:t xml:space="preserve">A juicio de los accionantes, la norma no indica la existencia de un interés superior que indique la razonabilidad y proporcionalidad de la medida, sino que se limita a incluir la eliminación del referido principio. Así, señalan: </w:t>
      </w:r>
      <w:r w:rsidRPr="0078289D">
        <w:rPr>
          <w:i/>
          <w:sz w:val="28"/>
          <w:szCs w:val="28"/>
          <w:lang w:val="es-ES_tradnl"/>
        </w:rPr>
        <w:t xml:space="preserve">“En este caso no hay un interés superior que permita afirmar la razonabilidad y proporcionalidad de la medida, conforme a la cual una Comisión de carácter netamente nacional y de conformación cien por ciento por órganos del nivel central sea la que seleccionará y decidirá los proyectos que serán considerados como PINE, lo cual </w:t>
      </w:r>
      <w:r w:rsidRPr="0078289D">
        <w:rPr>
          <w:b/>
          <w:i/>
          <w:sz w:val="28"/>
          <w:szCs w:val="28"/>
          <w:u w:val="single"/>
          <w:lang w:val="es-ES_tradnl"/>
        </w:rPr>
        <w:t>más que un límite a la autonomía de las entidades territoriales, resulta en realidad un desconocimiento total de la misma, en la medida que entrega una decisión sobre asuntos de alta trascendencia local, exclusivamente a un ente del nivel central, sin siquiera dejar un margen de participación, concertación o coordinación con los territorios, donde precisamente dichos proyectos van a llevarse a cabo</w:t>
      </w:r>
      <w:r w:rsidRPr="0078289D">
        <w:rPr>
          <w:i/>
          <w:sz w:val="28"/>
          <w:szCs w:val="28"/>
          <w:lang w:val="es-ES_tradnl"/>
        </w:rPr>
        <w:t xml:space="preserve">”. </w:t>
      </w:r>
      <w:r w:rsidRPr="0078289D">
        <w:rPr>
          <w:sz w:val="28"/>
          <w:szCs w:val="28"/>
          <w:lang w:val="es-ES_tradnl"/>
        </w:rPr>
        <w:t>(Subraya y negrilla fuera del texto)</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Como </w:t>
      </w:r>
      <w:r w:rsidRPr="0078289D">
        <w:rPr>
          <w:b/>
          <w:sz w:val="28"/>
          <w:szCs w:val="28"/>
          <w:lang w:val="es-ES_tradnl"/>
        </w:rPr>
        <w:t>segundo cargo</w:t>
      </w:r>
      <w:r w:rsidRPr="0078289D">
        <w:rPr>
          <w:sz w:val="28"/>
          <w:szCs w:val="28"/>
          <w:lang w:val="es-ES_tradnl"/>
        </w:rPr>
        <w:t xml:space="preserve">, manifiestan que las normas acusadas </w:t>
      </w:r>
      <w:r w:rsidRPr="0078289D">
        <w:rPr>
          <w:b/>
          <w:sz w:val="28"/>
          <w:szCs w:val="28"/>
          <w:lang w:val="es-ES_tradnl"/>
        </w:rPr>
        <w:t xml:space="preserve">desconocen las funciones de los municipios y de los concejos relacionadas con el ordenamiento del territorio y el uso del suelo, </w:t>
      </w:r>
      <w:r w:rsidRPr="0078289D">
        <w:rPr>
          <w:sz w:val="28"/>
          <w:szCs w:val="28"/>
          <w:lang w:val="es-ES_tradnl"/>
        </w:rPr>
        <w:t>consagradas</w:t>
      </w:r>
      <w:r w:rsidRPr="0078289D">
        <w:rPr>
          <w:b/>
          <w:sz w:val="28"/>
          <w:szCs w:val="28"/>
          <w:lang w:val="es-ES_tradnl"/>
        </w:rPr>
        <w:t xml:space="preserve"> </w:t>
      </w:r>
      <w:r w:rsidRPr="0078289D">
        <w:rPr>
          <w:sz w:val="28"/>
          <w:szCs w:val="28"/>
          <w:lang w:val="es-ES_tradnl"/>
        </w:rPr>
        <w:t>en los artículos 311 y 313 de la Constitución Política. Señalan que las normas vulneran el principio de descentralización al facultar exclusivamente a una comisión del orden nacional a decidir sobre aspectos que tienen incidencia local o regional. En particular, señalan que se pone en riesgo la coherencia de los Planes de Ordenamiento Territorial (POT) con los PINE, toda vez que se permite a una autoridad del orden nacional adoptar competencias asignadas constitucionalmente a los concejos. Al respecto, indicaron:</w:t>
      </w: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ind w:left="567"/>
        <w:contextualSpacing/>
        <w:jc w:val="both"/>
        <w:rPr>
          <w:i/>
          <w:sz w:val="28"/>
          <w:szCs w:val="28"/>
          <w:lang w:val="es-ES_tradnl"/>
        </w:rPr>
      </w:pPr>
      <w:r w:rsidRPr="0078289D">
        <w:rPr>
          <w:i/>
          <w:sz w:val="28"/>
          <w:szCs w:val="28"/>
          <w:lang w:val="es-ES_tradnl"/>
        </w:rPr>
        <w:t xml:space="preserve">“El hecho de que sea la Comisión Intersectorial de Infraestructura y Proyectos Estratégicos (CIIPE), conformada solo por entidades del nivel nacional, la que defina y señale de manera exclusiva y sin participación alguna de las entidades territoriales las condiciones para el desarrollo territorial, significa en términos </w:t>
      </w:r>
      <w:r w:rsidRPr="0078289D">
        <w:rPr>
          <w:b/>
          <w:i/>
          <w:sz w:val="28"/>
          <w:szCs w:val="28"/>
          <w:u w:val="single"/>
          <w:lang w:val="es-ES_tradnl"/>
        </w:rPr>
        <w:t>prácticos la sustracción de los concejos distritales y municipales de la facultad de regular los usos del suelo y el desconocimiento de los principios constitucionales de descentralización contenidos en la Carta Política de 1991. Nada dicen las normas sobre participación de los entes territoriales en algún momento del ejercicio, siendo exclusivamente la CIIPE la que seleccionará, gestionará y hará seguimiento a los Proyectos PINES”</w:t>
      </w:r>
      <w:r w:rsidRPr="0078289D">
        <w:rPr>
          <w:i/>
          <w:sz w:val="28"/>
          <w:szCs w:val="28"/>
          <w:lang w:val="es-ES_tradnl"/>
        </w:rPr>
        <w:t xml:space="preserve">.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Como </w:t>
      </w:r>
      <w:r w:rsidRPr="0078289D">
        <w:rPr>
          <w:b/>
          <w:sz w:val="28"/>
          <w:szCs w:val="28"/>
          <w:lang w:val="es-ES_tradnl"/>
        </w:rPr>
        <w:t xml:space="preserve">tercer cargo, </w:t>
      </w:r>
      <w:r w:rsidRPr="0078289D">
        <w:rPr>
          <w:sz w:val="28"/>
          <w:szCs w:val="28"/>
          <w:lang w:val="es-ES_tradnl"/>
        </w:rPr>
        <w:t xml:space="preserve">los accionantes manifiestan que las normas acusadas vulneran los </w:t>
      </w:r>
      <w:r w:rsidRPr="0078289D">
        <w:rPr>
          <w:b/>
          <w:sz w:val="28"/>
          <w:szCs w:val="28"/>
          <w:lang w:val="es-ES_tradnl"/>
        </w:rPr>
        <w:t>principios de participación democrática, el derecho de las comunidades a participar en las decisiones que las afectan y los deberes del Estado en la planificación del manejo y aprovechamiento de los recursos naturales para el desarrollo sostenible</w:t>
      </w:r>
      <w:r w:rsidRPr="0078289D">
        <w:rPr>
          <w:sz w:val="28"/>
          <w:szCs w:val="28"/>
          <w:lang w:val="es-ES_tradnl"/>
        </w:rPr>
        <w:t xml:space="preserve">, en tanto la creación del SINAPE subordina a las entidades territoriales a las decisiones adoptadas por el nivel central.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Como </w:t>
      </w:r>
      <w:r w:rsidRPr="0078289D">
        <w:rPr>
          <w:b/>
          <w:sz w:val="28"/>
          <w:szCs w:val="28"/>
          <w:lang w:val="es-ES_tradnl"/>
        </w:rPr>
        <w:t xml:space="preserve">cuarto cargo </w:t>
      </w:r>
      <w:r w:rsidRPr="0078289D">
        <w:rPr>
          <w:sz w:val="28"/>
          <w:szCs w:val="28"/>
          <w:lang w:val="es-ES_tradnl"/>
        </w:rPr>
        <w:t>los demandantes señalan que la</w:t>
      </w:r>
      <w:r w:rsidRPr="0078289D">
        <w:rPr>
          <w:b/>
          <w:sz w:val="28"/>
          <w:szCs w:val="28"/>
          <w:lang w:val="es-ES_tradnl"/>
        </w:rPr>
        <w:t xml:space="preserve"> declaratoria de la ejecución y desarrollo de los PINE como de utilidad pública e interés </w:t>
      </w:r>
      <w:r w:rsidRPr="0078289D">
        <w:rPr>
          <w:b/>
          <w:sz w:val="28"/>
          <w:szCs w:val="28"/>
          <w:lang w:val="es-ES_tradnl"/>
        </w:rPr>
        <w:lastRenderedPageBreak/>
        <w:t xml:space="preserve">social  </w:t>
      </w:r>
      <w:r w:rsidRPr="0078289D">
        <w:rPr>
          <w:sz w:val="28"/>
          <w:szCs w:val="28"/>
          <w:lang w:val="es-ES_tradnl"/>
        </w:rPr>
        <w:t xml:space="preserve">establecida en el artículo 49 </w:t>
      </w:r>
      <w:r w:rsidRPr="0078289D">
        <w:rPr>
          <w:b/>
          <w:sz w:val="28"/>
          <w:szCs w:val="28"/>
          <w:lang w:val="es-ES_tradnl"/>
        </w:rPr>
        <w:t xml:space="preserve">excede la libertad de configuración del legislador y viola el debido proceso y la Constitución Ecológica. </w:t>
      </w:r>
      <w:r w:rsidRPr="0078289D">
        <w:rPr>
          <w:sz w:val="28"/>
          <w:szCs w:val="28"/>
          <w:lang w:val="es-ES_tradnl"/>
        </w:rPr>
        <w:t xml:space="preserve">Al respecto, presentan tres argumentos. En primer lugar, indican que los PINE son una categoría de indeterminada, por lo que atribuirles la calidad de actividades de </w:t>
      </w:r>
      <w:r w:rsidRPr="0078289D">
        <w:rPr>
          <w:i/>
          <w:sz w:val="28"/>
          <w:szCs w:val="28"/>
          <w:lang w:val="es-ES_tradnl"/>
        </w:rPr>
        <w:t>“utilidad pública e interés social”,</w:t>
      </w:r>
      <w:r w:rsidRPr="0078289D">
        <w:rPr>
          <w:sz w:val="28"/>
          <w:szCs w:val="28"/>
          <w:lang w:val="es-ES_tradnl"/>
        </w:rPr>
        <w:t xml:space="preserve"> sin realizar un análisis puntual de cada caso concreto, implicaría un desconocimiento del derecho fundamental al debido proceso y del principio de seguridad jurídica, especialmente en aquellos casos en que se faculte al Estado a efectuar expropiaciones por razón del adelantamiento de un proyecto PINE. En segundo lugar, señalan que la norma no contempla una justificación o</w:t>
      </w:r>
      <w:r w:rsidRPr="0078289D">
        <w:rPr>
          <w:i/>
          <w:sz w:val="28"/>
          <w:szCs w:val="28"/>
          <w:lang w:val="es-ES_tradnl"/>
        </w:rPr>
        <w:t xml:space="preserve"> causa expropiandi “lo suficientemente contundente”</w:t>
      </w:r>
      <w:r w:rsidRPr="0078289D">
        <w:rPr>
          <w:sz w:val="28"/>
          <w:szCs w:val="28"/>
          <w:lang w:val="es-ES_tradnl"/>
        </w:rPr>
        <w:t xml:space="preserve"> para legitimar la medida de expropiación y limitar derechos de propiedad de terceros.</w:t>
      </w:r>
      <w:r w:rsidRPr="0078289D">
        <w:rPr>
          <w:i/>
          <w:sz w:val="28"/>
          <w:szCs w:val="28"/>
          <w:lang w:val="es-ES_tradnl"/>
        </w:rPr>
        <w:t xml:space="preserve"> </w:t>
      </w:r>
      <w:r w:rsidRPr="0078289D">
        <w:rPr>
          <w:sz w:val="28"/>
          <w:szCs w:val="28"/>
          <w:lang w:val="es-ES_tradnl"/>
        </w:rPr>
        <w:t>En tercer lugar, resaltan que la norma tampoco contempla el procedimiento para efectuar la expropiación pese a que éste debe detallarse, incluyéndose, por ejemplo, la autoridad competente para practicarla. Finalmente, manifiestan que la priorización que otorga a este tipo de proyectos al ser clasificados como de “</w:t>
      </w:r>
      <w:r w:rsidRPr="0078289D">
        <w:rPr>
          <w:i/>
          <w:sz w:val="28"/>
          <w:szCs w:val="28"/>
          <w:lang w:val="es-ES_tradnl"/>
        </w:rPr>
        <w:t>utilidad pública e interés social</w:t>
      </w:r>
      <w:r w:rsidRPr="0078289D">
        <w:rPr>
          <w:sz w:val="28"/>
          <w:szCs w:val="28"/>
          <w:lang w:val="es-ES_tradnl"/>
        </w:rPr>
        <w:t xml:space="preserve">” contraría los mandatos de la Constitución Ecológica, toda vez que se parte del supuesto erróneo de que todos los proyectos son beneficiosos para la comunidad, y se pierden de vista los graves impactos que éstos tienen en el ambiente. </w:t>
      </w:r>
    </w:p>
    <w:p w:rsidR="00BA4939" w:rsidRPr="0078289D" w:rsidRDefault="00BA493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Concepto del Procurador General de la Nación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b/>
          <w:i/>
          <w:color w:val="000000"/>
          <w:sz w:val="28"/>
          <w:szCs w:val="28"/>
          <w:u w:color="000000"/>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u w:color="000000"/>
          <w:lang w:val="es-ES_tradnl" w:eastAsia="es-ES"/>
        </w:rPr>
      </w:pPr>
      <w:r w:rsidRPr="0078289D">
        <w:rPr>
          <w:color w:val="000000"/>
          <w:sz w:val="28"/>
          <w:szCs w:val="28"/>
          <w:u w:color="000000"/>
          <w:lang w:val="es-ES_tradnl" w:eastAsia="es-ES"/>
        </w:rPr>
        <w:t xml:space="preserve">El Procurador se pronuncia en favor de la </w:t>
      </w:r>
      <w:r w:rsidRPr="0078289D">
        <w:rPr>
          <w:b/>
          <w:color w:val="000000"/>
          <w:sz w:val="28"/>
          <w:szCs w:val="28"/>
          <w:u w:color="000000"/>
          <w:lang w:val="es-ES_tradnl" w:eastAsia="es-ES"/>
        </w:rPr>
        <w:t xml:space="preserve">exequibilidad </w:t>
      </w:r>
      <w:r w:rsidRPr="0078289D">
        <w:rPr>
          <w:color w:val="000000"/>
          <w:sz w:val="28"/>
          <w:szCs w:val="28"/>
          <w:u w:color="000000"/>
          <w:lang w:val="es-ES_tradnl" w:eastAsia="es-ES"/>
        </w:rPr>
        <w:t>de la norma demandada. Consideró que el hecho de que la CIIPE tuviera la competencia exclusiva para decidir cuáles proyectos tienen la calidad de PINE no vulneraba la autonomía de las entidades territoriales. Para el Procurador, con la norma no se genera una relación de subordinación entre las autoridades nacionales y el nivel descentralizado, por cuanto la decisión adoptada por la CIIPE no implica una inclusión automática en los Planes de Ordenamiento Territorial de las entidades territoriales</w:t>
      </w:r>
      <w:r w:rsidRPr="0078289D">
        <w:rPr>
          <w:color w:val="000000"/>
          <w:sz w:val="28"/>
          <w:szCs w:val="28"/>
          <w:u w:color="000000"/>
          <w:vertAlign w:val="superscript"/>
          <w:lang w:val="es-ES_tradnl" w:eastAsia="es-ES"/>
        </w:rPr>
        <w:footnoteReference w:id="67"/>
      </w:r>
      <w:r w:rsidRPr="0078289D">
        <w:rPr>
          <w:color w:val="000000"/>
          <w:sz w:val="28"/>
          <w:szCs w:val="28"/>
          <w:u w:color="000000"/>
          <w:lang w:val="es-ES_tradnl" w:eastAsia="es-ES"/>
        </w:rPr>
        <w:t xml:space="preserve">. Adicionalmente, indica que las normas no limitan las competencias de los concejos para pronunciarse sobre la inclusión de los PINE en los Planes de Ordenamiento Territorial ni impiden a los ciudadanos ejercer los mecanismos de participación popular. </w:t>
      </w:r>
    </w:p>
    <w:p w:rsidR="00385847" w:rsidRPr="0078289D" w:rsidRDefault="00385847"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Intervenciones de entidades públicas y de la ciudadanía</w:t>
      </w:r>
    </w:p>
    <w:p w:rsidR="00412096" w:rsidRPr="0078289D" w:rsidRDefault="00412096" w:rsidP="0078289D">
      <w:pPr>
        <w:pBdr>
          <w:top w:val="none" w:sz="0" w:space="0" w:color="auto"/>
          <w:left w:val="none" w:sz="0" w:space="0" w:color="auto"/>
          <w:bottom w:val="none" w:sz="0" w:space="0" w:color="auto"/>
          <w:right w:val="none" w:sz="0" w:space="0" w:color="auto"/>
        </w:pBdr>
        <w:jc w:val="both"/>
        <w:rPr>
          <w:b/>
          <w:sz w:val="28"/>
          <w:szCs w:val="28"/>
          <w:lang w:val="es-US"/>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Ministerio de Ambiente y Desarrollo Sostenible</w:t>
      </w:r>
    </w:p>
    <w:p w:rsidR="00412096" w:rsidRPr="0078289D" w:rsidRDefault="00412096"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Ministerio de Ambiente y Desarrollo Sostenible solicita la </w:t>
      </w:r>
      <w:r w:rsidRPr="0078289D">
        <w:rPr>
          <w:b/>
          <w:sz w:val="28"/>
          <w:szCs w:val="28"/>
          <w:lang w:val="es-ES_tradnl"/>
        </w:rPr>
        <w:t xml:space="preserve">exequibilidad </w:t>
      </w:r>
      <w:r w:rsidRPr="0078289D">
        <w:rPr>
          <w:sz w:val="28"/>
          <w:szCs w:val="28"/>
          <w:lang w:val="es-ES_tradnl"/>
        </w:rPr>
        <w:t xml:space="preserve">de las normas demandadas y en particular, del artículo 49 y la expresión acusada del artículo 52 de la Ley 1753 de 2015.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lastRenderedPageBreak/>
        <w:t>Señala que, contrario a lo aducido por los demandantes, el Legislador actuó en el marco de la autonomía y límites impuestos por numeral 7º del el artículo 150 constitucional</w:t>
      </w:r>
      <w:r w:rsidRPr="0078289D">
        <w:rPr>
          <w:sz w:val="28"/>
          <w:szCs w:val="28"/>
          <w:vertAlign w:val="superscript"/>
          <w:lang w:val="es-ES_tradnl"/>
        </w:rPr>
        <w:footnoteReference w:id="68"/>
      </w:r>
      <w:r w:rsidRPr="0078289D">
        <w:rPr>
          <w:sz w:val="28"/>
          <w:szCs w:val="28"/>
          <w:lang w:val="es-ES_tradnl"/>
        </w:rPr>
        <w:t xml:space="preserve">, que permite al Congreso de la República regular la creación y funcionamiento de las CAR, y por ende, la atribución y sustracción de competencias de estas entidades para otorgarlas a un órgano de carácter nacional con mayor experticia, como es el caso de la ANLA. En similar sentido, indica que las competencias de las CAR no son perpetuas ni devienen directamente de la Constitución, como pretenden hacerlo ver los accionantes. </w:t>
      </w:r>
    </w:p>
    <w:p w:rsidR="009064E2" w:rsidRPr="0078289D" w:rsidRDefault="009064E2"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Departamento Nacional de Planeación</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i/>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r w:rsidRPr="0078289D">
        <w:rPr>
          <w:sz w:val="28"/>
          <w:szCs w:val="28"/>
          <w:lang w:val="es-ES_tradnl"/>
        </w:rPr>
        <w:t xml:space="preserve">El Departamento Nacional de Planeación solicita la </w:t>
      </w:r>
      <w:r w:rsidRPr="0078289D">
        <w:rPr>
          <w:b/>
          <w:sz w:val="28"/>
          <w:szCs w:val="28"/>
          <w:lang w:val="es-ES_tradnl"/>
        </w:rPr>
        <w:t xml:space="preserve">inhibición </w:t>
      </w:r>
      <w:r w:rsidRPr="0078289D">
        <w:rPr>
          <w:sz w:val="28"/>
          <w:szCs w:val="28"/>
          <w:lang w:val="es-ES_tradnl"/>
        </w:rPr>
        <w:t xml:space="preserve">por falta de certeza de los cargos. La entidad señala que el tenor literal del artículo 50 de la Ley 1753 de 2015 preceptúa que a los proyectos PINE les serán aplicables las disposiciones contenidas en las Leyes 9 de 1989, 388 de 1997 y 1682 de 2013, y precisamente, a través de estas normas, el Legislador incluyó a las entidades territoriales como partícipes efectivas de este tipo de proyectos.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r w:rsidRPr="0078289D">
        <w:rPr>
          <w:sz w:val="28"/>
          <w:szCs w:val="28"/>
          <w:lang w:val="es-ES_tradnl"/>
        </w:rPr>
        <w:t xml:space="preserve">La entidad también presenta razones de fondo para solicitar, en forma subsidiaria, la </w:t>
      </w:r>
      <w:r w:rsidRPr="0078289D">
        <w:rPr>
          <w:b/>
          <w:sz w:val="28"/>
          <w:szCs w:val="28"/>
          <w:lang w:val="es-ES_tradnl"/>
        </w:rPr>
        <w:t xml:space="preserve">exequibilidad </w:t>
      </w:r>
      <w:r w:rsidRPr="0078289D">
        <w:rPr>
          <w:sz w:val="28"/>
          <w:szCs w:val="28"/>
          <w:lang w:val="es-ES_tradnl"/>
        </w:rPr>
        <w:t xml:space="preserve">de la norma acusada. Así, señala que las normas demandadas no incurren en una vulneración de los principios de autonomía territorial, coordinación, concurrencia, subsidiariedad ni participación constitucional. En primer lugar, manifiesta que de acuerdo con el artículo 49 de la Ley 1753 de 2015, la decisión inicial de seleccionar los proyectos de impacto nacional – PINE, y de decidir su conveniencia o inconveniencia, corresponde a la Nación </w:t>
      </w:r>
      <w:r w:rsidRPr="0078289D">
        <w:rPr>
          <w:i/>
          <w:sz w:val="28"/>
          <w:szCs w:val="28"/>
          <w:lang w:val="es-ES_tradnl"/>
        </w:rPr>
        <w:t xml:space="preserve">“porque sólo la Nación, como persona jurídica de derecho público, goza de la perspectiva requerida para valorar los efectos país </w:t>
      </w:r>
      <w:r w:rsidRPr="0078289D">
        <w:rPr>
          <w:sz w:val="28"/>
          <w:szCs w:val="28"/>
          <w:lang w:val="es-ES_tradnl"/>
        </w:rPr>
        <w:t xml:space="preserve">(sic) </w:t>
      </w:r>
      <w:r w:rsidRPr="0078289D">
        <w:rPr>
          <w:i/>
          <w:sz w:val="28"/>
          <w:szCs w:val="28"/>
          <w:lang w:val="es-ES_tradnl"/>
        </w:rPr>
        <w:t xml:space="preserve">de la decisión”. </w:t>
      </w:r>
      <w:r w:rsidRPr="0078289D">
        <w:rPr>
          <w:sz w:val="28"/>
          <w:szCs w:val="28"/>
          <w:lang w:val="es-ES_tradnl"/>
        </w:rPr>
        <w:t xml:space="preserve">En concepto de la interviniente, una injerencia de las entidades territoriales devendría en una ilegítima restricción de la autonomía de la Nación.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r w:rsidRPr="0078289D">
        <w:rPr>
          <w:sz w:val="28"/>
          <w:szCs w:val="28"/>
          <w:lang w:val="es-ES_tradnl"/>
        </w:rPr>
        <w:t xml:space="preserve">No obstante, señala que para la ejecución de los proyectos sí es necesaria la aplicación del principio de coordinación con las entidades territoriales, consagrado en el artículo 287 superior, y ello es reconocido en diversas normas relacionadas con el Plan Nacional de Desarrollo, las cuales deben ser aplicadas, pese a que no se incluyan expresamente en cada artículo. Así, una interpretación sistemática de la norma acusada debe apelar a la Ley 1454 de 2011, que establece una distribución de competencias entre la Nación y las entidades territoriales.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r w:rsidRPr="0078289D">
        <w:rPr>
          <w:sz w:val="28"/>
          <w:szCs w:val="28"/>
          <w:lang w:val="es-ES_tradnl"/>
        </w:rPr>
        <w:t xml:space="preserve">Igualmente, indica que el derecho de participación de las entidades territoriales se garantiza efectivamente, toda vez que los Planes de Ordenamiento Territorial son aprobados por los concejos. A su vez, dichos planes son incluidos a los PINE a través de un mecanismo de coordinación interinstitucional del CIIPE.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sz w:val="28"/>
          <w:szCs w:val="28"/>
          <w:lang w:val="es-ES_tradnl"/>
        </w:rPr>
      </w:pPr>
      <w:r w:rsidRPr="0078289D">
        <w:rPr>
          <w:sz w:val="28"/>
          <w:szCs w:val="28"/>
          <w:lang w:val="es-ES_tradnl"/>
        </w:rPr>
        <w:lastRenderedPageBreak/>
        <w:t xml:space="preserve">Finalmente, reitera el carácter de utilidad pública e interés social de la actividad minera por razón del alto impacto económico y social que pueden traer al país. </w:t>
      </w:r>
    </w:p>
    <w:p w:rsidR="00141B17" w:rsidRPr="0078289D" w:rsidRDefault="00141B17" w:rsidP="0078289D">
      <w:pPr>
        <w:pBdr>
          <w:top w:val="none" w:sz="0" w:space="0" w:color="auto"/>
          <w:left w:val="none" w:sz="0" w:space="0" w:color="auto"/>
          <w:bottom w:val="none" w:sz="0" w:space="0" w:color="auto"/>
          <w:right w:val="none" w:sz="0" w:space="0" w:color="auto"/>
        </w:pBdr>
        <w:tabs>
          <w:tab w:val="left" w:pos="3190"/>
        </w:tabs>
        <w:jc w:val="both"/>
        <w:rPr>
          <w:b/>
          <w:i/>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b/>
          <w:i/>
          <w:sz w:val="28"/>
          <w:szCs w:val="28"/>
          <w:lang w:val="es-ES_tradnl"/>
        </w:rPr>
      </w:pPr>
      <w:r w:rsidRPr="0078289D">
        <w:rPr>
          <w:b/>
          <w:i/>
          <w:sz w:val="28"/>
          <w:szCs w:val="28"/>
          <w:lang w:val="es-ES_tradnl"/>
        </w:rPr>
        <w:t>Intervenciones ciudadanas</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3190"/>
        </w:tabs>
        <w:jc w:val="both"/>
        <w:rPr>
          <w:b/>
          <w:i/>
          <w:sz w:val="28"/>
          <w:szCs w:val="28"/>
          <w:lang w:val="es-ES_tradnl"/>
        </w:rPr>
      </w:pPr>
    </w:p>
    <w:p w:rsidR="00412096" w:rsidRPr="0078289D" w:rsidRDefault="00412096" w:rsidP="0078289D">
      <w:pPr>
        <w:pStyle w:val="Prrafodelista"/>
        <w:numPr>
          <w:ilvl w:val="0"/>
          <w:numId w:val="13"/>
        </w:numPr>
        <w:pBdr>
          <w:top w:val="none" w:sz="0" w:space="0" w:color="auto"/>
          <w:left w:val="none" w:sz="0" w:space="0" w:color="auto"/>
          <w:bottom w:val="none" w:sz="0" w:space="0" w:color="auto"/>
          <w:right w:val="none" w:sz="0" w:space="0" w:color="auto"/>
        </w:pBdr>
        <w:tabs>
          <w:tab w:val="left" w:pos="1680"/>
        </w:tabs>
        <w:jc w:val="both"/>
        <w:rPr>
          <w:rFonts w:hAnsi="Times New Roman" w:cs="Times New Roman"/>
          <w:sz w:val="28"/>
          <w:szCs w:val="28"/>
        </w:rPr>
      </w:pPr>
      <w:r w:rsidRPr="0078289D">
        <w:rPr>
          <w:rFonts w:hAnsi="Times New Roman" w:cs="Times New Roman"/>
          <w:sz w:val="28"/>
          <w:szCs w:val="28"/>
        </w:rPr>
        <w:t xml:space="preserve">El Colectivo de Abogados José Alvear Restrepo coadyuva la demanda, y en consecuencia, la solicitud de </w:t>
      </w:r>
      <w:r w:rsidRPr="0078289D">
        <w:rPr>
          <w:rFonts w:hAnsi="Times New Roman" w:cs="Times New Roman"/>
          <w:b/>
          <w:sz w:val="28"/>
          <w:szCs w:val="28"/>
        </w:rPr>
        <w:t>inexequibilidad</w:t>
      </w:r>
      <w:r w:rsidRPr="0078289D">
        <w:rPr>
          <w:rFonts w:hAnsi="Times New Roman" w:cs="Times New Roman"/>
          <w:sz w:val="28"/>
          <w:szCs w:val="28"/>
        </w:rPr>
        <w:t xml:space="preserve"> de las normas acusadas. No obstante, agrega que el artículo 49 de la Ley 1753 de 2015 también vulnera los principios de descentralización, participación, soberanía e igualdad, el carácter pluriétnico de la Nación colombiana y la autonomía de las autoridades étnicas, toda vez que la norma no prevé ningún mecanismo de consulta frente a la delimitación de áreas de sus territorios para la realización de proyectos PINE.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1680"/>
        </w:tabs>
        <w:jc w:val="both"/>
        <w:rPr>
          <w:sz w:val="28"/>
          <w:szCs w:val="28"/>
          <w:lang w:val="es-ES_tradnl"/>
        </w:rPr>
      </w:pPr>
    </w:p>
    <w:p w:rsidR="00412096" w:rsidRPr="0078289D" w:rsidRDefault="00412096" w:rsidP="0078289D">
      <w:pPr>
        <w:pStyle w:val="Prrafodelista"/>
        <w:numPr>
          <w:ilvl w:val="0"/>
          <w:numId w:val="13"/>
        </w:numPr>
        <w:pBdr>
          <w:top w:val="none" w:sz="0" w:space="0" w:color="auto"/>
          <w:left w:val="none" w:sz="0" w:space="0" w:color="auto"/>
          <w:bottom w:val="none" w:sz="0" w:space="0" w:color="auto"/>
          <w:right w:val="none" w:sz="0" w:space="0" w:color="auto"/>
        </w:pBdr>
        <w:tabs>
          <w:tab w:val="left" w:pos="1680"/>
        </w:tabs>
        <w:jc w:val="both"/>
        <w:rPr>
          <w:rFonts w:hAnsi="Times New Roman" w:cs="Times New Roman"/>
          <w:sz w:val="28"/>
          <w:szCs w:val="28"/>
        </w:rPr>
      </w:pPr>
      <w:r w:rsidRPr="0078289D">
        <w:rPr>
          <w:rFonts w:hAnsi="Times New Roman" w:cs="Times New Roman"/>
          <w:sz w:val="28"/>
          <w:szCs w:val="28"/>
        </w:rPr>
        <w:t xml:space="preserve">El CINEP coadyuva las pretensiones de la demanda, y resalta que la creación de áreas reservadas para la minería es </w:t>
      </w:r>
      <w:r w:rsidRPr="0078289D">
        <w:rPr>
          <w:rFonts w:hAnsi="Times New Roman" w:cs="Times New Roman"/>
          <w:b/>
          <w:sz w:val="28"/>
          <w:szCs w:val="28"/>
        </w:rPr>
        <w:t>inconstitucional</w:t>
      </w:r>
      <w:r w:rsidRPr="0078289D">
        <w:rPr>
          <w:rFonts w:hAnsi="Times New Roman" w:cs="Times New Roman"/>
          <w:sz w:val="28"/>
          <w:szCs w:val="28"/>
        </w:rPr>
        <w:t xml:space="preserve">, pues ésta no puede ser el resultado de una imposición del Estado central, sino de un proceso de concertación y participación de las autoridades locales. Éstas, a su vez, tienen la obligación de consultar y participar en la adopción de la decisión al constituyente primario.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1680"/>
        </w:tabs>
        <w:jc w:val="both"/>
        <w:rPr>
          <w:sz w:val="28"/>
          <w:szCs w:val="28"/>
          <w:lang w:val="es-ES_tradnl"/>
        </w:rPr>
      </w:pPr>
    </w:p>
    <w:p w:rsidR="00412096" w:rsidRPr="0078289D" w:rsidRDefault="00412096" w:rsidP="0078289D">
      <w:pPr>
        <w:pStyle w:val="Prrafodelista"/>
        <w:numPr>
          <w:ilvl w:val="0"/>
          <w:numId w:val="13"/>
        </w:numPr>
        <w:pBdr>
          <w:top w:val="none" w:sz="0" w:space="0" w:color="auto"/>
          <w:left w:val="none" w:sz="0" w:space="0" w:color="auto"/>
          <w:bottom w:val="none" w:sz="0" w:space="0" w:color="auto"/>
          <w:right w:val="none" w:sz="0" w:space="0" w:color="auto"/>
        </w:pBdr>
        <w:tabs>
          <w:tab w:val="left" w:pos="1680"/>
        </w:tabs>
        <w:jc w:val="both"/>
        <w:rPr>
          <w:rFonts w:hAnsi="Times New Roman" w:cs="Times New Roman"/>
          <w:sz w:val="28"/>
          <w:szCs w:val="28"/>
        </w:rPr>
      </w:pPr>
      <w:r w:rsidRPr="0078289D">
        <w:rPr>
          <w:rFonts w:hAnsi="Times New Roman" w:cs="Times New Roman"/>
          <w:sz w:val="28"/>
          <w:szCs w:val="28"/>
        </w:rPr>
        <w:t xml:space="preserve">Dejusticia solicita la </w:t>
      </w:r>
      <w:r w:rsidRPr="0078289D">
        <w:rPr>
          <w:rFonts w:hAnsi="Times New Roman" w:cs="Times New Roman"/>
          <w:b/>
          <w:sz w:val="28"/>
          <w:szCs w:val="28"/>
        </w:rPr>
        <w:t>inexequibilidad</w:t>
      </w:r>
      <w:r w:rsidRPr="0078289D">
        <w:rPr>
          <w:rFonts w:hAnsi="Times New Roman" w:cs="Times New Roman"/>
          <w:sz w:val="28"/>
          <w:szCs w:val="28"/>
        </w:rPr>
        <w:t xml:space="preserve"> de las normas demandadas. Además de reiterar los argumentos relacionados con la vulneración de los principios de autonomía y coordinación, señaló que el artículo 49 de la Ley 1753 de 2015 vulnera el principio de reserva legal. En opinión del interviniente, la norma no prevé una regulación específica y precisa respecto a la selección de los proyectos PINE. En este sentido, la norma hace una excesiva delegación a la Administración y desconoce la reserva de ley, situación que puede llevar a la arbitraria expropiación de bienes de particulares. </w:t>
      </w:r>
    </w:p>
    <w:p w:rsidR="00412096" w:rsidRPr="0078289D" w:rsidRDefault="00412096" w:rsidP="0078289D">
      <w:pPr>
        <w:pBdr>
          <w:top w:val="none" w:sz="0" w:space="0" w:color="auto"/>
          <w:left w:val="none" w:sz="0" w:space="0" w:color="auto"/>
          <w:bottom w:val="none" w:sz="0" w:space="0" w:color="auto"/>
          <w:right w:val="none" w:sz="0" w:space="0" w:color="auto"/>
        </w:pBdr>
        <w:tabs>
          <w:tab w:val="left" w:pos="1680"/>
        </w:tabs>
        <w:jc w:val="both"/>
        <w:rPr>
          <w:sz w:val="28"/>
          <w:szCs w:val="28"/>
          <w:lang w:val="es-ES_tradnl"/>
        </w:rPr>
      </w:pPr>
    </w:p>
    <w:p w:rsidR="00412096" w:rsidRDefault="00412096" w:rsidP="0078289D">
      <w:pPr>
        <w:pStyle w:val="Prrafodelista"/>
        <w:numPr>
          <w:ilvl w:val="0"/>
          <w:numId w:val="13"/>
        </w:numPr>
        <w:pBdr>
          <w:top w:val="none" w:sz="0" w:space="0" w:color="auto"/>
          <w:left w:val="none" w:sz="0" w:space="0" w:color="auto"/>
          <w:bottom w:val="none" w:sz="0" w:space="0" w:color="auto"/>
          <w:right w:val="none" w:sz="0" w:space="0" w:color="auto"/>
        </w:pBdr>
        <w:tabs>
          <w:tab w:val="left" w:pos="1680"/>
        </w:tabs>
        <w:jc w:val="both"/>
        <w:rPr>
          <w:rFonts w:hAnsi="Times New Roman" w:cs="Times New Roman"/>
          <w:sz w:val="28"/>
          <w:szCs w:val="28"/>
        </w:rPr>
      </w:pPr>
      <w:r w:rsidRPr="0078289D">
        <w:rPr>
          <w:rFonts w:hAnsi="Times New Roman" w:cs="Times New Roman"/>
          <w:sz w:val="28"/>
          <w:szCs w:val="28"/>
        </w:rPr>
        <w:t xml:space="preserve">La ANDI se pronuncia a favor de la </w:t>
      </w:r>
      <w:r w:rsidRPr="0078289D">
        <w:rPr>
          <w:rFonts w:hAnsi="Times New Roman" w:cs="Times New Roman"/>
          <w:b/>
          <w:sz w:val="28"/>
          <w:szCs w:val="28"/>
        </w:rPr>
        <w:t>exequibilidad</w:t>
      </w:r>
      <w:r w:rsidRPr="0078289D">
        <w:rPr>
          <w:rFonts w:hAnsi="Times New Roman" w:cs="Times New Roman"/>
          <w:sz w:val="28"/>
          <w:szCs w:val="28"/>
        </w:rPr>
        <w:t xml:space="preserve"> de las normas acusadas. Manifiesta que las normas demandadas no vulneran la Constitución Política, toda vez que desarrollan el principio de Estado unitario, y la facultad que tiene el Estado para definir una política en materia económica, y, particularmente, minera</w:t>
      </w:r>
      <w:r w:rsidRPr="0078289D">
        <w:rPr>
          <w:rFonts w:hAnsi="Times New Roman" w:cs="Times New Roman"/>
          <w:sz w:val="28"/>
          <w:szCs w:val="28"/>
          <w:vertAlign w:val="superscript"/>
        </w:rPr>
        <w:footnoteReference w:id="69"/>
      </w:r>
      <w:r w:rsidRPr="0078289D">
        <w:rPr>
          <w:rFonts w:hAnsi="Times New Roman" w:cs="Times New Roman"/>
          <w:sz w:val="28"/>
          <w:szCs w:val="28"/>
        </w:rPr>
        <w:t xml:space="preserve">. </w:t>
      </w:r>
    </w:p>
    <w:p w:rsidR="00863529" w:rsidRPr="00863529" w:rsidRDefault="00863529" w:rsidP="00863529">
      <w:pPr>
        <w:pStyle w:val="Prrafodelista"/>
        <w:pBdr>
          <w:top w:val="none" w:sz="0" w:space="0" w:color="auto"/>
          <w:left w:val="none" w:sz="0" w:space="0" w:color="auto"/>
          <w:bottom w:val="none" w:sz="0" w:space="0" w:color="auto"/>
          <w:right w:val="none" w:sz="0" w:space="0" w:color="auto"/>
        </w:pBdr>
        <w:rPr>
          <w:rFonts w:hAnsi="Times New Roman" w:cs="Times New Roman"/>
          <w:sz w:val="28"/>
          <w:szCs w:val="28"/>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CONSIDERACIONES DE LA CORTE CONSTITUCIONAL</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7</w:t>
      </w:r>
      <w:r w:rsidR="00412096" w:rsidRPr="0078289D">
        <w:rPr>
          <w:sz w:val="28"/>
          <w:szCs w:val="28"/>
          <w:lang w:val="es-ES_tradnl"/>
        </w:rPr>
        <w:t xml:space="preserve">7. Para efectos de decidir acerca de los cargos planteados por los demandantes, la Corte agrupará, por un lado, los primeros tres, en la medida en que están relacionados con los principios de descentralización territorial, </w:t>
      </w:r>
      <w:r w:rsidR="007A2998" w:rsidRPr="0078289D">
        <w:rPr>
          <w:sz w:val="28"/>
          <w:szCs w:val="28"/>
          <w:lang w:val="es-ES_tradnl"/>
        </w:rPr>
        <w:t xml:space="preserve">la </w:t>
      </w:r>
      <w:r w:rsidR="00412096" w:rsidRPr="0078289D">
        <w:rPr>
          <w:sz w:val="28"/>
          <w:szCs w:val="28"/>
          <w:lang w:val="es-ES_tradnl"/>
        </w:rPr>
        <w:t>autonomía de las entidades territoriales</w:t>
      </w:r>
      <w:r w:rsidR="003100D3" w:rsidRPr="0078289D">
        <w:rPr>
          <w:sz w:val="28"/>
          <w:szCs w:val="28"/>
          <w:lang w:val="es-ES_tradnl"/>
        </w:rPr>
        <w:t>,</w:t>
      </w:r>
      <w:r w:rsidR="00412096" w:rsidRPr="0078289D">
        <w:rPr>
          <w:sz w:val="28"/>
          <w:szCs w:val="28"/>
          <w:lang w:val="es-ES_tradnl"/>
        </w:rPr>
        <w:t xml:space="preserve"> y la participación ciudadana en lo local. Por el otro lado, analizará el cargo relacionado con el otorgamiento de </w:t>
      </w:r>
      <w:r w:rsidR="00412096" w:rsidRPr="0078289D">
        <w:rPr>
          <w:sz w:val="28"/>
          <w:szCs w:val="28"/>
          <w:lang w:val="es-ES_tradnl"/>
        </w:rPr>
        <w:lastRenderedPageBreak/>
        <w:t xml:space="preserve">facultades para expropiar </w:t>
      </w:r>
      <w:r w:rsidR="007A2998" w:rsidRPr="0078289D">
        <w:rPr>
          <w:sz w:val="28"/>
          <w:szCs w:val="28"/>
          <w:lang w:val="es-ES_tradnl"/>
        </w:rPr>
        <w:t xml:space="preserve">los </w:t>
      </w:r>
      <w:r w:rsidR="00412096" w:rsidRPr="0078289D">
        <w:rPr>
          <w:sz w:val="28"/>
          <w:szCs w:val="28"/>
          <w:lang w:val="es-ES_tradnl"/>
        </w:rPr>
        <w:t xml:space="preserve">inmuebles necesarios para llevar a cabo proyectos de interés nacional y estratégico sin que el </w:t>
      </w:r>
      <w:r w:rsidR="00CA0A76" w:rsidRPr="0078289D">
        <w:rPr>
          <w:sz w:val="28"/>
          <w:szCs w:val="28"/>
          <w:lang w:val="es-ES_tradnl"/>
        </w:rPr>
        <w:t>Legislador</w:t>
      </w:r>
      <w:r w:rsidR="00412096" w:rsidRPr="0078289D">
        <w:rPr>
          <w:sz w:val="28"/>
          <w:szCs w:val="28"/>
          <w:lang w:val="es-ES_tradnl"/>
        </w:rPr>
        <w:t xml:space="preserve"> hubiera definido una </w:t>
      </w:r>
      <w:r w:rsidR="00412096" w:rsidRPr="0078289D">
        <w:rPr>
          <w:i/>
          <w:sz w:val="28"/>
          <w:szCs w:val="28"/>
          <w:lang w:val="es-ES_tradnl"/>
        </w:rPr>
        <w:t>causa</w:t>
      </w:r>
      <w:r w:rsidR="00412096" w:rsidRPr="0078289D">
        <w:rPr>
          <w:sz w:val="28"/>
          <w:szCs w:val="28"/>
          <w:lang w:val="es-ES_tradnl"/>
        </w:rPr>
        <w:t xml:space="preserve"> </w:t>
      </w:r>
      <w:r w:rsidR="00412096" w:rsidRPr="0078289D">
        <w:rPr>
          <w:i/>
          <w:sz w:val="28"/>
          <w:szCs w:val="28"/>
          <w:lang w:val="es-ES_tradnl"/>
        </w:rPr>
        <w:t>expropiandi</w:t>
      </w:r>
      <w:r w:rsidR="00412096" w:rsidRPr="0078289D">
        <w:rPr>
          <w:sz w:val="28"/>
          <w:szCs w:val="28"/>
          <w:lang w:val="es-ES_tradnl"/>
        </w:rPr>
        <w:t xml:space="preserve">.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El carácter unitario del Estado y la “vis expansiva” del principio de descentralización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7</w:t>
      </w:r>
      <w:r w:rsidR="00412096" w:rsidRPr="0078289D">
        <w:rPr>
          <w:sz w:val="28"/>
          <w:szCs w:val="28"/>
          <w:lang w:val="es-ES_tradnl"/>
        </w:rPr>
        <w:t>8. Según el primero de los cargos planteados</w:t>
      </w:r>
      <w:r w:rsidR="00BC1E3F" w:rsidRPr="0078289D">
        <w:rPr>
          <w:sz w:val="28"/>
          <w:szCs w:val="28"/>
          <w:lang w:val="es-ES_tradnl"/>
        </w:rPr>
        <w:t>,</w:t>
      </w:r>
      <w:r w:rsidR="00412096" w:rsidRPr="0078289D">
        <w:rPr>
          <w:sz w:val="28"/>
          <w:szCs w:val="28"/>
          <w:lang w:val="es-ES_tradnl"/>
        </w:rPr>
        <w:t xml:space="preserve"> el </w:t>
      </w:r>
      <w:r w:rsidR="00CA0A76" w:rsidRPr="0078289D">
        <w:rPr>
          <w:sz w:val="28"/>
          <w:szCs w:val="28"/>
          <w:lang w:val="es-ES_tradnl"/>
        </w:rPr>
        <w:t>Legislador</w:t>
      </w:r>
      <w:r w:rsidR="00412096" w:rsidRPr="0078289D">
        <w:rPr>
          <w:sz w:val="28"/>
          <w:szCs w:val="28"/>
          <w:lang w:val="es-ES_tradnl"/>
        </w:rPr>
        <w:t xml:space="preserve"> violó la autonomía de las entidades territoriales para definir sus prioridades, y los principios de descentralización administrativa, subsidiariedad, y concurrencia, al otorgarle a la Comisión Interinstitucional de Infraestructura y Proyectos Estratégicos del gobierno nacional, la facultad de definir qué proyectos son de interés nacional estratégico. Para la Corte, sin embargo, la disposición no vulnera estos principios constitucionales mencionados por las razones que se exponen a continuación.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7</w:t>
      </w:r>
      <w:r w:rsidR="00412096" w:rsidRPr="0078289D">
        <w:rPr>
          <w:sz w:val="28"/>
          <w:szCs w:val="28"/>
          <w:lang w:val="es-ES_tradnl"/>
        </w:rPr>
        <w:t xml:space="preserve">9. Los demandantes aducen que, en nuestro sistema constitucional el principio de descentralización territorial tiene lo que se ha denominado una “vis expansiva”, es decir, que el </w:t>
      </w:r>
      <w:r w:rsidR="00CA0A76" w:rsidRPr="0078289D">
        <w:rPr>
          <w:sz w:val="28"/>
          <w:szCs w:val="28"/>
          <w:lang w:val="es-ES_tradnl"/>
        </w:rPr>
        <w:t>Legislador</w:t>
      </w:r>
      <w:r w:rsidR="00412096" w:rsidRPr="0078289D">
        <w:rPr>
          <w:sz w:val="28"/>
          <w:szCs w:val="28"/>
          <w:lang w:val="es-ES_tradnl"/>
        </w:rPr>
        <w:t xml:space="preserve"> debe desarrollarla en el nivel más amplio posible. Sin duda, la descentralización es un principio de distribución de competencias que permite el desarrollo de la democracia participativa en lo local, que acer</w:t>
      </w:r>
      <w:r w:rsidR="00BC1E3F" w:rsidRPr="0078289D">
        <w:rPr>
          <w:sz w:val="28"/>
          <w:szCs w:val="28"/>
          <w:lang w:val="es-ES_tradnl"/>
        </w:rPr>
        <w:t>c</w:t>
      </w:r>
      <w:r w:rsidR="00412096" w:rsidRPr="0078289D">
        <w:rPr>
          <w:sz w:val="28"/>
          <w:szCs w:val="28"/>
          <w:lang w:val="es-ES_tradnl"/>
        </w:rPr>
        <w:t>a el gobierno a los ciudadanos, y les permite incidir en las decisiones que los afectan. De ahí la importancia de la descentralización y del reconocimiento de la autonomía político-administrativa de las entidades territoriales. Sin embargo, como también lo ha reconocido la jurisprudencia constitucional, el principio de descentralización no puede entenderse sino dentro del marco general del carácter unitario del Estado. Es decir, la descentralización opera siempre dentro del contexto de una República unitaria, conforme a lo establecido en el artículo 1º de la Constitución.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8</w:t>
      </w:r>
      <w:r w:rsidR="00412096" w:rsidRPr="0078289D">
        <w:rPr>
          <w:sz w:val="28"/>
          <w:szCs w:val="28"/>
          <w:lang w:val="es-ES_tradnl"/>
        </w:rPr>
        <w:t>0. Por otra parte, el alcance de la autonomía de las entidades territoriales no es igual en todos los campos. Muestra de ello es que aun cuando el mantenimiento del orden público es una función descentralizada territorialmente, tanto los alcaldes como los gobernadores son agentes del Presidente de la República en el ejercicio de dicha función, y están sujetos a sus órdenes. En ese orden de ideas es necesario concluir también que los principios de subsidiariedad y concurrencia no se aplican de la misma manera, independientemente de la cuestión sobre la cual versen. Por el contrario, en nuestro sistema constitucional la forma de articulación del orden nacional con los diversos órdenes territoriales depende en gran medida del tipo de asunto del que se trate. Por ejemplo, en materia de regulación de los usos del suelo, el margen de discrecionalidad que tienen los municipios es mucho mayor, y sólo está limitado de manera muy general por la Ley Orgánica de Ordenamiento</w:t>
      </w:r>
      <w:r w:rsidR="00EB6D98" w:rsidRPr="0078289D">
        <w:rPr>
          <w:sz w:val="28"/>
          <w:szCs w:val="28"/>
          <w:lang w:val="es-ES_tradnl"/>
        </w:rPr>
        <w:t xml:space="preserve"> Territorial</w:t>
      </w:r>
      <w:r w:rsidR="00412096" w:rsidRPr="0078289D">
        <w:rPr>
          <w:sz w:val="28"/>
          <w:szCs w:val="28"/>
          <w:lang w:val="es-ES_tradnl"/>
        </w:rPr>
        <w:t xml:space="preserve">. Por otra parte, en materia tributaria, hay una concurrencia de competencias territoriales con las competencias del </w:t>
      </w:r>
      <w:r w:rsidR="00CA0A76" w:rsidRPr="0078289D">
        <w:rPr>
          <w:sz w:val="28"/>
          <w:szCs w:val="28"/>
          <w:lang w:val="es-ES_tradnl"/>
        </w:rPr>
        <w:t>Legislador</w:t>
      </w:r>
      <w:r w:rsidR="00412096" w:rsidRPr="0078289D">
        <w:rPr>
          <w:sz w:val="28"/>
          <w:szCs w:val="28"/>
          <w:lang w:val="es-ES_tradnl"/>
        </w:rPr>
        <w:t xml:space="preserve">, aun cuando hay una separación de los hechos susceptibles de gravámenes en los distintos órdenes. Así mismo, como ya se dijo en materia de mantenimiento del orden público las autoridades de las entidades territoriales están limitadas incluso </w:t>
      </w:r>
      <w:r w:rsidR="00412096" w:rsidRPr="0078289D">
        <w:rPr>
          <w:sz w:val="28"/>
          <w:szCs w:val="28"/>
          <w:lang w:val="es-ES_tradnl"/>
        </w:rPr>
        <w:lastRenderedPageBreak/>
        <w:t xml:space="preserve">por las órdenes que imparta el Presidente de la República, por lo cual en esta materia la descentralización es débil que se supedita en gran medida al principio del Estado unitario.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9852D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Por lo anterior, p</w:t>
      </w:r>
      <w:r w:rsidR="00412096" w:rsidRPr="0078289D">
        <w:rPr>
          <w:sz w:val="28"/>
          <w:szCs w:val="28"/>
          <w:lang w:val="es-ES_tradnl"/>
        </w:rPr>
        <w:t xml:space="preserve">ara determinar si el </w:t>
      </w:r>
      <w:r w:rsidR="00CA0A76" w:rsidRPr="0078289D">
        <w:rPr>
          <w:sz w:val="28"/>
          <w:szCs w:val="28"/>
          <w:lang w:val="es-ES_tradnl"/>
        </w:rPr>
        <w:t>Legislador</w:t>
      </w:r>
      <w:r w:rsidR="00412096" w:rsidRPr="0078289D">
        <w:rPr>
          <w:sz w:val="28"/>
          <w:szCs w:val="28"/>
          <w:lang w:val="es-ES_tradnl"/>
        </w:rPr>
        <w:t xml:space="preserve"> vulneró el principio de descentralización territorial es necesario referirse a competencias y funciones específicas de las entidades territoriales, para constatar, en primera medida, que la disposición acusada impide o limita el ejercicio de alguna de las competencias que la Constitución le otorgó a las entidades territoriales. De tal modo, una ley que prohíba o limite el ejercicio de una competencia explícitamente establecida por la Constitución en cabeza de un órgano del nivel departamental, distrital o municipal, resultaría inconstitucional por violación del principio de descentralización.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AC1758"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S</w:t>
      </w:r>
      <w:r w:rsidR="00412096" w:rsidRPr="0078289D">
        <w:rPr>
          <w:sz w:val="28"/>
          <w:szCs w:val="28"/>
          <w:lang w:val="es-ES_tradnl"/>
        </w:rPr>
        <w:t xml:space="preserve">i bien </w:t>
      </w:r>
      <w:r w:rsidR="00097C77" w:rsidRPr="0078289D">
        <w:rPr>
          <w:sz w:val="28"/>
          <w:szCs w:val="28"/>
          <w:lang w:val="es-ES_tradnl"/>
        </w:rPr>
        <w:t xml:space="preserve">la Constitución atribuye explícitamente </w:t>
      </w:r>
      <w:r w:rsidR="00412096" w:rsidRPr="0078289D">
        <w:rPr>
          <w:sz w:val="28"/>
          <w:szCs w:val="28"/>
          <w:lang w:val="es-ES_tradnl"/>
        </w:rPr>
        <w:t xml:space="preserve">algunas de </w:t>
      </w:r>
      <w:r w:rsidR="00F77B1B" w:rsidRPr="0078289D">
        <w:rPr>
          <w:sz w:val="28"/>
          <w:szCs w:val="28"/>
          <w:lang w:val="es-ES_tradnl"/>
        </w:rPr>
        <w:t>las</w:t>
      </w:r>
      <w:r w:rsidR="00412096" w:rsidRPr="0078289D">
        <w:rPr>
          <w:sz w:val="28"/>
          <w:szCs w:val="28"/>
          <w:lang w:val="es-ES_tradnl"/>
        </w:rPr>
        <w:t xml:space="preserve"> competencias a la </w:t>
      </w:r>
      <w:r w:rsidR="00101850" w:rsidRPr="0078289D">
        <w:rPr>
          <w:sz w:val="28"/>
          <w:szCs w:val="28"/>
          <w:lang w:val="es-ES_tradnl"/>
        </w:rPr>
        <w:t>entidades territoriales o a sus autoridades</w:t>
      </w:r>
      <w:r w:rsidR="00412096" w:rsidRPr="0078289D">
        <w:rPr>
          <w:sz w:val="28"/>
          <w:szCs w:val="28"/>
          <w:lang w:val="es-ES_tradnl"/>
        </w:rPr>
        <w:t>, existen otras competencias que, si bien no están consagradas explícitamente en la Carta, se entienden implícitas en la Constitución, en la medida en que sean necesarias para desarrollar otras atribuid</w:t>
      </w:r>
      <w:r w:rsidR="00BC1E3F" w:rsidRPr="0078289D">
        <w:rPr>
          <w:sz w:val="28"/>
          <w:szCs w:val="28"/>
          <w:lang w:val="es-ES_tradnl"/>
        </w:rPr>
        <w:t>a</w:t>
      </w:r>
      <w:r w:rsidR="00412096" w:rsidRPr="0078289D">
        <w:rPr>
          <w:sz w:val="28"/>
          <w:szCs w:val="28"/>
          <w:lang w:val="es-ES_tradnl"/>
        </w:rPr>
        <w:t xml:space="preserve">s por la misma Constitución a dichas entidades. Estas </w:t>
      </w:r>
      <w:r w:rsidR="00101850" w:rsidRPr="0078289D">
        <w:rPr>
          <w:sz w:val="28"/>
          <w:szCs w:val="28"/>
          <w:lang w:val="es-ES_tradnl"/>
        </w:rPr>
        <w:t>compet</w:t>
      </w:r>
      <w:r w:rsidR="008F43D1" w:rsidRPr="0078289D">
        <w:rPr>
          <w:sz w:val="28"/>
          <w:szCs w:val="28"/>
          <w:lang w:val="es-ES_tradnl"/>
        </w:rPr>
        <w:t>encias constitucionales der</w:t>
      </w:r>
      <w:r w:rsidR="00101850" w:rsidRPr="0078289D">
        <w:rPr>
          <w:sz w:val="28"/>
          <w:szCs w:val="28"/>
          <w:lang w:val="es-ES_tradnl"/>
        </w:rPr>
        <w:t>ivadas</w:t>
      </w:r>
      <w:r w:rsidR="00412096" w:rsidRPr="0078289D">
        <w:rPr>
          <w:sz w:val="28"/>
          <w:szCs w:val="28"/>
          <w:lang w:val="es-ES_tradnl"/>
        </w:rPr>
        <w:t xml:space="preserve"> </w:t>
      </w:r>
      <w:r w:rsidR="008F43D1" w:rsidRPr="0078289D">
        <w:rPr>
          <w:sz w:val="28"/>
          <w:szCs w:val="28"/>
          <w:lang w:val="es-ES_tradnl"/>
        </w:rPr>
        <w:t xml:space="preserve">corresponden </w:t>
      </w:r>
      <w:r w:rsidR="00412096" w:rsidRPr="0078289D">
        <w:rPr>
          <w:sz w:val="28"/>
          <w:szCs w:val="28"/>
          <w:lang w:val="es-ES_tradnl"/>
        </w:rPr>
        <w:t>a lo que el constitucionalismo comparado ha llamado la doctrina de las competencias implícitas, o “</w:t>
      </w:r>
      <w:r w:rsidR="00412096" w:rsidRPr="0078289D">
        <w:rPr>
          <w:i/>
          <w:sz w:val="28"/>
          <w:szCs w:val="28"/>
          <w:lang w:val="es-ES_tradnl"/>
        </w:rPr>
        <w:t>implied powers</w:t>
      </w:r>
      <w:r w:rsidR="00412096" w:rsidRPr="0078289D">
        <w:rPr>
          <w:sz w:val="28"/>
          <w:szCs w:val="28"/>
          <w:lang w:val="es-ES_tradnl"/>
        </w:rPr>
        <w:t>”</w:t>
      </w:r>
      <w:r w:rsidR="00412096" w:rsidRPr="0078289D">
        <w:rPr>
          <w:rStyle w:val="Refdenotaalpie"/>
          <w:sz w:val="28"/>
          <w:szCs w:val="28"/>
          <w:lang w:val="es-ES_tradnl"/>
        </w:rPr>
        <w:footnoteReference w:id="70"/>
      </w:r>
      <w:r w:rsidR="00412096" w:rsidRPr="0078289D">
        <w:rPr>
          <w:sz w:val="28"/>
          <w:szCs w:val="28"/>
          <w:lang w:val="es-ES_tradnl"/>
        </w:rPr>
        <w:t xml:space="preserve">. Así, por ejemplo, a los alcaldes y gobernadores les corresponde hacer cumplir las leyes y demás normas jurídicas nacionales y territoriales, y para ello requieren tener competencias para utilizar el aparato coercitivo del Estado. Por consiguiente, una ley que impida el ejercicio de las competencias constitucionales implícitas, que son necesarias para hacer cumplir las leyes, decretos, ordenanzas u otras, podría resultar contraria a la Constitución por vulnerar el principio de descentralización.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8</w:t>
      </w:r>
      <w:r w:rsidR="00412096" w:rsidRPr="0078289D">
        <w:rPr>
          <w:sz w:val="28"/>
          <w:szCs w:val="28"/>
          <w:lang w:val="es-ES_tradnl"/>
        </w:rPr>
        <w:t xml:space="preserve">1. Sin embargo, </w:t>
      </w:r>
      <w:r w:rsidR="0010008C" w:rsidRPr="0078289D">
        <w:rPr>
          <w:sz w:val="28"/>
          <w:szCs w:val="28"/>
          <w:lang w:val="es-ES_tradnl"/>
        </w:rPr>
        <w:t xml:space="preserve">como se mencionó al analizar la primera parte de la presente demanda, </w:t>
      </w:r>
      <w:r w:rsidR="00412096" w:rsidRPr="0078289D">
        <w:rPr>
          <w:sz w:val="28"/>
          <w:szCs w:val="28"/>
          <w:lang w:val="es-ES_tradnl"/>
        </w:rPr>
        <w:t xml:space="preserve">el régimen de autonomía de las entidades territoriales no se agota en la Constitución </w:t>
      </w:r>
      <w:r w:rsidR="0010008C" w:rsidRPr="0078289D">
        <w:rPr>
          <w:sz w:val="28"/>
          <w:szCs w:val="28"/>
          <w:lang w:val="es-ES_tradnl"/>
        </w:rPr>
        <w:t>Política</w:t>
      </w:r>
      <w:r w:rsidR="00173867" w:rsidRPr="0078289D">
        <w:rPr>
          <w:sz w:val="28"/>
          <w:szCs w:val="28"/>
          <w:lang w:val="es-ES_tradnl"/>
        </w:rPr>
        <w:t xml:space="preserve"> sino que se desarrolla en la ley</w:t>
      </w:r>
      <w:r w:rsidR="0010008C" w:rsidRPr="0078289D">
        <w:rPr>
          <w:sz w:val="28"/>
          <w:szCs w:val="28"/>
          <w:lang w:val="es-ES_tradnl"/>
        </w:rPr>
        <w:t xml:space="preserve">. </w:t>
      </w:r>
      <w:r w:rsidR="00173867" w:rsidRPr="0078289D">
        <w:rPr>
          <w:sz w:val="28"/>
          <w:szCs w:val="28"/>
          <w:lang w:val="es-ES_tradnl"/>
        </w:rPr>
        <w:t>E</w:t>
      </w:r>
      <w:r w:rsidR="0010008C" w:rsidRPr="0078289D">
        <w:rPr>
          <w:sz w:val="28"/>
          <w:szCs w:val="28"/>
          <w:lang w:val="es-ES_tradnl"/>
        </w:rPr>
        <w:t>l C</w:t>
      </w:r>
      <w:r w:rsidR="00412096" w:rsidRPr="0078289D">
        <w:rPr>
          <w:sz w:val="28"/>
          <w:szCs w:val="28"/>
          <w:lang w:val="es-ES_tradnl"/>
        </w:rPr>
        <w:t xml:space="preserve">onstituyente delegó </w:t>
      </w:r>
      <w:r w:rsidR="00173867" w:rsidRPr="0078289D">
        <w:rPr>
          <w:sz w:val="28"/>
          <w:szCs w:val="28"/>
          <w:lang w:val="es-ES_tradnl"/>
        </w:rPr>
        <w:t xml:space="preserve">la regulación de </w:t>
      </w:r>
      <w:r w:rsidR="00412096" w:rsidRPr="0078289D">
        <w:rPr>
          <w:sz w:val="28"/>
          <w:szCs w:val="28"/>
          <w:lang w:val="es-ES_tradnl"/>
        </w:rPr>
        <w:t xml:space="preserve">gran parte </w:t>
      </w:r>
      <w:r w:rsidR="0010008C" w:rsidRPr="0078289D">
        <w:rPr>
          <w:sz w:val="28"/>
          <w:szCs w:val="28"/>
          <w:lang w:val="es-ES_tradnl"/>
        </w:rPr>
        <w:t>de dicho régimen en cabeza del Congreso</w:t>
      </w:r>
      <w:r w:rsidR="00412096" w:rsidRPr="0078289D">
        <w:rPr>
          <w:sz w:val="28"/>
          <w:szCs w:val="28"/>
          <w:lang w:val="es-ES_tradnl"/>
        </w:rPr>
        <w:t xml:space="preserve">. Por lo tanto, por fuera de las limitaciones impuestas por las competencias constitucionales explícitas e implícitas de las entidades territoriales y sus distintos órganos, el </w:t>
      </w:r>
      <w:r w:rsidR="00CA0A76" w:rsidRPr="0078289D">
        <w:rPr>
          <w:sz w:val="28"/>
          <w:szCs w:val="28"/>
          <w:lang w:val="es-ES_tradnl"/>
        </w:rPr>
        <w:t>Legislador</w:t>
      </w:r>
      <w:r w:rsidR="00412096" w:rsidRPr="0078289D">
        <w:rPr>
          <w:sz w:val="28"/>
          <w:szCs w:val="28"/>
          <w:lang w:val="es-ES_tradnl"/>
        </w:rPr>
        <w:t xml:space="preserve"> goza de un amplio margen de discrecionalidad para fijar el alcance de sus competencias y funciones, por atribución explícita de la misma Constitución.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D0D2E"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P</w:t>
      </w:r>
      <w:r w:rsidR="00412096" w:rsidRPr="0078289D">
        <w:rPr>
          <w:sz w:val="28"/>
          <w:szCs w:val="28"/>
          <w:lang w:val="es-ES_tradnl"/>
        </w:rPr>
        <w:t xml:space="preserve">ara determinar si </w:t>
      </w:r>
      <w:r w:rsidR="00910BD9" w:rsidRPr="0078289D">
        <w:rPr>
          <w:sz w:val="28"/>
          <w:szCs w:val="28"/>
          <w:lang w:val="es-ES_tradnl"/>
        </w:rPr>
        <w:t>una ley que otorga una competencia o</w:t>
      </w:r>
      <w:r w:rsidR="00412096" w:rsidRPr="0078289D">
        <w:rPr>
          <w:sz w:val="28"/>
          <w:szCs w:val="28"/>
          <w:lang w:val="es-ES_tradnl"/>
        </w:rPr>
        <w:t xml:space="preserve"> </w:t>
      </w:r>
      <w:r w:rsidR="00910BD9" w:rsidRPr="0078289D">
        <w:rPr>
          <w:sz w:val="28"/>
          <w:szCs w:val="28"/>
          <w:lang w:val="es-ES_tradnl"/>
        </w:rPr>
        <w:t>atribuye</w:t>
      </w:r>
      <w:r w:rsidR="00412096" w:rsidRPr="0078289D">
        <w:rPr>
          <w:sz w:val="28"/>
          <w:szCs w:val="28"/>
          <w:lang w:val="es-ES_tradnl"/>
        </w:rPr>
        <w:t xml:space="preserve"> una función a un órgano del gobierno nacional vulnera el principio de descentralización</w:t>
      </w:r>
      <w:r w:rsidR="00910BD9" w:rsidRPr="0078289D">
        <w:rPr>
          <w:sz w:val="28"/>
          <w:szCs w:val="28"/>
          <w:lang w:val="es-ES_tradnl"/>
        </w:rPr>
        <w:t>,</w:t>
      </w:r>
      <w:r w:rsidR="00412096" w:rsidRPr="0078289D">
        <w:rPr>
          <w:sz w:val="28"/>
          <w:szCs w:val="28"/>
          <w:lang w:val="es-ES_tradnl"/>
        </w:rPr>
        <w:t xml:space="preserve"> es necesario determinar si restringe o impide el ejercicio de una competencia o función que la Constitución haya otorgado, explícita o implícitamente, a alguna entidad territorial. Una vez identificada la competencia o función constitucional de que se trate, es necesario establecer si la limitación es o no razonable.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Ausencia de limitación a las competencias y funciones de las entidades territoriales en el caso concreto</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8</w:t>
      </w:r>
      <w:r w:rsidR="00412096" w:rsidRPr="0078289D">
        <w:rPr>
          <w:sz w:val="28"/>
          <w:szCs w:val="28"/>
          <w:lang w:val="es-ES_tradnl"/>
        </w:rPr>
        <w:t xml:space="preserve">2. Para establecer si las disposiciones acusadas vulneran las funciones de las entidades territoriales es necesario analizar cuál es su verdadero alcance. Al respecto es necesario aclarar desde el comienzo que las facultades otorgadas a la CIIPE no tienen el alcance de permitirle decidir qué proyectos se van a llevar a cabo. En sí mismas, las disposiciones acusadas no </w:t>
      </w:r>
      <w:r w:rsidR="00596084" w:rsidRPr="0078289D">
        <w:rPr>
          <w:sz w:val="28"/>
          <w:szCs w:val="28"/>
          <w:lang w:val="es-ES_tradnl"/>
        </w:rPr>
        <w:t>determinan</w:t>
      </w:r>
      <w:r w:rsidR="00412096" w:rsidRPr="0078289D">
        <w:rPr>
          <w:sz w:val="28"/>
          <w:szCs w:val="28"/>
          <w:lang w:val="es-ES_tradnl"/>
        </w:rPr>
        <w:t xml:space="preserve"> qué proyectos se van a realizar y cuáles no. La disposición </w:t>
      </w:r>
      <w:r w:rsidR="00596084" w:rsidRPr="0078289D">
        <w:rPr>
          <w:sz w:val="28"/>
          <w:szCs w:val="28"/>
          <w:lang w:val="es-ES_tradnl"/>
        </w:rPr>
        <w:t>faculta</w:t>
      </w:r>
      <w:r w:rsidR="00412096" w:rsidRPr="0078289D">
        <w:rPr>
          <w:sz w:val="28"/>
          <w:szCs w:val="28"/>
          <w:lang w:val="es-ES_tradnl"/>
        </w:rPr>
        <w:t xml:space="preserve"> a la CIIPE para decidir cuáles de ellos son de interés nacional, no para decidir qué proyectos se van a desarrollar.  De hecho, la decisión de desarrollar tales proyectos depende de la política de cada entidad, y en esa medida, </w:t>
      </w:r>
      <w:r w:rsidR="00412096" w:rsidRPr="0078289D">
        <w:rPr>
          <w:sz w:val="28"/>
          <w:szCs w:val="28"/>
          <w:lang w:val="es-CO"/>
        </w:rPr>
        <w:t xml:space="preserve">no sólo es independiente sino anterior a su clasificación como proyectos de interés nacional y estratégico. Por lo tanto, los proyectos </w:t>
      </w:r>
      <w:r w:rsidR="00412096" w:rsidRPr="0078289D">
        <w:rPr>
          <w:sz w:val="28"/>
          <w:szCs w:val="28"/>
          <w:lang w:val="es-ES_tradnl"/>
        </w:rPr>
        <w:t xml:space="preserve">pueden desarrollarse al margen de que el </w:t>
      </w:r>
      <w:r w:rsidR="00CA0A76" w:rsidRPr="0078289D">
        <w:rPr>
          <w:sz w:val="28"/>
          <w:szCs w:val="28"/>
          <w:lang w:val="es-ES_tradnl"/>
        </w:rPr>
        <w:t>Legislador</w:t>
      </w:r>
      <w:r w:rsidR="00412096" w:rsidRPr="0078289D">
        <w:rPr>
          <w:sz w:val="28"/>
          <w:szCs w:val="28"/>
          <w:lang w:val="es-ES_tradnl"/>
        </w:rPr>
        <w:t xml:space="preserve"> haya encargado a una comisión de </w:t>
      </w:r>
      <w:r w:rsidR="000709DB" w:rsidRPr="0078289D">
        <w:rPr>
          <w:sz w:val="28"/>
          <w:szCs w:val="28"/>
          <w:lang w:val="es-ES_tradnl"/>
        </w:rPr>
        <w:t>calificarlos</w:t>
      </w:r>
      <w:r w:rsidR="00412096" w:rsidRPr="0078289D">
        <w:rPr>
          <w:sz w:val="28"/>
          <w:szCs w:val="28"/>
          <w:lang w:val="es-ES_tradnl"/>
        </w:rPr>
        <w:t xml:space="preserve"> como proyectos de interés nacional y estratégico. En esa medida el problema que le corresponde resolver a la Corte consiste en establecer: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¿Una ley que faculta a una comisión del gobierno nacional para c</w:t>
      </w:r>
      <w:r w:rsidR="00D32A44" w:rsidRPr="0078289D">
        <w:rPr>
          <w:sz w:val="28"/>
          <w:szCs w:val="28"/>
          <w:lang w:val="es-ES_tradnl"/>
        </w:rPr>
        <w:t>alificar</w:t>
      </w:r>
      <w:r w:rsidRPr="0078289D">
        <w:rPr>
          <w:sz w:val="28"/>
          <w:szCs w:val="28"/>
          <w:lang w:val="es-ES_tradnl"/>
        </w:rPr>
        <w:t xml:space="preserve"> proyectos como de interés nacional y estratégico con fundamento en su alto impacto para el desarrollo económico y social del país vulnera las funciones y competencias atribuidas a las entidades territoriales?</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8</w:t>
      </w:r>
      <w:r w:rsidR="00412096" w:rsidRPr="0078289D">
        <w:rPr>
          <w:sz w:val="28"/>
          <w:szCs w:val="28"/>
          <w:lang w:val="es-ES_tradnl"/>
        </w:rPr>
        <w:t xml:space="preserve">3. Los demandantes alegan que estas disposiciones desconocen las facultades que tienen las entidades territoriales para planificar, ordenar y decidir los usos del suelo dentro de sus respectivos territorios, entregándole dichas competencias a una comisión del orden nacional. Para la Corte sin embargo, ello no es así, pues como ya se dijo, la facultad de </w:t>
      </w:r>
      <w:r w:rsidR="0070558D" w:rsidRPr="0078289D">
        <w:rPr>
          <w:sz w:val="28"/>
          <w:szCs w:val="28"/>
          <w:lang w:val="es-ES_tradnl"/>
        </w:rPr>
        <w:t>calificar</w:t>
      </w:r>
      <w:r w:rsidR="00412096" w:rsidRPr="0078289D">
        <w:rPr>
          <w:sz w:val="28"/>
          <w:szCs w:val="28"/>
          <w:lang w:val="es-ES_tradnl"/>
        </w:rPr>
        <w:t xml:space="preserve"> proyecto</w:t>
      </w:r>
      <w:r w:rsidR="0070558D" w:rsidRPr="0078289D">
        <w:rPr>
          <w:sz w:val="28"/>
          <w:szCs w:val="28"/>
          <w:lang w:val="es-ES_tradnl"/>
        </w:rPr>
        <w:t>s</w:t>
      </w:r>
      <w:r w:rsidR="00412096" w:rsidRPr="0078289D">
        <w:rPr>
          <w:sz w:val="28"/>
          <w:szCs w:val="28"/>
          <w:lang w:val="es-ES_tradnl"/>
        </w:rPr>
        <w:t xml:space="preserve"> como de interés nacional que </w:t>
      </w:r>
      <w:r w:rsidR="0070558D" w:rsidRPr="0078289D">
        <w:rPr>
          <w:sz w:val="28"/>
          <w:szCs w:val="28"/>
          <w:lang w:val="es-ES_tradnl"/>
        </w:rPr>
        <w:t xml:space="preserve">le </w:t>
      </w:r>
      <w:r w:rsidR="00412096" w:rsidRPr="0078289D">
        <w:rPr>
          <w:sz w:val="28"/>
          <w:szCs w:val="28"/>
          <w:lang w:val="es-ES_tradnl"/>
        </w:rPr>
        <w:t xml:space="preserve">otorga el artículo 49 </w:t>
      </w:r>
      <w:r w:rsidR="0070558D" w:rsidRPr="0078289D">
        <w:rPr>
          <w:sz w:val="28"/>
          <w:szCs w:val="28"/>
          <w:lang w:val="es-ES_tradnl"/>
        </w:rPr>
        <w:t xml:space="preserve">a la CIIPE </w:t>
      </w:r>
      <w:r w:rsidR="00412096" w:rsidRPr="0078289D">
        <w:rPr>
          <w:sz w:val="28"/>
          <w:szCs w:val="28"/>
          <w:lang w:val="es-ES_tradnl"/>
        </w:rPr>
        <w:t xml:space="preserve">y que se menciona nuevamente el artículo 52, no tiene incidencia sobre la realización o no de un determinado proyecto. Es decir, contrario a lo que argumentan los demandantes, la decisión de la CIIPE de </w:t>
      </w:r>
      <w:r w:rsidR="004A4D4A" w:rsidRPr="0078289D">
        <w:rPr>
          <w:sz w:val="28"/>
          <w:szCs w:val="28"/>
          <w:lang w:val="es-ES_tradnl"/>
        </w:rPr>
        <w:t>calificar</w:t>
      </w:r>
      <w:r w:rsidR="00BC1E3F" w:rsidRPr="0078289D">
        <w:rPr>
          <w:sz w:val="28"/>
          <w:szCs w:val="28"/>
          <w:lang w:val="es-ES_tradnl"/>
        </w:rPr>
        <w:t xml:space="preserve"> un proyecto como PINE no impone</w:t>
      </w:r>
      <w:r w:rsidR="00412096" w:rsidRPr="0078289D">
        <w:rPr>
          <w:sz w:val="28"/>
          <w:szCs w:val="28"/>
          <w:lang w:val="es-ES_tradnl"/>
        </w:rPr>
        <w:t xml:space="preserve"> su realización. Tanto es así, que la misma disposición establece que la CIIPE puede declarar PINEs los proyectos que hubieran sido declarados de utilidad pública e interés social antes de la entrada en vigencia de la ley. Por lo tanto, desde este punto de vista el cargo no puede prosperar.</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596084"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C</w:t>
      </w:r>
      <w:r w:rsidR="00412096" w:rsidRPr="0078289D">
        <w:rPr>
          <w:sz w:val="28"/>
          <w:szCs w:val="28"/>
          <w:lang w:val="es-ES_tradnl"/>
        </w:rPr>
        <w:t xml:space="preserve">on todo, la declaratoria de un proyecto como PINE no sólo </w:t>
      </w:r>
      <w:r w:rsidR="00233686" w:rsidRPr="0078289D">
        <w:rPr>
          <w:sz w:val="28"/>
          <w:szCs w:val="28"/>
          <w:lang w:val="es-ES_tradnl"/>
        </w:rPr>
        <w:t xml:space="preserve">repercute </w:t>
      </w:r>
      <w:r w:rsidR="00412096" w:rsidRPr="0078289D">
        <w:rPr>
          <w:sz w:val="28"/>
          <w:szCs w:val="28"/>
          <w:lang w:val="es-ES_tradnl"/>
        </w:rPr>
        <w:t xml:space="preserve">sobre su caracterización como proyecto de utilidad pública e interés social, </w:t>
      </w:r>
      <w:r w:rsidR="00233686" w:rsidRPr="0078289D">
        <w:rPr>
          <w:sz w:val="28"/>
          <w:szCs w:val="28"/>
          <w:lang w:val="es-ES_tradnl"/>
        </w:rPr>
        <w:t xml:space="preserve">pues </w:t>
      </w:r>
      <w:r w:rsidR="00433E71" w:rsidRPr="0078289D">
        <w:rPr>
          <w:sz w:val="28"/>
          <w:szCs w:val="28"/>
          <w:lang w:val="es-ES_tradnl"/>
        </w:rPr>
        <w:t>sobre la base de esa declaratoria</w:t>
      </w:r>
      <w:r w:rsidR="00233686" w:rsidRPr="0078289D">
        <w:rPr>
          <w:sz w:val="28"/>
          <w:szCs w:val="28"/>
          <w:lang w:val="es-ES_tradnl"/>
        </w:rPr>
        <w:t xml:space="preserve"> </w:t>
      </w:r>
      <w:r w:rsidR="00433E71" w:rsidRPr="0078289D">
        <w:rPr>
          <w:sz w:val="28"/>
          <w:szCs w:val="28"/>
          <w:lang w:val="es-ES_tradnl"/>
        </w:rPr>
        <w:t xml:space="preserve">la disposición demandada </w:t>
      </w:r>
      <w:r w:rsidR="00233686" w:rsidRPr="0078289D">
        <w:rPr>
          <w:sz w:val="28"/>
          <w:szCs w:val="28"/>
          <w:lang w:val="es-ES_tradnl"/>
        </w:rPr>
        <w:t>faculta</w:t>
      </w:r>
      <w:r w:rsidR="00412096" w:rsidRPr="0078289D">
        <w:rPr>
          <w:sz w:val="28"/>
          <w:szCs w:val="28"/>
          <w:lang w:val="es-ES_tradnl"/>
        </w:rPr>
        <w:t xml:space="preserve"> a la administración para adelantar procedimientos de expropiación administrativa y judicial. En esa medida, podría alegarse que se desconocen las facultades de las entidades territoriales, y en particular de los concejos para determinar los usos del suelo al </w:t>
      </w:r>
      <w:r w:rsidR="00646D06" w:rsidRPr="0078289D">
        <w:rPr>
          <w:sz w:val="28"/>
          <w:szCs w:val="28"/>
          <w:lang w:val="es-ES_tradnl"/>
        </w:rPr>
        <w:t>autorizar</w:t>
      </w:r>
      <w:r w:rsidR="00412096" w:rsidRPr="0078289D">
        <w:rPr>
          <w:sz w:val="28"/>
          <w:szCs w:val="28"/>
          <w:lang w:val="es-ES_tradnl"/>
        </w:rPr>
        <w:t xml:space="preserve"> a una comisión del orden nacional para determinar en qué casos la administración a ese mismo nivel puede expropiar bienes inmuebles para desarrollar proyectos.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lastRenderedPageBreak/>
        <w:t>Sin embargo, para la Corte resulta claro que</w:t>
      </w:r>
      <w:r w:rsidR="00646D06" w:rsidRPr="0078289D">
        <w:rPr>
          <w:sz w:val="28"/>
          <w:szCs w:val="28"/>
          <w:lang w:val="es-ES_tradnl"/>
        </w:rPr>
        <w:t>,</w:t>
      </w:r>
      <w:r w:rsidRPr="0078289D">
        <w:rPr>
          <w:sz w:val="28"/>
          <w:szCs w:val="28"/>
          <w:lang w:val="es-ES_tradnl"/>
        </w:rPr>
        <w:t xml:space="preserve"> en virtud de los artículos 58 y 59 de la Constitución</w:t>
      </w:r>
      <w:r w:rsidR="00646D06" w:rsidRPr="0078289D">
        <w:rPr>
          <w:sz w:val="28"/>
          <w:szCs w:val="28"/>
          <w:lang w:val="es-ES_tradnl"/>
        </w:rPr>
        <w:t>,</w:t>
      </w:r>
      <w:r w:rsidRPr="0078289D">
        <w:rPr>
          <w:sz w:val="28"/>
          <w:szCs w:val="28"/>
          <w:lang w:val="es-ES_tradnl"/>
        </w:rPr>
        <w:t xml:space="preserve"> tanto el gobierno nacional como los gobiernos departamentales y municipales</w:t>
      </w:r>
      <w:r w:rsidR="00E04755" w:rsidRPr="0078289D">
        <w:rPr>
          <w:sz w:val="28"/>
          <w:szCs w:val="28"/>
          <w:lang w:val="es-ES_tradnl"/>
        </w:rPr>
        <w:t>,</w:t>
      </w:r>
      <w:r w:rsidRPr="0078289D">
        <w:rPr>
          <w:sz w:val="28"/>
          <w:szCs w:val="28"/>
          <w:lang w:val="es-ES_tradnl"/>
        </w:rPr>
        <w:t xml:space="preserve"> y sus agentes</w:t>
      </w:r>
      <w:r w:rsidR="00E04755" w:rsidRPr="0078289D">
        <w:rPr>
          <w:sz w:val="28"/>
          <w:szCs w:val="28"/>
          <w:lang w:val="es-ES_tradnl"/>
        </w:rPr>
        <w:t>,</w:t>
      </w:r>
      <w:r w:rsidRPr="0078289D">
        <w:rPr>
          <w:sz w:val="28"/>
          <w:szCs w:val="28"/>
          <w:lang w:val="es-ES_tradnl"/>
        </w:rPr>
        <w:t xml:space="preserve"> tienen facultades para adelantar procesos de expropiación</w:t>
      </w:r>
      <w:r w:rsidR="0077157B" w:rsidRPr="0078289D">
        <w:rPr>
          <w:sz w:val="28"/>
          <w:szCs w:val="28"/>
          <w:lang w:val="es-ES_tradnl"/>
        </w:rPr>
        <w:t xml:space="preserve"> siempre que medien motivos de interés social y utilidad pública previamente definidos por el legislador</w:t>
      </w:r>
      <w:r w:rsidRPr="0078289D">
        <w:rPr>
          <w:sz w:val="28"/>
          <w:szCs w:val="28"/>
          <w:lang w:val="es-ES_tradnl"/>
        </w:rPr>
        <w:t>. Sin duda, como lo ha reconocido esta Corte en reiteradas ocasiones</w:t>
      </w:r>
      <w:r w:rsidR="00E04755" w:rsidRPr="0078289D">
        <w:rPr>
          <w:sz w:val="28"/>
          <w:szCs w:val="28"/>
          <w:lang w:val="es-ES_tradnl"/>
        </w:rPr>
        <w:t>, y lo sostuvo previamente la presente sentencia,</w:t>
      </w:r>
      <w:r w:rsidRPr="0078289D">
        <w:rPr>
          <w:sz w:val="28"/>
          <w:szCs w:val="28"/>
          <w:lang w:val="es-ES_tradnl"/>
        </w:rPr>
        <w:t xml:space="preserve"> la expropiación supone una limitación al derecho de propiedad. Sin embargo, de ello no se desprende que la decisión de expropiar afecte también la facultad que tienen las entidades territoriales, específicamente de los concejos, para determinar los usos del suelo dentro de sus respectivos territorios conforme al artículo 313 numeral 7º</w:t>
      </w:r>
      <w:r w:rsidR="00A04340" w:rsidRPr="0078289D">
        <w:rPr>
          <w:sz w:val="28"/>
          <w:szCs w:val="28"/>
          <w:lang w:val="es-ES_tradnl"/>
        </w:rPr>
        <w:t xml:space="preserve"> superior</w:t>
      </w:r>
      <w:r w:rsidRPr="0078289D">
        <w:rPr>
          <w:sz w:val="28"/>
          <w:szCs w:val="28"/>
          <w:lang w:val="es-ES_tradnl"/>
        </w:rPr>
        <w:t xml:space="preserve">. La facultad para reglamentar los usos del suelo supone la expedición de normas de carácter general, que no se ve restringida por el ejercicio de la facultad para expropiar predios particulares para la realización de proyectos de interés nacional.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A37961" w:rsidP="0078289D">
      <w:pPr>
        <w:pBdr>
          <w:top w:val="none" w:sz="0" w:space="0" w:color="auto"/>
          <w:left w:val="none" w:sz="0" w:space="0" w:color="auto"/>
          <w:bottom w:val="none" w:sz="0" w:space="0" w:color="auto"/>
          <w:right w:val="none" w:sz="0" w:space="0" w:color="auto"/>
        </w:pBdr>
        <w:jc w:val="both"/>
        <w:rPr>
          <w:sz w:val="28"/>
          <w:szCs w:val="28"/>
          <w:lang w:val="es-CO"/>
        </w:rPr>
      </w:pPr>
      <w:r w:rsidRPr="0078289D">
        <w:rPr>
          <w:sz w:val="28"/>
          <w:szCs w:val="28"/>
          <w:lang w:val="es-ES_tradnl"/>
        </w:rPr>
        <w:t xml:space="preserve">La consagración explícita de la expropiación en la Constitución </w:t>
      </w:r>
      <w:r w:rsidR="00412096" w:rsidRPr="0078289D">
        <w:rPr>
          <w:sz w:val="28"/>
          <w:szCs w:val="28"/>
          <w:lang w:val="es-ES_tradnl"/>
        </w:rPr>
        <w:t xml:space="preserve">no significa que la facultad </w:t>
      </w:r>
      <w:r w:rsidR="00A20F6F" w:rsidRPr="0078289D">
        <w:rPr>
          <w:sz w:val="28"/>
          <w:szCs w:val="28"/>
          <w:lang w:val="es-ES_tradnl"/>
        </w:rPr>
        <w:t>estatal para</w:t>
      </w:r>
      <w:r w:rsidR="00412096" w:rsidRPr="0078289D">
        <w:rPr>
          <w:sz w:val="28"/>
          <w:szCs w:val="28"/>
          <w:lang w:val="es-ES_tradnl"/>
        </w:rPr>
        <w:t xml:space="preserve"> expropiar predios sea absoluta. Sin duda, en ciertos casos la expropiación puede llegar a ejercerse de manera arbitraria, desconociendo los planes básicos de ordenamiento territorial de los municipios. Sin embargo, en tales casos la arbitrariedad no será una consecuencia predicable de la ley</w:t>
      </w:r>
      <w:r w:rsidR="00797662" w:rsidRPr="0078289D">
        <w:rPr>
          <w:sz w:val="28"/>
          <w:szCs w:val="28"/>
          <w:lang w:val="es-ES_tradnl"/>
        </w:rPr>
        <w:t xml:space="preserve"> que faculta la expropiación</w:t>
      </w:r>
      <w:r w:rsidR="00412096" w:rsidRPr="0078289D">
        <w:rPr>
          <w:sz w:val="28"/>
          <w:szCs w:val="28"/>
          <w:lang w:val="es-ES_tradnl"/>
        </w:rPr>
        <w:t xml:space="preserve">, sino de su ejercicio </w:t>
      </w:r>
      <w:r w:rsidR="00797662" w:rsidRPr="0078289D">
        <w:rPr>
          <w:sz w:val="28"/>
          <w:szCs w:val="28"/>
          <w:lang w:val="es-ES_tradnl"/>
        </w:rPr>
        <w:t xml:space="preserve">en el caso concreto, </w:t>
      </w:r>
      <w:r w:rsidR="00412096" w:rsidRPr="0078289D">
        <w:rPr>
          <w:sz w:val="28"/>
          <w:szCs w:val="28"/>
          <w:lang w:val="es-ES_tradnl"/>
        </w:rPr>
        <w:t xml:space="preserve">por parte de entidades específicas. Por lo tanto, la evaluación de la arbitrariedad en el ejercicio de la expropiación debe llevarse a cabo en cada caso concreto. Tampoco puede suponerse </w:t>
      </w:r>
      <w:r w:rsidR="00412096" w:rsidRPr="0078289D">
        <w:rPr>
          <w:i/>
          <w:sz w:val="28"/>
          <w:szCs w:val="28"/>
          <w:lang w:val="es-ES_tradnl"/>
        </w:rPr>
        <w:t>a priori</w:t>
      </w:r>
      <w:r w:rsidR="00412096" w:rsidRPr="0078289D">
        <w:rPr>
          <w:sz w:val="28"/>
          <w:szCs w:val="28"/>
          <w:lang w:val="es-ES_tradnl"/>
        </w:rPr>
        <w:t xml:space="preserve"> que por tratarse</w:t>
      </w:r>
      <w:r w:rsidR="00B2096B" w:rsidRPr="0078289D">
        <w:rPr>
          <w:sz w:val="28"/>
          <w:szCs w:val="28"/>
          <w:lang w:val="es-ES_tradnl"/>
        </w:rPr>
        <w:t xml:space="preserve"> de proyectos de interés de la N</w:t>
      </w:r>
      <w:r w:rsidR="00412096" w:rsidRPr="0078289D">
        <w:rPr>
          <w:sz w:val="28"/>
          <w:szCs w:val="28"/>
          <w:lang w:val="es-ES_tradnl"/>
        </w:rPr>
        <w:t xml:space="preserve">ación, o porque la ley atribuye su identificación y clasificación a una entidad del gobierno nacional, </w:t>
      </w:r>
      <w:r w:rsidR="00412096" w:rsidRPr="0078289D">
        <w:rPr>
          <w:sz w:val="28"/>
          <w:szCs w:val="28"/>
          <w:lang w:val="es-CO"/>
        </w:rPr>
        <w:t xml:space="preserve">se </w:t>
      </w:r>
      <w:r w:rsidR="00A04340" w:rsidRPr="0078289D">
        <w:rPr>
          <w:sz w:val="28"/>
          <w:szCs w:val="28"/>
          <w:lang w:val="es-ES_tradnl"/>
        </w:rPr>
        <w:t>desconocen</w:t>
      </w:r>
      <w:r w:rsidR="00412096" w:rsidRPr="0078289D">
        <w:rPr>
          <w:sz w:val="28"/>
          <w:szCs w:val="28"/>
          <w:lang w:val="es-ES_tradnl"/>
        </w:rPr>
        <w:t xml:space="preserve"> o se van a desconocer los planes de ordenamiento territorial de los municipios y distritos</w:t>
      </w:r>
      <w:r w:rsidR="00B2096B" w:rsidRPr="0078289D">
        <w:rPr>
          <w:sz w:val="28"/>
          <w:szCs w:val="28"/>
          <w:lang w:val="es-ES_tradnl"/>
        </w:rPr>
        <w:t>, independientemente del tipo de proyecto que se pretenda realizar</w:t>
      </w:r>
      <w:r w:rsidR="00412096" w:rsidRPr="0078289D">
        <w:rPr>
          <w:sz w:val="28"/>
          <w:szCs w:val="28"/>
          <w:lang w:val="es-ES_tradnl"/>
        </w:rPr>
        <w:t xml:space="preserve">. En esa medida, tampoco encuentra esta Corporación una afectación del principio de descentralización territorial o un desconocimiento de las funciones atribuidas por la </w:t>
      </w:r>
      <w:r w:rsidR="00A04340" w:rsidRPr="0078289D">
        <w:rPr>
          <w:sz w:val="28"/>
          <w:szCs w:val="28"/>
          <w:lang w:val="es-ES_tradnl"/>
        </w:rPr>
        <w:t>C</w:t>
      </w:r>
      <w:r w:rsidR="00412096" w:rsidRPr="0078289D">
        <w:rPr>
          <w:sz w:val="28"/>
          <w:szCs w:val="28"/>
          <w:lang w:val="es-ES_tradnl"/>
        </w:rPr>
        <w:t xml:space="preserve">onstitución a las entidades territoriales. </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Default="008F21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8</w:t>
      </w:r>
      <w:r w:rsidR="00412096" w:rsidRPr="0078289D">
        <w:rPr>
          <w:sz w:val="28"/>
          <w:szCs w:val="28"/>
          <w:lang w:val="es-ES_tradnl"/>
        </w:rPr>
        <w:t>4. En el presente caso, entonces, es necesario concluir que la atribución de una competencia para decidir qué proyectos son de interés nacional y estratégico en cabeza de la CIIPE no vulnera ninguna de las competencias o funciones atribuidas por la Constitución a las entidades territoriales. Por lo tanto, la Corte declarará exequible</w:t>
      </w:r>
      <w:r w:rsidR="00FA7A54" w:rsidRPr="0078289D">
        <w:rPr>
          <w:sz w:val="28"/>
          <w:szCs w:val="28"/>
          <w:lang w:val="es-ES_tradnl"/>
        </w:rPr>
        <w:t>s</w:t>
      </w:r>
      <w:r w:rsidR="00412096" w:rsidRPr="0078289D">
        <w:rPr>
          <w:sz w:val="28"/>
          <w:szCs w:val="28"/>
          <w:lang w:val="es-ES_tradnl"/>
        </w:rPr>
        <w:t xml:space="preserve"> </w:t>
      </w:r>
      <w:r w:rsidR="00FA7A54" w:rsidRPr="0078289D">
        <w:rPr>
          <w:sz w:val="28"/>
          <w:szCs w:val="28"/>
          <w:lang w:val="es-ES_tradnl"/>
        </w:rPr>
        <w:t>los</w:t>
      </w:r>
      <w:r w:rsidR="00D32A44" w:rsidRPr="0078289D">
        <w:rPr>
          <w:sz w:val="28"/>
          <w:szCs w:val="28"/>
          <w:lang w:val="es-ES_tradnl"/>
        </w:rPr>
        <w:t xml:space="preserve"> incisos 1,</w:t>
      </w:r>
      <w:r w:rsidR="00FA7A54" w:rsidRPr="0078289D">
        <w:rPr>
          <w:sz w:val="28"/>
          <w:szCs w:val="28"/>
          <w:lang w:val="es-ES_tradnl"/>
        </w:rPr>
        <w:t xml:space="preserve"> </w:t>
      </w:r>
      <w:r w:rsidR="00D32A44" w:rsidRPr="0078289D">
        <w:rPr>
          <w:sz w:val="28"/>
          <w:szCs w:val="28"/>
          <w:lang w:val="es-ES_tradnl"/>
        </w:rPr>
        <w:t>2 y 5</w:t>
      </w:r>
      <w:r w:rsidR="00FA7A54" w:rsidRPr="0078289D">
        <w:rPr>
          <w:sz w:val="28"/>
          <w:szCs w:val="28"/>
          <w:lang w:val="es-ES_tradnl"/>
        </w:rPr>
        <w:t>,</w:t>
      </w:r>
      <w:r w:rsidR="00D32A44" w:rsidRPr="0078289D">
        <w:rPr>
          <w:sz w:val="28"/>
          <w:szCs w:val="28"/>
          <w:lang w:val="es-ES_tradnl"/>
        </w:rPr>
        <w:t xml:space="preserve"> </w:t>
      </w:r>
      <w:r w:rsidR="00412096" w:rsidRPr="0078289D">
        <w:rPr>
          <w:sz w:val="28"/>
          <w:szCs w:val="28"/>
          <w:lang w:val="es-ES_tradnl"/>
        </w:rPr>
        <w:t xml:space="preserve"> </w:t>
      </w:r>
      <w:r w:rsidR="00FA7A54" w:rsidRPr="0078289D">
        <w:rPr>
          <w:sz w:val="28"/>
          <w:szCs w:val="28"/>
          <w:lang w:val="es-ES_tradnl"/>
        </w:rPr>
        <w:t>así como</w:t>
      </w:r>
      <w:r w:rsidR="00412096" w:rsidRPr="0078289D">
        <w:rPr>
          <w:sz w:val="28"/>
          <w:szCs w:val="28"/>
          <w:lang w:val="es-ES_tradnl"/>
        </w:rPr>
        <w:t xml:space="preserve"> la expresión “</w:t>
      </w:r>
      <w:r w:rsidR="00412096" w:rsidRPr="0078289D">
        <w:rPr>
          <w:i/>
          <w:sz w:val="28"/>
          <w:szCs w:val="28"/>
          <w:lang w:val="es-ES_tradnl"/>
        </w:rPr>
        <w:t>que hayan sido calificados de interés nacional y estratégico por la Comisión Intersectorial de Infraestructura y Proyectos Estratégicos (CIIPE)</w:t>
      </w:r>
      <w:r w:rsidR="00412096" w:rsidRPr="0078289D">
        <w:rPr>
          <w:sz w:val="28"/>
          <w:szCs w:val="28"/>
          <w:lang w:val="es-ES_tradnl"/>
        </w:rPr>
        <w:t>”, contenida en el artículo 52 de la Ley 1753 de 2015</w:t>
      </w:r>
      <w:r w:rsidR="00FA7A54" w:rsidRPr="0078289D">
        <w:rPr>
          <w:sz w:val="28"/>
          <w:szCs w:val="28"/>
          <w:lang w:val="es-ES_tradnl"/>
        </w:rPr>
        <w:t xml:space="preserve"> por el cargo analizado</w:t>
      </w:r>
      <w:r w:rsidR="00412096" w:rsidRPr="0078289D">
        <w:rPr>
          <w:sz w:val="28"/>
          <w:szCs w:val="28"/>
          <w:lang w:val="es-ES_tradnl"/>
        </w:rPr>
        <w:t>.</w:t>
      </w:r>
    </w:p>
    <w:p w:rsidR="00863529" w:rsidRPr="0078289D" w:rsidRDefault="0086352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Una vez </w:t>
      </w:r>
      <w:r w:rsidR="00FA7A54" w:rsidRPr="0078289D">
        <w:rPr>
          <w:rFonts w:eastAsia="Times New Roman"/>
          <w:sz w:val="28"/>
          <w:szCs w:val="28"/>
          <w:lang w:val="es-CO"/>
        </w:rPr>
        <w:t>estudiado</w:t>
      </w:r>
      <w:r w:rsidRPr="0078289D">
        <w:rPr>
          <w:rFonts w:eastAsia="Times New Roman"/>
          <w:sz w:val="28"/>
          <w:szCs w:val="28"/>
          <w:lang w:val="es-CO"/>
        </w:rPr>
        <w:t xml:space="preserve"> lo atinente a la presunta vulneración del principio de descentralización, de la autonomía de las entidades territoriales</w:t>
      </w:r>
      <w:r w:rsidR="003B2793" w:rsidRPr="0078289D">
        <w:rPr>
          <w:rFonts w:eastAsia="Times New Roman"/>
          <w:sz w:val="28"/>
          <w:szCs w:val="28"/>
          <w:lang w:val="es-CO"/>
        </w:rPr>
        <w:t>, en particular la facultad de los concejos</w:t>
      </w:r>
      <w:r w:rsidRPr="0078289D">
        <w:rPr>
          <w:rFonts w:eastAsia="Times New Roman"/>
          <w:sz w:val="28"/>
          <w:szCs w:val="28"/>
          <w:lang w:val="es-CO"/>
        </w:rPr>
        <w:t xml:space="preserve"> para </w:t>
      </w:r>
      <w:r w:rsidR="003B2793" w:rsidRPr="0078289D">
        <w:rPr>
          <w:rFonts w:eastAsia="Times New Roman"/>
          <w:sz w:val="28"/>
          <w:szCs w:val="28"/>
          <w:lang w:val="es-CO"/>
        </w:rPr>
        <w:t>reglamentar</w:t>
      </w:r>
      <w:r w:rsidRPr="0078289D">
        <w:rPr>
          <w:rFonts w:eastAsia="Times New Roman"/>
          <w:sz w:val="28"/>
          <w:szCs w:val="28"/>
          <w:lang w:val="es-CO"/>
        </w:rPr>
        <w:t xml:space="preserve"> los usos del suelo, y del principio de participación ciudadana, entra la Corte a analizar </w:t>
      </w:r>
      <w:r w:rsidR="00DE09E0" w:rsidRPr="0078289D">
        <w:rPr>
          <w:rFonts w:eastAsia="Times New Roman"/>
          <w:sz w:val="28"/>
          <w:szCs w:val="28"/>
          <w:lang w:val="es-CO"/>
        </w:rPr>
        <w:t>el cargo por</w:t>
      </w:r>
      <w:r w:rsidRPr="0078289D">
        <w:rPr>
          <w:rFonts w:eastAsia="Times New Roman"/>
          <w:sz w:val="28"/>
          <w:szCs w:val="28"/>
          <w:lang w:val="es-CO"/>
        </w:rPr>
        <w:t xml:space="preserve"> presunta vulneración del artículo 58 de la Constitución</w:t>
      </w:r>
      <w:r w:rsidR="003622C4" w:rsidRPr="0078289D">
        <w:rPr>
          <w:rFonts w:eastAsia="Times New Roman"/>
          <w:sz w:val="28"/>
          <w:szCs w:val="28"/>
          <w:lang w:val="es-CO"/>
        </w:rPr>
        <w:t>,</w:t>
      </w:r>
      <w:r w:rsidRPr="0078289D">
        <w:rPr>
          <w:rFonts w:eastAsia="Times New Roman"/>
          <w:sz w:val="28"/>
          <w:szCs w:val="28"/>
          <w:lang w:val="es-CO"/>
        </w:rPr>
        <w:t xml:space="preserve"> </w:t>
      </w:r>
      <w:r w:rsidR="003622C4" w:rsidRPr="0078289D">
        <w:rPr>
          <w:rFonts w:eastAsia="Times New Roman"/>
          <w:sz w:val="28"/>
          <w:szCs w:val="28"/>
          <w:lang w:val="es-CO"/>
        </w:rPr>
        <w:t>formulado con base en</w:t>
      </w:r>
      <w:r w:rsidR="00DE09E0" w:rsidRPr="0078289D">
        <w:rPr>
          <w:rFonts w:eastAsia="Times New Roman"/>
          <w:sz w:val="28"/>
          <w:szCs w:val="28"/>
          <w:lang w:val="es-CO"/>
        </w:rPr>
        <w:t xml:space="preserve"> </w:t>
      </w:r>
      <w:r w:rsidR="003622C4" w:rsidRPr="0078289D">
        <w:rPr>
          <w:rFonts w:eastAsia="Times New Roman"/>
          <w:sz w:val="28"/>
          <w:szCs w:val="28"/>
          <w:lang w:val="es-CO"/>
        </w:rPr>
        <w:t xml:space="preserve">que </w:t>
      </w:r>
      <w:r w:rsidR="00DE09E0" w:rsidRPr="0078289D">
        <w:rPr>
          <w:rFonts w:eastAsia="Times New Roman"/>
          <w:sz w:val="28"/>
          <w:szCs w:val="28"/>
          <w:lang w:val="es-CO"/>
        </w:rPr>
        <w:t>la</w:t>
      </w:r>
      <w:r w:rsidRPr="0078289D">
        <w:rPr>
          <w:rFonts w:eastAsia="Times New Roman"/>
          <w:sz w:val="28"/>
          <w:szCs w:val="28"/>
          <w:lang w:val="es-CO"/>
        </w:rPr>
        <w:t xml:space="preserve"> definición de la </w:t>
      </w:r>
      <w:r w:rsidRPr="0078289D">
        <w:rPr>
          <w:rFonts w:eastAsia="Times New Roman"/>
          <w:i/>
          <w:sz w:val="28"/>
          <w:szCs w:val="28"/>
          <w:lang w:val="es-CO"/>
        </w:rPr>
        <w:t>causa</w:t>
      </w:r>
      <w:r w:rsidRPr="0078289D">
        <w:rPr>
          <w:rFonts w:eastAsia="Times New Roman"/>
          <w:sz w:val="28"/>
          <w:szCs w:val="28"/>
          <w:lang w:val="es-CO"/>
        </w:rPr>
        <w:t xml:space="preserve"> </w:t>
      </w:r>
      <w:r w:rsidRPr="0078289D">
        <w:rPr>
          <w:rFonts w:eastAsia="Times New Roman"/>
          <w:i/>
          <w:sz w:val="28"/>
          <w:szCs w:val="28"/>
          <w:lang w:val="es-CO"/>
        </w:rPr>
        <w:t>expropiandi</w:t>
      </w:r>
      <w:r w:rsidR="002957A7" w:rsidRPr="0078289D">
        <w:rPr>
          <w:rFonts w:eastAsia="Times New Roman"/>
          <w:sz w:val="28"/>
          <w:szCs w:val="28"/>
          <w:lang w:val="es-CO"/>
        </w:rPr>
        <w:t xml:space="preserve"> es insuficiente</w:t>
      </w:r>
      <w:r w:rsidR="00DE09E0" w:rsidRPr="0078289D">
        <w:rPr>
          <w:rFonts w:eastAsia="Times New Roman"/>
          <w:sz w:val="28"/>
          <w:szCs w:val="28"/>
          <w:lang w:val="es-CO"/>
        </w:rPr>
        <w:t xml:space="preserve"> </w:t>
      </w:r>
      <w:r w:rsidR="002957A7" w:rsidRPr="0078289D">
        <w:rPr>
          <w:rFonts w:eastAsia="Times New Roman"/>
          <w:sz w:val="28"/>
          <w:szCs w:val="28"/>
          <w:lang w:val="es-CO"/>
        </w:rPr>
        <w:t>para ejercer</w:t>
      </w:r>
      <w:r w:rsidR="007B7417" w:rsidRPr="0078289D">
        <w:rPr>
          <w:rFonts w:eastAsia="Times New Roman"/>
          <w:sz w:val="28"/>
          <w:szCs w:val="28"/>
          <w:lang w:val="es-CO"/>
        </w:rPr>
        <w:t xml:space="preserve"> la facultad para </w:t>
      </w:r>
      <w:r w:rsidR="007B7417" w:rsidRPr="0078289D">
        <w:rPr>
          <w:rFonts w:eastAsia="Times New Roman"/>
          <w:sz w:val="28"/>
          <w:szCs w:val="28"/>
          <w:lang w:val="es-CO"/>
        </w:rPr>
        <w:lastRenderedPageBreak/>
        <w:t>adelantar expropiaciones</w:t>
      </w:r>
      <w:r w:rsidR="002957A7" w:rsidRPr="0078289D">
        <w:rPr>
          <w:rFonts w:eastAsia="Times New Roman"/>
          <w:sz w:val="28"/>
          <w:szCs w:val="28"/>
          <w:lang w:val="es-CO"/>
        </w:rPr>
        <w:t>,</w:t>
      </w:r>
      <w:r w:rsidR="007B7417" w:rsidRPr="0078289D">
        <w:rPr>
          <w:rFonts w:eastAsia="Times New Roman"/>
          <w:sz w:val="28"/>
          <w:szCs w:val="28"/>
          <w:lang w:val="es-CO"/>
        </w:rPr>
        <w:t xml:space="preserve"> contemplada en e</w:t>
      </w:r>
      <w:r w:rsidR="00DE09E0" w:rsidRPr="0078289D">
        <w:rPr>
          <w:rFonts w:eastAsia="Times New Roman"/>
          <w:sz w:val="28"/>
          <w:szCs w:val="28"/>
          <w:lang w:val="es-CO"/>
        </w:rPr>
        <w:t>l inciso tercero del artículo 49 de la Ley 1753 de 2015.</w:t>
      </w:r>
    </w:p>
    <w:p w:rsidR="00412096" w:rsidRPr="0078289D" w:rsidRDefault="00412096"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b/>
          <w:i/>
          <w:sz w:val="28"/>
          <w:szCs w:val="28"/>
          <w:lang w:val="es-CO"/>
        </w:rPr>
      </w:pPr>
      <w:r w:rsidRPr="0078289D">
        <w:rPr>
          <w:rFonts w:eastAsia="Times New Roman"/>
          <w:b/>
          <w:i/>
          <w:sz w:val="28"/>
          <w:szCs w:val="28"/>
          <w:lang w:val="es-CO"/>
        </w:rPr>
        <w:t>La propiedad privada, los motivos de utilidad pública e interés social y la garantías del debido proceso en los procesos de expropiación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8</w:t>
      </w:r>
      <w:r w:rsidR="003B2793" w:rsidRPr="0078289D">
        <w:rPr>
          <w:rFonts w:eastAsia="Times New Roman"/>
          <w:sz w:val="28"/>
          <w:szCs w:val="28"/>
          <w:lang w:val="es-CO"/>
        </w:rPr>
        <w:t xml:space="preserve">5. </w:t>
      </w:r>
      <w:r w:rsidR="006034AB" w:rsidRPr="0078289D">
        <w:rPr>
          <w:rFonts w:eastAsia="Times New Roman"/>
          <w:sz w:val="28"/>
          <w:szCs w:val="28"/>
          <w:lang w:val="es-CO"/>
        </w:rPr>
        <w:t>Como lo sostuvo la Corte al analizar los cargos formulados contra el artículo 50 de la Ley 1753 de 2015, e</w:t>
      </w:r>
      <w:r w:rsidR="00412096" w:rsidRPr="0078289D">
        <w:rPr>
          <w:rFonts w:eastAsia="Times New Roman"/>
          <w:sz w:val="28"/>
          <w:szCs w:val="28"/>
          <w:lang w:val="es-CO"/>
        </w:rPr>
        <w:t>l artículo 58 de la Constitución Política garantiza el derecho de propiedad, pero</w:t>
      </w:r>
      <w:r w:rsidR="00702F89" w:rsidRPr="0078289D">
        <w:rPr>
          <w:rFonts w:eastAsia="Times New Roman"/>
          <w:sz w:val="28"/>
          <w:szCs w:val="28"/>
          <w:lang w:val="es-CO"/>
        </w:rPr>
        <w:t xml:space="preserve"> </w:t>
      </w:r>
      <w:r w:rsidR="00876776" w:rsidRPr="0078289D">
        <w:rPr>
          <w:rFonts w:eastAsia="Times New Roman"/>
          <w:sz w:val="28"/>
          <w:szCs w:val="28"/>
          <w:lang w:val="es-CO"/>
        </w:rPr>
        <w:t>lo limita</w:t>
      </w:r>
      <w:r w:rsidR="00412096" w:rsidRPr="0078289D">
        <w:rPr>
          <w:rFonts w:eastAsia="Times New Roman"/>
          <w:sz w:val="28"/>
          <w:szCs w:val="28"/>
          <w:lang w:val="es-CO"/>
        </w:rPr>
        <w:t xml:space="preserve"> </w:t>
      </w:r>
      <w:r w:rsidR="005D034A" w:rsidRPr="0078289D">
        <w:rPr>
          <w:rFonts w:eastAsia="Times New Roman"/>
          <w:sz w:val="28"/>
          <w:szCs w:val="28"/>
          <w:lang w:val="es-CO"/>
        </w:rPr>
        <w:t>al contemplar</w:t>
      </w:r>
      <w:r w:rsidR="00412096" w:rsidRPr="0078289D">
        <w:rPr>
          <w:rFonts w:eastAsia="Times New Roman"/>
          <w:sz w:val="28"/>
          <w:szCs w:val="28"/>
          <w:lang w:val="es-CO"/>
        </w:rPr>
        <w:t xml:space="preserve"> la expropiación administrativa y judicial. Por su parte, el artículo 49 </w:t>
      </w:r>
      <w:r w:rsidR="00F1078A" w:rsidRPr="0078289D">
        <w:rPr>
          <w:rFonts w:eastAsia="Times New Roman"/>
          <w:sz w:val="28"/>
          <w:szCs w:val="28"/>
          <w:lang w:val="es-CO"/>
        </w:rPr>
        <w:t>de la Ley 1753 de 2015</w:t>
      </w:r>
      <w:r w:rsidR="00412096" w:rsidRPr="0078289D">
        <w:rPr>
          <w:rFonts w:eastAsia="Times New Roman"/>
          <w:sz w:val="28"/>
          <w:szCs w:val="28"/>
          <w:lang w:val="es-CO"/>
        </w:rPr>
        <w:t xml:space="preserve"> faculta a la CIIPE para </w:t>
      </w:r>
      <w:r w:rsidR="009D0515" w:rsidRPr="0078289D">
        <w:rPr>
          <w:rFonts w:eastAsia="Times New Roman"/>
          <w:sz w:val="28"/>
          <w:szCs w:val="28"/>
          <w:lang w:val="es-CO"/>
        </w:rPr>
        <w:t>calificar proyectos como PINE</w:t>
      </w:r>
      <w:r w:rsidR="000D0C01" w:rsidRPr="0078289D">
        <w:rPr>
          <w:rFonts w:eastAsia="Times New Roman"/>
          <w:sz w:val="28"/>
          <w:szCs w:val="28"/>
          <w:lang w:val="es-CO"/>
        </w:rPr>
        <w:t xml:space="preserve"> cuando tengan un “</w:t>
      </w:r>
      <w:r w:rsidR="000D0C01" w:rsidRPr="0078289D">
        <w:rPr>
          <w:i/>
          <w:color w:val="000000"/>
          <w:sz w:val="28"/>
          <w:szCs w:val="28"/>
          <w:lang w:val="es-ES_tradnl" w:eastAsia="es-ES"/>
        </w:rPr>
        <w:t>alto impacto en el crecimiento económico y social del país.</w:t>
      </w:r>
      <w:r w:rsidR="000D0C01" w:rsidRPr="0078289D">
        <w:rPr>
          <w:color w:val="000000"/>
          <w:sz w:val="28"/>
          <w:szCs w:val="28"/>
          <w:lang w:val="es-ES_tradnl" w:eastAsia="es-ES"/>
        </w:rPr>
        <w:t>”</w:t>
      </w:r>
      <w:r w:rsidR="00412096" w:rsidRPr="0078289D">
        <w:rPr>
          <w:rFonts w:eastAsia="Times New Roman"/>
          <w:sz w:val="28"/>
          <w:szCs w:val="28"/>
          <w:lang w:val="es-CO"/>
        </w:rPr>
        <w:t xml:space="preserve"> </w:t>
      </w:r>
      <w:r w:rsidR="000D0C01" w:rsidRPr="0078289D">
        <w:rPr>
          <w:rFonts w:eastAsia="Times New Roman"/>
          <w:sz w:val="28"/>
          <w:szCs w:val="28"/>
          <w:lang w:val="es-CO"/>
        </w:rPr>
        <w:t>A lo anterior agrega que, al calificar un proyecto como PINE,</w:t>
      </w:r>
      <w:r w:rsidR="0000721D" w:rsidRPr="0078289D">
        <w:rPr>
          <w:rFonts w:eastAsia="Times New Roman"/>
          <w:sz w:val="28"/>
          <w:szCs w:val="28"/>
          <w:lang w:val="es-CO"/>
        </w:rPr>
        <w:t xml:space="preserve"> </w:t>
      </w:r>
      <w:r w:rsidR="003F0079" w:rsidRPr="0078289D">
        <w:rPr>
          <w:rFonts w:eastAsia="Times New Roman"/>
          <w:sz w:val="28"/>
          <w:szCs w:val="28"/>
          <w:lang w:val="es-CO"/>
        </w:rPr>
        <w:t xml:space="preserve">su ejecución y desarrollo se declara </w:t>
      </w:r>
      <w:r w:rsidR="00412096" w:rsidRPr="0078289D">
        <w:rPr>
          <w:rFonts w:eastAsia="Times New Roman"/>
          <w:sz w:val="28"/>
          <w:szCs w:val="28"/>
          <w:lang w:val="es-CO"/>
        </w:rPr>
        <w:t>de utilidad pública e interés social</w:t>
      </w:r>
      <w:r w:rsidR="003F0079" w:rsidRPr="0078289D">
        <w:rPr>
          <w:rFonts w:eastAsia="Times New Roman"/>
          <w:sz w:val="28"/>
          <w:szCs w:val="28"/>
          <w:lang w:val="es-CO"/>
        </w:rPr>
        <w:t>,</w:t>
      </w:r>
      <w:r w:rsidR="009671A7" w:rsidRPr="0078289D">
        <w:rPr>
          <w:rFonts w:eastAsia="Times New Roman"/>
          <w:sz w:val="28"/>
          <w:szCs w:val="28"/>
          <w:lang w:val="es-CO"/>
        </w:rPr>
        <w:t xml:space="preserve"> y </w:t>
      </w:r>
      <w:r w:rsidR="003F0079" w:rsidRPr="0078289D">
        <w:rPr>
          <w:rFonts w:eastAsia="Times New Roman"/>
          <w:sz w:val="28"/>
          <w:szCs w:val="28"/>
          <w:lang w:val="es-CO"/>
        </w:rPr>
        <w:t>se permite</w:t>
      </w:r>
      <w:r w:rsidR="009671A7" w:rsidRPr="0078289D">
        <w:rPr>
          <w:rFonts w:eastAsia="Times New Roman"/>
          <w:sz w:val="28"/>
          <w:szCs w:val="28"/>
          <w:lang w:val="es-CO"/>
        </w:rPr>
        <w:t xml:space="preserve"> la expropiación de predios</w:t>
      </w:r>
      <w:r w:rsidR="009D0515" w:rsidRPr="0078289D">
        <w:rPr>
          <w:rFonts w:eastAsia="Times New Roman"/>
          <w:sz w:val="28"/>
          <w:szCs w:val="28"/>
          <w:lang w:val="es-CO"/>
        </w:rPr>
        <w:t xml:space="preserve"> requeridos para </w:t>
      </w:r>
      <w:r w:rsidR="00541FEE" w:rsidRPr="0078289D">
        <w:rPr>
          <w:rFonts w:eastAsia="Times New Roman"/>
          <w:sz w:val="28"/>
          <w:szCs w:val="28"/>
          <w:lang w:val="es-CO"/>
        </w:rPr>
        <w:t xml:space="preserve">ello.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8</w:t>
      </w:r>
      <w:r w:rsidR="00412096" w:rsidRPr="0078289D">
        <w:rPr>
          <w:rFonts w:eastAsia="Times New Roman"/>
          <w:sz w:val="28"/>
          <w:szCs w:val="28"/>
          <w:lang w:val="es-CO"/>
        </w:rPr>
        <w:t xml:space="preserve">6. Los demandantes aducen que el artículo 49 demandado es inconstitucional en cuanto la CIIPE puede decidir </w:t>
      </w:r>
      <w:r w:rsidR="00EC44DA" w:rsidRPr="0078289D">
        <w:rPr>
          <w:rFonts w:eastAsia="Times New Roman"/>
          <w:sz w:val="28"/>
          <w:szCs w:val="28"/>
          <w:lang w:val="es-CO"/>
        </w:rPr>
        <w:t xml:space="preserve">en </w:t>
      </w:r>
      <w:r w:rsidR="00412096" w:rsidRPr="0078289D">
        <w:rPr>
          <w:rFonts w:eastAsia="Times New Roman"/>
          <w:sz w:val="28"/>
          <w:szCs w:val="28"/>
          <w:lang w:val="es-CO"/>
        </w:rPr>
        <w:t xml:space="preserve">qué proyectos </w:t>
      </w:r>
      <w:r w:rsidR="00EC44DA" w:rsidRPr="0078289D">
        <w:rPr>
          <w:rFonts w:eastAsia="Times New Roman"/>
          <w:sz w:val="28"/>
          <w:szCs w:val="28"/>
          <w:lang w:val="es-CO"/>
        </w:rPr>
        <w:t>pueden iniciar procedimientos de expropiación</w:t>
      </w:r>
      <w:r w:rsidR="00412096" w:rsidRPr="0078289D">
        <w:rPr>
          <w:rFonts w:eastAsia="Times New Roman"/>
          <w:sz w:val="28"/>
          <w:szCs w:val="28"/>
          <w:lang w:val="es-CO"/>
        </w:rPr>
        <w:t xml:space="preserve"> las entidades estatales, sin que </w:t>
      </w:r>
      <w:r w:rsidR="00EC44DA" w:rsidRPr="0078289D">
        <w:rPr>
          <w:rFonts w:eastAsia="Times New Roman"/>
          <w:sz w:val="28"/>
          <w:szCs w:val="28"/>
          <w:lang w:val="es-CO"/>
        </w:rPr>
        <w:t>el legislador haya</w:t>
      </w:r>
      <w:r w:rsidR="00412096" w:rsidRPr="0078289D">
        <w:rPr>
          <w:rFonts w:eastAsia="Times New Roman"/>
          <w:sz w:val="28"/>
          <w:szCs w:val="28"/>
          <w:lang w:val="es-CO"/>
        </w:rPr>
        <w:t xml:space="preserve"> </w:t>
      </w:r>
      <w:r w:rsidR="00EC44DA" w:rsidRPr="0078289D">
        <w:rPr>
          <w:rFonts w:eastAsia="Times New Roman"/>
          <w:sz w:val="28"/>
          <w:szCs w:val="28"/>
          <w:lang w:val="es-CO"/>
        </w:rPr>
        <w:t xml:space="preserve">definido </w:t>
      </w:r>
      <w:r w:rsidR="00412096" w:rsidRPr="0078289D">
        <w:rPr>
          <w:rFonts w:eastAsia="Times New Roman"/>
          <w:sz w:val="28"/>
          <w:szCs w:val="28"/>
          <w:lang w:val="es-CO"/>
        </w:rPr>
        <w:t>suficientemente los motivos de interés social y utilidad pública</w:t>
      </w:r>
      <w:r w:rsidR="00765449" w:rsidRPr="0078289D">
        <w:rPr>
          <w:rFonts w:eastAsia="Times New Roman"/>
          <w:sz w:val="28"/>
          <w:szCs w:val="28"/>
          <w:lang w:val="es-CO"/>
        </w:rPr>
        <w:t xml:space="preserve"> que justifican la expropiación</w:t>
      </w:r>
      <w:r w:rsidR="00412096" w:rsidRPr="0078289D">
        <w:rPr>
          <w:rFonts w:eastAsia="Times New Roman"/>
          <w:sz w:val="28"/>
          <w:szCs w:val="28"/>
          <w:lang w:val="es-CO"/>
        </w:rPr>
        <w:t xml:space="preserve">. De tal modo, dicen, 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no habría establecido la </w:t>
      </w:r>
      <w:r w:rsidR="00412096" w:rsidRPr="0078289D">
        <w:rPr>
          <w:rFonts w:eastAsia="Times New Roman"/>
          <w:i/>
          <w:sz w:val="28"/>
          <w:szCs w:val="28"/>
          <w:lang w:val="es-CO"/>
        </w:rPr>
        <w:t>causa</w:t>
      </w:r>
      <w:r w:rsidR="00412096" w:rsidRPr="0078289D">
        <w:rPr>
          <w:rFonts w:eastAsia="Times New Roman"/>
          <w:sz w:val="28"/>
          <w:szCs w:val="28"/>
          <w:lang w:val="es-CO"/>
        </w:rPr>
        <w:t xml:space="preserve"> </w:t>
      </w:r>
      <w:r w:rsidR="00412096" w:rsidRPr="0078289D">
        <w:rPr>
          <w:rFonts w:eastAsia="Times New Roman"/>
          <w:i/>
          <w:sz w:val="28"/>
          <w:szCs w:val="28"/>
          <w:lang w:val="es-CO"/>
        </w:rPr>
        <w:t>expropiandi</w:t>
      </w:r>
      <w:r w:rsidR="00412096" w:rsidRPr="0078289D">
        <w:rPr>
          <w:rFonts w:eastAsia="Times New Roman"/>
          <w:sz w:val="28"/>
          <w:szCs w:val="28"/>
          <w:lang w:val="es-CO"/>
        </w:rPr>
        <w:t xml:space="preserve"> </w:t>
      </w:r>
      <w:r w:rsidR="009106CE" w:rsidRPr="0078289D">
        <w:rPr>
          <w:rFonts w:eastAsia="Times New Roman"/>
          <w:sz w:val="28"/>
          <w:szCs w:val="28"/>
          <w:lang w:val="es-CO"/>
        </w:rPr>
        <w:t xml:space="preserve">en la ley, </w:t>
      </w:r>
      <w:r w:rsidR="00412096" w:rsidRPr="0078289D">
        <w:rPr>
          <w:rFonts w:eastAsia="Times New Roman"/>
          <w:sz w:val="28"/>
          <w:szCs w:val="28"/>
          <w:lang w:val="es-CO"/>
        </w:rPr>
        <w:t>y la facultad de la CIIPE sería indeterminada. Con ello,</w:t>
      </w:r>
      <w:r w:rsidR="00BC1E3F" w:rsidRPr="0078289D">
        <w:rPr>
          <w:rFonts w:eastAsia="Times New Roman"/>
          <w:sz w:val="28"/>
          <w:szCs w:val="28"/>
          <w:lang w:val="es-CO"/>
        </w:rPr>
        <w:t xml:space="preserve"> también </w:t>
      </w:r>
      <w:r w:rsidR="00412096" w:rsidRPr="0078289D">
        <w:rPr>
          <w:rFonts w:eastAsia="Times New Roman"/>
          <w:sz w:val="28"/>
          <w:szCs w:val="28"/>
          <w:lang w:val="es-CO"/>
        </w:rPr>
        <w:t xml:space="preserve">se </w:t>
      </w:r>
      <w:r w:rsidR="009106CE" w:rsidRPr="0078289D">
        <w:rPr>
          <w:rFonts w:eastAsia="Times New Roman"/>
          <w:sz w:val="28"/>
          <w:szCs w:val="28"/>
          <w:lang w:val="es-CO"/>
        </w:rPr>
        <w:t xml:space="preserve">estarían </w:t>
      </w:r>
      <w:r w:rsidR="005D034A" w:rsidRPr="0078289D">
        <w:rPr>
          <w:rFonts w:eastAsia="Times New Roman"/>
          <w:sz w:val="28"/>
          <w:szCs w:val="28"/>
          <w:lang w:val="es-CO"/>
        </w:rPr>
        <w:t>vulneran</w:t>
      </w:r>
      <w:r w:rsidR="009106CE" w:rsidRPr="0078289D">
        <w:rPr>
          <w:rFonts w:eastAsia="Times New Roman"/>
          <w:sz w:val="28"/>
          <w:szCs w:val="28"/>
          <w:lang w:val="es-CO"/>
        </w:rPr>
        <w:t>do</w:t>
      </w:r>
      <w:r w:rsidR="00412096" w:rsidRPr="0078289D">
        <w:rPr>
          <w:rFonts w:eastAsia="Times New Roman"/>
          <w:sz w:val="28"/>
          <w:szCs w:val="28"/>
          <w:lang w:val="es-CO"/>
        </w:rPr>
        <w:t xml:space="preserve"> </w:t>
      </w:r>
      <w:r w:rsidR="009106CE" w:rsidRPr="0078289D">
        <w:rPr>
          <w:rFonts w:eastAsia="Times New Roman"/>
          <w:sz w:val="28"/>
          <w:szCs w:val="28"/>
          <w:lang w:val="es-CO"/>
        </w:rPr>
        <w:t>el derecho</w:t>
      </w:r>
      <w:r w:rsidR="00412096" w:rsidRPr="0078289D">
        <w:rPr>
          <w:rFonts w:eastAsia="Times New Roman"/>
          <w:sz w:val="28"/>
          <w:szCs w:val="28"/>
          <w:lang w:val="es-CO"/>
        </w:rPr>
        <w:t xml:space="preserve"> al debido proceso</w:t>
      </w:r>
      <w:r w:rsidR="009106CE" w:rsidRPr="0078289D">
        <w:rPr>
          <w:rFonts w:eastAsia="Times New Roman"/>
          <w:sz w:val="28"/>
          <w:szCs w:val="28"/>
          <w:lang w:val="es-CO"/>
        </w:rPr>
        <w:t>,</w:t>
      </w:r>
      <w:r w:rsidR="00412096" w:rsidRPr="0078289D">
        <w:rPr>
          <w:rFonts w:eastAsia="Times New Roman"/>
          <w:sz w:val="28"/>
          <w:szCs w:val="28"/>
          <w:lang w:val="es-CO"/>
        </w:rPr>
        <w:t xml:space="preserve"> </w:t>
      </w:r>
      <w:r w:rsidR="000030ED" w:rsidRPr="0078289D">
        <w:rPr>
          <w:rFonts w:eastAsia="Times New Roman"/>
          <w:sz w:val="28"/>
          <w:szCs w:val="28"/>
          <w:lang w:val="es-CO"/>
        </w:rPr>
        <w:t xml:space="preserve">el derecho de propiedad, </w:t>
      </w:r>
      <w:r w:rsidR="00412096" w:rsidRPr="0078289D">
        <w:rPr>
          <w:rFonts w:eastAsia="Times New Roman"/>
          <w:sz w:val="28"/>
          <w:szCs w:val="28"/>
          <w:lang w:val="es-CO"/>
        </w:rPr>
        <w:t xml:space="preserve">y las normas que componen la Constitución Ecológica. </w:t>
      </w:r>
    </w:p>
    <w:p w:rsidR="00D55A21" w:rsidRPr="0078289D" w:rsidRDefault="00D55A21"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F54619" w:rsidRPr="0078289D" w:rsidRDefault="003E445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Teniendo en cuenta el alcance de los cargos planteados</w:t>
      </w:r>
      <w:r w:rsidR="00412096" w:rsidRPr="0078289D">
        <w:rPr>
          <w:rFonts w:eastAsia="Times New Roman"/>
          <w:sz w:val="28"/>
          <w:szCs w:val="28"/>
          <w:lang w:val="es-CO"/>
        </w:rPr>
        <w:t xml:space="preserve">, le corresponde a esta Corporación </w:t>
      </w:r>
      <w:r w:rsidR="000030ED" w:rsidRPr="0078289D">
        <w:rPr>
          <w:rFonts w:eastAsia="Times New Roman"/>
          <w:sz w:val="28"/>
          <w:szCs w:val="28"/>
          <w:lang w:val="es-CO"/>
        </w:rPr>
        <w:t>resolver</w:t>
      </w:r>
      <w:r w:rsidR="00412096" w:rsidRPr="0078289D">
        <w:rPr>
          <w:rFonts w:eastAsia="Times New Roman"/>
          <w:sz w:val="28"/>
          <w:szCs w:val="28"/>
          <w:lang w:val="es-CO"/>
        </w:rPr>
        <w:t xml:space="preserve"> </w:t>
      </w:r>
      <w:r w:rsidR="00F54619" w:rsidRPr="0078289D">
        <w:rPr>
          <w:rFonts w:eastAsia="Times New Roman"/>
          <w:sz w:val="28"/>
          <w:szCs w:val="28"/>
          <w:lang w:val="es-CO"/>
        </w:rPr>
        <w:t>el siguiente problema jurídico:</w:t>
      </w:r>
      <w:r w:rsidR="00412096" w:rsidRPr="0078289D">
        <w:rPr>
          <w:rFonts w:eastAsia="Times New Roman"/>
          <w:sz w:val="28"/>
          <w:szCs w:val="28"/>
          <w:lang w:val="es-CO"/>
        </w:rPr>
        <w:t xml:space="preserve"> </w:t>
      </w:r>
    </w:p>
    <w:p w:rsidR="00F54619" w:rsidRPr="0078289D" w:rsidRDefault="00F5461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E43B3A" w:rsidRPr="0078289D" w:rsidRDefault="00E43B3A"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rFonts w:eastAsia="Times New Roman"/>
          <w:sz w:val="28"/>
          <w:szCs w:val="28"/>
          <w:lang w:val="es-CO"/>
        </w:rPr>
        <w:t>¿El criterio del “</w:t>
      </w:r>
      <w:r w:rsidRPr="0078289D">
        <w:rPr>
          <w:i/>
          <w:color w:val="000000"/>
          <w:sz w:val="28"/>
          <w:szCs w:val="28"/>
          <w:lang w:val="es-ES_tradnl" w:eastAsia="es-ES"/>
        </w:rPr>
        <w:t>alto impacto en el crecimiento económico y social del país</w:t>
      </w:r>
      <w:r w:rsidRPr="0078289D">
        <w:rPr>
          <w:color w:val="000000"/>
          <w:sz w:val="28"/>
          <w:szCs w:val="28"/>
          <w:lang w:val="es-ES_tradnl" w:eastAsia="es-ES"/>
        </w:rPr>
        <w:t xml:space="preserve">” con base en el cual la CIIPE debe determinar si un proyecto es PINE, constituye un motivo de interés social y utilidad pública suficiente para </w:t>
      </w:r>
      <w:r w:rsidR="0008304C" w:rsidRPr="0078289D">
        <w:rPr>
          <w:color w:val="000000"/>
          <w:sz w:val="28"/>
          <w:szCs w:val="28"/>
          <w:lang w:val="es-ES_tradnl" w:eastAsia="es-ES"/>
        </w:rPr>
        <w:t>autorizar a la Admin</w:t>
      </w:r>
      <w:r w:rsidR="00F20D9C" w:rsidRPr="0078289D">
        <w:rPr>
          <w:color w:val="000000"/>
          <w:sz w:val="28"/>
          <w:szCs w:val="28"/>
          <w:lang w:val="es-ES_tradnl" w:eastAsia="es-ES"/>
        </w:rPr>
        <w:t>is</w:t>
      </w:r>
      <w:r w:rsidR="0008304C" w:rsidRPr="0078289D">
        <w:rPr>
          <w:color w:val="000000"/>
          <w:sz w:val="28"/>
          <w:szCs w:val="28"/>
          <w:lang w:val="es-ES_tradnl" w:eastAsia="es-ES"/>
        </w:rPr>
        <w:t>tración a adelantar proceso</w:t>
      </w:r>
      <w:r w:rsidR="00F20D9C" w:rsidRPr="0078289D">
        <w:rPr>
          <w:color w:val="000000"/>
          <w:sz w:val="28"/>
          <w:szCs w:val="28"/>
          <w:lang w:val="es-ES_tradnl" w:eastAsia="es-ES"/>
        </w:rPr>
        <w:t>s</w:t>
      </w:r>
      <w:r w:rsidR="0008304C" w:rsidRPr="0078289D">
        <w:rPr>
          <w:color w:val="000000"/>
          <w:sz w:val="28"/>
          <w:szCs w:val="28"/>
          <w:lang w:val="es-ES_tradnl" w:eastAsia="es-ES"/>
        </w:rPr>
        <w:t xml:space="preserve"> de expropiación</w:t>
      </w:r>
      <w:r w:rsidRPr="0078289D">
        <w:rPr>
          <w:color w:val="000000"/>
          <w:sz w:val="28"/>
          <w:szCs w:val="28"/>
          <w:lang w:val="es-ES_tradnl" w:eastAsia="es-ES"/>
        </w:rPr>
        <w:t>?</w:t>
      </w:r>
    </w:p>
    <w:p w:rsidR="00F54619" w:rsidRPr="0078289D" w:rsidRDefault="00F54619"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Para adoptar una decisión, la Corte debe referirse al conjunto de garantías constitucionales a la propiedad en los casos de expropiación.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b/>
          <w:i/>
          <w:sz w:val="28"/>
          <w:szCs w:val="28"/>
          <w:lang w:val="es-CO"/>
        </w:rPr>
      </w:pPr>
      <w:r w:rsidRPr="0078289D">
        <w:rPr>
          <w:rFonts w:eastAsia="Times New Roman"/>
          <w:b/>
          <w:i/>
          <w:sz w:val="28"/>
          <w:szCs w:val="28"/>
          <w:lang w:val="es-CO"/>
        </w:rPr>
        <w:t>Las garantías del debido proceso expropiatorio</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8</w:t>
      </w:r>
      <w:r w:rsidR="00412096" w:rsidRPr="0078289D">
        <w:rPr>
          <w:rFonts w:eastAsia="Times New Roman"/>
          <w:sz w:val="28"/>
          <w:szCs w:val="28"/>
          <w:lang w:val="es-CO"/>
        </w:rPr>
        <w:t xml:space="preserve">7. El artículo 58 de la Constitución garantiza el derecho de propiedad privada, y a la vez le atribuye una función social, lo cual permite que 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le imponga una serie de limitaciones. Una de estas limitaciones es la posibilidad de que el gobierno adelante procesos administrativos y/o judiciales de expropiación.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A pesar de que es posible que el </w:t>
      </w:r>
      <w:r w:rsidR="00CA0A76" w:rsidRPr="0078289D">
        <w:rPr>
          <w:rFonts w:eastAsia="Times New Roman"/>
          <w:sz w:val="28"/>
          <w:szCs w:val="28"/>
          <w:lang w:val="es-CO"/>
        </w:rPr>
        <w:t>Legislador</w:t>
      </w:r>
      <w:r w:rsidRPr="0078289D">
        <w:rPr>
          <w:rFonts w:eastAsia="Times New Roman"/>
          <w:sz w:val="28"/>
          <w:szCs w:val="28"/>
          <w:lang w:val="es-CO"/>
        </w:rPr>
        <w:t xml:space="preserve"> limite el derecho de propiedad </w:t>
      </w:r>
      <w:r w:rsidR="008C0906" w:rsidRPr="0078289D">
        <w:rPr>
          <w:rFonts w:eastAsia="Times New Roman"/>
          <w:sz w:val="28"/>
          <w:szCs w:val="28"/>
          <w:lang w:val="es-CO"/>
        </w:rPr>
        <w:t>facultando a la administración para adelantar procesos de</w:t>
      </w:r>
      <w:r w:rsidRPr="0078289D">
        <w:rPr>
          <w:rFonts w:eastAsia="Times New Roman"/>
          <w:sz w:val="28"/>
          <w:szCs w:val="28"/>
          <w:lang w:val="es-CO"/>
        </w:rPr>
        <w:t xml:space="preserve"> expropiación, </w:t>
      </w:r>
      <w:r w:rsidR="00B71C7A" w:rsidRPr="0078289D">
        <w:rPr>
          <w:rFonts w:eastAsia="Times New Roman"/>
          <w:sz w:val="28"/>
          <w:szCs w:val="28"/>
          <w:lang w:val="es-CO"/>
        </w:rPr>
        <w:t xml:space="preserve">como se analizó previamente, </w:t>
      </w:r>
      <w:r w:rsidRPr="0078289D">
        <w:rPr>
          <w:rFonts w:eastAsia="Times New Roman"/>
          <w:sz w:val="28"/>
          <w:szCs w:val="28"/>
          <w:lang w:val="es-CO"/>
        </w:rPr>
        <w:t>la Constitución establece una serie de garantías</w:t>
      </w:r>
      <w:r w:rsidR="007C6C97" w:rsidRPr="0078289D">
        <w:rPr>
          <w:rFonts w:eastAsia="Times New Roman"/>
          <w:sz w:val="28"/>
          <w:szCs w:val="28"/>
          <w:lang w:val="es-CO"/>
        </w:rPr>
        <w:t xml:space="preserve"> en </w:t>
      </w:r>
      <w:r w:rsidR="007C6C97" w:rsidRPr="0078289D">
        <w:rPr>
          <w:rFonts w:eastAsia="Times New Roman"/>
          <w:sz w:val="28"/>
          <w:szCs w:val="28"/>
          <w:lang w:val="es-CO"/>
        </w:rPr>
        <w:lastRenderedPageBreak/>
        <w:t xml:space="preserve">favor de los particulares. </w:t>
      </w:r>
      <w:r w:rsidR="00D91413" w:rsidRPr="0078289D">
        <w:rPr>
          <w:rFonts w:eastAsia="Times New Roman"/>
          <w:sz w:val="28"/>
          <w:szCs w:val="28"/>
          <w:lang w:val="es-CO"/>
        </w:rPr>
        <w:t>U</w:t>
      </w:r>
      <w:r w:rsidRPr="0078289D">
        <w:rPr>
          <w:rFonts w:eastAsia="Times New Roman"/>
          <w:sz w:val="28"/>
          <w:szCs w:val="28"/>
          <w:lang w:val="es-CO"/>
        </w:rPr>
        <w:t xml:space="preserve">na de estas garantías consiste en que el gobierno no puede adelantar dichos procesos de manera independiente, ni disponer unilateralmente de los derechos de los particulares, sino que </w:t>
      </w:r>
      <w:r w:rsidR="00D91413" w:rsidRPr="0078289D">
        <w:rPr>
          <w:rFonts w:eastAsia="Times New Roman"/>
          <w:sz w:val="28"/>
          <w:szCs w:val="28"/>
          <w:lang w:val="es-CO"/>
        </w:rPr>
        <w:t xml:space="preserve">en la expropiación </w:t>
      </w:r>
      <w:r w:rsidRPr="0078289D">
        <w:rPr>
          <w:rFonts w:eastAsia="Times New Roman"/>
          <w:sz w:val="28"/>
          <w:szCs w:val="28"/>
          <w:lang w:val="es-CO"/>
        </w:rPr>
        <w:t xml:space="preserve">deben intervenir las tres ramas del poder público. </w:t>
      </w:r>
      <w:r w:rsidR="00D91413" w:rsidRPr="0078289D">
        <w:rPr>
          <w:rFonts w:eastAsia="Times New Roman"/>
          <w:sz w:val="28"/>
          <w:szCs w:val="28"/>
          <w:lang w:val="es-CO"/>
        </w:rPr>
        <w:t>E</w:t>
      </w:r>
      <w:r w:rsidRPr="0078289D">
        <w:rPr>
          <w:rFonts w:eastAsia="Times New Roman"/>
          <w:sz w:val="28"/>
          <w:szCs w:val="28"/>
          <w:lang w:val="es-CO"/>
        </w:rPr>
        <w:t xml:space="preserve">l </w:t>
      </w:r>
      <w:r w:rsidR="00CA0A76" w:rsidRPr="0078289D">
        <w:rPr>
          <w:rFonts w:eastAsia="Times New Roman"/>
          <w:sz w:val="28"/>
          <w:szCs w:val="28"/>
          <w:lang w:val="es-CO"/>
        </w:rPr>
        <w:t>Legislador</w:t>
      </w:r>
      <w:r w:rsidRPr="0078289D">
        <w:rPr>
          <w:rFonts w:eastAsia="Times New Roman"/>
          <w:sz w:val="28"/>
          <w:szCs w:val="28"/>
          <w:lang w:val="es-CO"/>
        </w:rPr>
        <w:t xml:space="preserve"> debe definir los motivos de utilidad pública e interés social, atribuir la competencia para adelantar dichos proceso</w:t>
      </w:r>
      <w:r w:rsidR="005109EB" w:rsidRPr="0078289D">
        <w:rPr>
          <w:rFonts w:eastAsia="Times New Roman"/>
          <w:sz w:val="28"/>
          <w:szCs w:val="28"/>
          <w:lang w:val="es-CO"/>
        </w:rPr>
        <w:t>s</w:t>
      </w:r>
      <w:r w:rsidRPr="0078289D">
        <w:rPr>
          <w:rFonts w:eastAsia="Times New Roman"/>
          <w:sz w:val="28"/>
          <w:szCs w:val="28"/>
          <w:lang w:val="es-CO"/>
        </w:rPr>
        <w:t xml:space="preserve"> en cabeza de entidades específicas, y regular todo lo atinente al proceso de expropiación. Por su parte, la administración inicia y/o adelanta el respectivo proceso de expropiación, el cual puede ser administrativo o judicial, pero en todo sus actuaciones estarán sujetas al control de la jurisdicción de lo contencioso administrativo.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Además de la intervención de las tres ramas del poder</w:t>
      </w:r>
      <w:r w:rsidR="005109EB" w:rsidRPr="0078289D">
        <w:rPr>
          <w:rFonts w:eastAsia="Times New Roman"/>
          <w:sz w:val="28"/>
          <w:szCs w:val="28"/>
          <w:lang w:val="es-CO"/>
        </w:rPr>
        <w:t xml:space="preserve"> público</w:t>
      </w:r>
      <w:r w:rsidRPr="0078289D">
        <w:rPr>
          <w:rFonts w:eastAsia="Times New Roman"/>
          <w:sz w:val="28"/>
          <w:szCs w:val="28"/>
          <w:lang w:val="es-CO"/>
        </w:rPr>
        <w:t xml:space="preserve">, la Constitución establece que en tiempos de paz en el proceso de expropiación debe haber </w:t>
      </w:r>
      <w:r w:rsidR="000C4D68" w:rsidRPr="0078289D">
        <w:rPr>
          <w:rFonts w:eastAsia="Times New Roman"/>
          <w:sz w:val="28"/>
          <w:szCs w:val="28"/>
          <w:lang w:val="es-CO"/>
        </w:rPr>
        <w:t>una indemnización previa, y que</w:t>
      </w:r>
      <w:r w:rsidRPr="0078289D">
        <w:rPr>
          <w:rFonts w:eastAsia="Times New Roman"/>
          <w:sz w:val="28"/>
          <w:szCs w:val="28"/>
          <w:lang w:val="es-CO"/>
        </w:rPr>
        <w:t xml:space="preserve"> aun en tiempos de guerra, el Estado siempre será responsable por sus actuaciones y las de sus agentes en los procesos de expropiación.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La Corte resumió las garantías constitucionales en relación con los procesos de expropiación de la siguiente manera:</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ind w:left="567"/>
        <w:jc w:val="both"/>
        <w:rPr>
          <w:rFonts w:eastAsia="Times New Roman"/>
          <w:sz w:val="28"/>
          <w:szCs w:val="28"/>
          <w:lang w:val="es-CO"/>
        </w:rPr>
      </w:pPr>
      <w:r w:rsidRPr="0078289D">
        <w:rPr>
          <w:rFonts w:eastAsia="Times New Roman"/>
          <w:i/>
          <w:sz w:val="28"/>
          <w:szCs w:val="28"/>
          <w:lang w:val="es-CO"/>
        </w:rPr>
        <w:t>“L</w:t>
      </w:r>
      <w:r w:rsidRPr="0078289D">
        <w:rPr>
          <w:rFonts w:eastAsia="Times New Roman"/>
          <w:i/>
          <w:color w:val="000000"/>
          <w:sz w:val="28"/>
          <w:szCs w:val="28"/>
          <w:lang w:val="es-CO"/>
        </w:rPr>
        <w:t xml:space="preserve">a privación de la titularidad del derecho de propiedad privada contra la voluntad de su titular, requiere del cumplimiento de los siguientes requisitos: i) Que </w:t>
      </w:r>
      <w:r w:rsidRPr="0078289D">
        <w:rPr>
          <w:rFonts w:eastAsia="Times New Roman"/>
          <w:b/>
          <w:i/>
          <w:color w:val="000000"/>
          <w:sz w:val="28"/>
          <w:szCs w:val="28"/>
          <w:lang w:val="es-CO"/>
        </w:rPr>
        <w:t>existan motivos de utilidad pública o de interés social definidos por el legislador</w:t>
      </w:r>
      <w:r w:rsidRPr="0078289D">
        <w:rPr>
          <w:rFonts w:eastAsia="Times New Roman"/>
          <w:i/>
          <w:color w:val="000000"/>
          <w:sz w:val="28"/>
          <w:szCs w:val="28"/>
          <w:lang w:val="es-CO"/>
        </w:rPr>
        <w:t xml:space="preserve">; ii) Que exista decisión judicial o administrativa, esta última sujeta a posterior acción contencioso administrativa incluso respecto del precio. La adopción de dicha decisión presupone que se adelante el procedimiento establecido en la ley, con garantía del derecho fundamental al debido proceso del titular del derecho de propiedad; </w:t>
      </w:r>
      <w:r w:rsidRPr="0078289D">
        <w:rPr>
          <w:rFonts w:eastAsia="Times New Roman"/>
          <w:i/>
          <w:sz w:val="28"/>
          <w:szCs w:val="28"/>
          <w:lang w:val="es-CO"/>
        </w:rPr>
        <w:t>iii) Que se pague una indemnización previamente al traspaso del derecho de propiedad a la Administración, la cual debe ser justa</w:t>
      </w:r>
      <w:r w:rsidRPr="0078289D">
        <w:rPr>
          <w:rFonts w:eastAsia="Times New Roman"/>
          <w:sz w:val="28"/>
          <w:szCs w:val="28"/>
          <w:lang w:val="es-CO"/>
        </w:rPr>
        <w:t>” Sentencia C-133 de 2009 (M.P. Jaime Araujo Rentería)</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8</w:t>
      </w:r>
      <w:r w:rsidR="00412096" w:rsidRPr="0078289D">
        <w:rPr>
          <w:rFonts w:eastAsia="Times New Roman"/>
          <w:sz w:val="28"/>
          <w:szCs w:val="28"/>
          <w:lang w:val="es-CO"/>
        </w:rPr>
        <w:t xml:space="preserve">8. Por su parte, en un pronunciamiento más reciente, la Corte resaltó la importancia de que 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defina con anterioridad al inicio de la actuación administrativa o del proceso judicial, los motivos de interés social y utilidad pública con fundamento en los cuales se justifica la expropiación. Al respecto sostuvo:</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iCs/>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ind w:left="567"/>
        <w:jc w:val="both"/>
        <w:rPr>
          <w:rFonts w:eastAsia="Times New Roman"/>
          <w:sz w:val="28"/>
          <w:szCs w:val="28"/>
          <w:lang w:val="es-CO"/>
        </w:rPr>
      </w:pPr>
      <w:r w:rsidRPr="0078289D">
        <w:rPr>
          <w:rFonts w:eastAsia="Times New Roman"/>
          <w:iCs/>
          <w:sz w:val="28"/>
          <w:szCs w:val="28"/>
          <w:lang w:val="es-CO"/>
        </w:rPr>
        <w:t>“</w:t>
      </w:r>
      <w:r w:rsidRPr="0078289D">
        <w:rPr>
          <w:rFonts w:eastAsia="Times New Roman"/>
          <w:i/>
          <w:iCs/>
          <w:sz w:val="28"/>
          <w:szCs w:val="28"/>
          <w:lang w:val="es-CO"/>
        </w:rPr>
        <w:t xml:space="preserve">Bajo esos requisitos fundados en la Constitución y reconocidos por la jurisprudencia de este Tribunal, considera la Corte en esta oportunidad que </w:t>
      </w:r>
      <w:r w:rsidRPr="0078289D">
        <w:rPr>
          <w:rFonts w:eastAsia="Times New Roman"/>
          <w:b/>
          <w:i/>
          <w:iCs/>
          <w:sz w:val="28"/>
          <w:szCs w:val="28"/>
          <w:lang w:val="es-CO"/>
        </w:rPr>
        <w:t>la expropiación</w:t>
      </w:r>
      <w:r w:rsidRPr="0078289D">
        <w:rPr>
          <w:rFonts w:eastAsia="Times New Roman"/>
          <w:i/>
          <w:iCs/>
          <w:sz w:val="28"/>
          <w:szCs w:val="28"/>
          <w:lang w:val="es-CO"/>
        </w:rPr>
        <w:t xml:space="preserve"> o cualquier otra forma de adquisición del dominio por parte del Estado </w:t>
      </w:r>
      <w:r w:rsidRPr="0078289D">
        <w:rPr>
          <w:rFonts w:eastAsia="Times New Roman"/>
          <w:b/>
          <w:i/>
          <w:iCs/>
          <w:sz w:val="28"/>
          <w:szCs w:val="28"/>
          <w:lang w:val="es-CO"/>
        </w:rPr>
        <w:t>debe respetar, en primer lugar, un principio de legalidad que implica que sólo serán expropiables aquellos bienes que sean necesarios para que la administración alcance con ellos un fin de utilidad pública o interés social, previamente determinados en la Ley</w:t>
      </w:r>
      <w:r w:rsidRPr="0078289D">
        <w:rPr>
          <w:rFonts w:eastAsia="Times New Roman"/>
          <w:i/>
          <w:iCs/>
          <w:sz w:val="28"/>
          <w:szCs w:val="28"/>
          <w:lang w:val="es-CO"/>
        </w:rPr>
        <w:t>.</w:t>
      </w:r>
      <w:r w:rsidRPr="0078289D">
        <w:rPr>
          <w:rFonts w:eastAsia="Times New Roman"/>
          <w:iCs/>
          <w:sz w:val="28"/>
          <w:szCs w:val="28"/>
          <w:lang w:val="es-CO"/>
        </w:rPr>
        <w:t>” (resaltado fuera de texto original) Sentencia C-410 de 2015 (M.P. Alberto Rojas Ríos)</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 xml:space="preserve">En efecto, la participación de la rama legislativa dentro de la expropiación es de especial importancia en nuestro sistema constitucional, ya que garantiza el principio de legalidad del </w:t>
      </w:r>
      <w:r w:rsidR="00A54C11" w:rsidRPr="0078289D">
        <w:rPr>
          <w:rFonts w:eastAsia="Times New Roman"/>
          <w:sz w:val="28"/>
          <w:szCs w:val="28"/>
          <w:lang w:val="es-CO"/>
        </w:rPr>
        <w:t>procedimiento. C</w:t>
      </w:r>
      <w:r w:rsidRPr="0078289D">
        <w:rPr>
          <w:rFonts w:eastAsia="Times New Roman"/>
          <w:sz w:val="28"/>
          <w:szCs w:val="28"/>
          <w:lang w:val="es-CO"/>
        </w:rPr>
        <w:t>on ello impide el ejercicio arbitrario de la facultad de expropiación por parte del gobierno en su</w:t>
      </w:r>
      <w:r w:rsidR="00CB781F" w:rsidRPr="0078289D">
        <w:rPr>
          <w:rFonts w:eastAsia="Times New Roman"/>
          <w:sz w:val="28"/>
          <w:szCs w:val="28"/>
          <w:lang w:val="es-CO"/>
        </w:rPr>
        <w:t>s</w:t>
      </w:r>
      <w:r w:rsidRPr="0078289D">
        <w:rPr>
          <w:rFonts w:eastAsia="Times New Roman"/>
          <w:sz w:val="28"/>
          <w:szCs w:val="28"/>
          <w:lang w:val="es-CO"/>
        </w:rPr>
        <w:t xml:space="preserve"> diferentes niveles. Esta garantía del principio de legalidad limita el margen de acción del gobierno, y con ello ampara, desde el punto de vista subjetivo, el derecho fundamental al debido proceso de los administrados.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8</w:t>
      </w:r>
      <w:r w:rsidR="00412096" w:rsidRPr="0078289D">
        <w:rPr>
          <w:rFonts w:eastAsia="Times New Roman"/>
          <w:sz w:val="28"/>
          <w:szCs w:val="28"/>
          <w:lang w:val="es-CO"/>
        </w:rPr>
        <w:t xml:space="preserve">9. Uno de los elementos primordiales del derecho al debido proceso lo constituye el deber del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de definir los motivos de utilidad pública e interés social que justifican la limitación del derecho de propiedad.</w:t>
      </w:r>
      <w:r w:rsidR="00F82864" w:rsidRPr="0078289D">
        <w:rPr>
          <w:rStyle w:val="Refdenotaalpie"/>
          <w:rFonts w:eastAsia="Times New Roman"/>
          <w:iCs/>
          <w:sz w:val="28"/>
          <w:szCs w:val="28"/>
          <w:lang w:val="es-CO"/>
        </w:rPr>
        <w:footnoteReference w:id="71"/>
      </w:r>
      <w:r w:rsidR="00412096" w:rsidRPr="0078289D">
        <w:rPr>
          <w:rFonts w:eastAsia="Times New Roman"/>
          <w:sz w:val="28"/>
          <w:szCs w:val="28"/>
          <w:lang w:val="es-CO"/>
        </w:rPr>
        <w:t xml:space="preserve"> La definición de tales motivos determina el alcance de las facultades del gobierno para adelantar procesos de expropiación, y garantiza que el ejercicio de dicha facultad efectivamente contribuya a la realización de la función social de la propiedad. De tal modo, los jueces pueden evaluar si la declaratoria de un proyecto como de utilidad pública o de interés social efectivamente corresponde a la realización de la función social en el caso concreto, y en esa medida, pueden establecer si una expropiación está justificada constitucional y legalmente.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9</w:t>
      </w:r>
      <w:r w:rsidR="00412096" w:rsidRPr="0078289D">
        <w:rPr>
          <w:rFonts w:eastAsia="Times New Roman"/>
          <w:sz w:val="28"/>
          <w:szCs w:val="28"/>
          <w:lang w:val="es-CO"/>
        </w:rPr>
        <w:t>0. Desde el punto de vista de los derechos subjetivos, la definición de los motivos de interés social y utilidad pública con fundamento en los cuales el gobierno adelanta proceso</w:t>
      </w:r>
      <w:r w:rsidR="007543A3" w:rsidRPr="0078289D">
        <w:rPr>
          <w:rFonts w:eastAsia="Times New Roman"/>
          <w:sz w:val="28"/>
          <w:szCs w:val="28"/>
          <w:lang w:val="es-CO"/>
        </w:rPr>
        <w:t>s</w:t>
      </w:r>
      <w:r w:rsidR="00412096" w:rsidRPr="0078289D">
        <w:rPr>
          <w:rFonts w:eastAsia="Times New Roman"/>
          <w:sz w:val="28"/>
          <w:szCs w:val="28"/>
          <w:lang w:val="es-CO"/>
        </w:rPr>
        <w:t xml:space="preserve"> de expropiación le permiten a los administrados</w:t>
      </w:r>
      <w:r w:rsidR="00F82864" w:rsidRPr="0078289D">
        <w:rPr>
          <w:rFonts w:eastAsia="Times New Roman"/>
          <w:sz w:val="28"/>
          <w:szCs w:val="28"/>
          <w:lang w:val="es-CO"/>
        </w:rPr>
        <w:t>,</w:t>
      </w:r>
      <w:r w:rsidR="00412096" w:rsidRPr="0078289D">
        <w:rPr>
          <w:rFonts w:eastAsia="Times New Roman"/>
          <w:sz w:val="28"/>
          <w:szCs w:val="28"/>
          <w:lang w:val="es-CO"/>
        </w:rPr>
        <w:t xml:space="preserve"> proteger su derecho a la propiedad, </w:t>
      </w:r>
      <w:r w:rsidR="00A21B95" w:rsidRPr="0078289D">
        <w:rPr>
          <w:rFonts w:eastAsia="Times New Roman"/>
          <w:sz w:val="28"/>
          <w:szCs w:val="28"/>
          <w:lang w:val="es-CO"/>
        </w:rPr>
        <w:t xml:space="preserve">y </w:t>
      </w:r>
      <w:r w:rsidR="00412096" w:rsidRPr="0078289D">
        <w:rPr>
          <w:rFonts w:eastAsia="Times New Roman"/>
          <w:sz w:val="28"/>
          <w:szCs w:val="28"/>
          <w:lang w:val="es-CO"/>
        </w:rPr>
        <w:t xml:space="preserve">garantizar el ejercicio efectivo de </w:t>
      </w:r>
      <w:r w:rsidR="001D25B2" w:rsidRPr="0078289D">
        <w:rPr>
          <w:rFonts w:eastAsia="Times New Roman"/>
          <w:sz w:val="28"/>
          <w:szCs w:val="28"/>
          <w:lang w:val="es-CO"/>
        </w:rPr>
        <w:t xml:space="preserve">al menos </w:t>
      </w:r>
      <w:r w:rsidR="00412096" w:rsidRPr="0078289D">
        <w:rPr>
          <w:rFonts w:eastAsia="Times New Roman"/>
          <w:sz w:val="28"/>
          <w:szCs w:val="28"/>
          <w:lang w:val="es-CO"/>
        </w:rPr>
        <w:t xml:space="preserve">dos derechos fundamentales: el acceso a la administración de justicia, </w:t>
      </w:r>
      <w:r w:rsidR="00A21B95" w:rsidRPr="0078289D">
        <w:rPr>
          <w:rFonts w:eastAsia="Times New Roman"/>
          <w:sz w:val="28"/>
          <w:szCs w:val="28"/>
          <w:lang w:val="es-CO"/>
        </w:rPr>
        <w:t xml:space="preserve">el derecho al debido proceso, </w:t>
      </w:r>
      <w:r w:rsidR="00412096" w:rsidRPr="0078289D">
        <w:rPr>
          <w:rFonts w:eastAsia="Times New Roman"/>
          <w:sz w:val="28"/>
          <w:szCs w:val="28"/>
          <w:lang w:val="es-CO"/>
        </w:rPr>
        <w:t>y</w:t>
      </w:r>
      <w:r w:rsidR="00A21B95" w:rsidRPr="0078289D">
        <w:rPr>
          <w:rFonts w:eastAsia="Times New Roman"/>
          <w:sz w:val="28"/>
          <w:szCs w:val="28"/>
          <w:lang w:val="es-CO"/>
        </w:rPr>
        <w:t xml:space="preserve"> en particular,</w:t>
      </w:r>
      <w:r w:rsidR="00412096" w:rsidRPr="0078289D">
        <w:rPr>
          <w:rFonts w:eastAsia="Times New Roman"/>
          <w:sz w:val="28"/>
          <w:szCs w:val="28"/>
          <w:lang w:val="es-CO"/>
        </w:rPr>
        <w:t xml:space="preserve"> el derecho a la defensa. La definición previa de los motivos de interés social y utilidad pública garantizan que las personas tengan un fundamento jurídico con base en el cual pueden demandar la nulidad de las actuaciones administrativas, cuando consideren que la actuación de la administración no corresponde a los motivos definidos por 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Es decir, les permiten defenderse frente a eventuales desviaciones de poder, </w:t>
      </w:r>
      <w:r w:rsidR="003E660E" w:rsidRPr="0078289D">
        <w:rPr>
          <w:rFonts w:eastAsia="Times New Roman"/>
          <w:sz w:val="28"/>
          <w:szCs w:val="28"/>
          <w:lang w:val="es-CO"/>
        </w:rPr>
        <w:t xml:space="preserve">o </w:t>
      </w:r>
      <w:r w:rsidR="00412096" w:rsidRPr="0078289D">
        <w:rPr>
          <w:rFonts w:eastAsia="Times New Roman"/>
          <w:sz w:val="28"/>
          <w:szCs w:val="28"/>
          <w:lang w:val="es-CO"/>
        </w:rPr>
        <w:t>falsas motivaciones</w:t>
      </w:r>
      <w:r w:rsidR="003E660E" w:rsidRPr="0078289D">
        <w:rPr>
          <w:rFonts w:eastAsia="Times New Roman"/>
          <w:sz w:val="28"/>
          <w:szCs w:val="28"/>
          <w:lang w:val="es-CO"/>
        </w:rPr>
        <w:t xml:space="preserve"> en las actuaciones de la administración, entre otra</w:t>
      </w:r>
      <w:r w:rsidR="00412096" w:rsidRPr="0078289D">
        <w:rPr>
          <w:rFonts w:eastAsia="Times New Roman"/>
          <w:sz w:val="28"/>
          <w:szCs w:val="28"/>
          <w:lang w:val="es-CO"/>
        </w:rPr>
        <w:t xml:space="preserve">s.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r w:rsidRPr="0078289D">
        <w:rPr>
          <w:rFonts w:eastAsia="Times New Roman"/>
          <w:sz w:val="28"/>
          <w:szCs w:val="28"/>
          <w:lang w:val="es-CO"/>
        </w:rPr>
        <w:t>9</w:t>
      </w:r>
      <w:r w:rsidR="00412096" w:rsidRPr="0078289D">
        <w:rPr>
          <w:rFonts w:eastAsia="Times New Roman"/>
          <w:sz w:val="28"/>
          <w:szCs w:val="28"/>
          <w:lang w:val="es-CO"/>
        </w:rPr>
        <w:t xml:space="preserve">1. Desde el punto de vista de la realización de los principios constitucionales fundamentales, la definición de los motivos de interés social y utilidad pública por parte del </w:t>
      </w:r>
      <w:r w:rsidR="00CA0A76" w:rsidRPr="0078289D">
        <w:rPr>
          <w:rFonts w:eastAsia="Times New Roman"/>
          <w:sz w:val="28"/>
          <w:szCs w:val="28"/>
          <w:lang w:val="es-CO"/>
        </w:rPr>
        <w:t>Legislador</w:t>
      </w:r>
      <w:r w:rsidR="00412096" w:rsidRPr="0078289D">
        <w:rPr>
          <w:rFonts w:eastAsia="Times New Roman"/>
          <w:sz w:val="28"/>
          <w:szCs w:val="28"/>
          <w:lang w:val="es-CO"/>
        </w:rPr>
        <w:t xml:space="preserve"> garantizan que las actuaciones de la administración correspond</w:t>
      </w:r>
      <w:r w:rsidR="00801A08" w:rsidRPr="0078289D">
        <w:rPr>
          <w:rFonts w:eastAsia="Times New Roman"/>
          <w:sz w:val="28"/>
          <w:szCs w:val="28"/>
          <w:lang w:val="es-CO"/>
        </w:rPr>
        <w:t xml:space="preserve">an al propósito </w:t>
      </w:r>
      <w:r w:rsidR="00412096" w:rsidRPr="0078289D">
        <w:rPr>
          <w:rFonts w:eastAsia="Times New Roman"/>
          <w:sz w:val="28"/>
          <w:szCs w:val="28"/>
          <w:lang w:val="es-CO"/>
        </w:rPr>
        <w:t>de</w:t>
      </w:r>
      <w:r w:rsidR="00801A08" w:rsidRPr="0078289D">
        <w:rPr>
          <w:rFonts w:eastAsia="Times New Roman"/>
          <w:sz w:val="28"/>
          <w:szCs w:val="28"/>
          <w:lang w:val="es-CO"/>
        </w:rPr>
        <w:t xml:space="preserve"> lograr</w:t>
      </w:r>
      <w:r w:rsidR="00412096" w:rsidRPr="0078289D">
        <w:rPr>
          <w:rFonts w:eastAsia="Times New Roman"/>
          <w:sz w:val="28"/>
          <w:szCs w:val="28"/>
          <w:lang w:val="es-CO"/>
        </w:rPr>
        <w:t xml:space="preserve"> los fines </w:t>
      </w:r>
      <w:r w:rsidR="00801A08" w:rsidRPr="0078289D">
        <w:rPr>
          <w:rFonts w:eastAsia="Times New Roman"/>
          <w:sz w:val="28"/>
          <w:szCs w:val="28"/>
          <w:lang w:val="es-CO"/>
        </w:rPr>
        <w:t xml:space="preserve">constitucionales </w:t>
      </w:r>
      <w:r w:rsidR="00412096" w:rsidRPr="0078289D">
        <w:rPr>
          <w:rFonts w:eastAsia="Times New Roman"/>
          <w:sz w:val="28"/>
          <w:szCs w:val="28"/>
          <w:lang w:val="es-CO"/>
        </w:rPr>
        <w:t xml:space="preserve">del Estado, y a una verdadera realización de la función social de la propiedad. En ese mismo orden de ideas, </w:t>
      </w:r>
      <w:r w:rsidR="00B31E13" w:rsidRPr="0078289D">
        <w:rPr>
          <w:rFonts w:eastAsia="Times New Roman"/>
          <w:sz w:val="28"/>
          <w:szCs w:val="28"/>
          <w:lang w:val="es-CO"/>
        </w:rPr>
        <w:t xml:space="preserve">como ya se dijo, </w:t>
      </w:r>
      <w:r w:rsidR="00412096" w:rsidRPr="0078289D">
        <w:rPr>
          <w:rFonts w:eastAsia="Times New Roman"/>
          <w:sz w:val="28"/>
          <w:szCs w:val="28"/>
          <w:lang w:val="es-CO"/>
        </w:rPr>
        <w:t xml:space="preserve">cuando </w:t>
      </w:r>
      <w:r w:rsidR="00CB781F" w:rsidRPr="0078289D">
        <w:rPr>
          <w:rFonts w:eastAsia="Times New Roman"/>
          <w:sz w:val="28"/>
          <w:szCs w:val="28"/>
          <w:lang w:val="es-CO"/>
        </w:rPr>
        <w:t>la ley</w:t>
      </w:r>
      <w:r w:rsidR="00412096" w:rsidRPr="0078289D">
        <w:rPr>
          <w:rFonts w:eastAsia="Times New Roman"/>
          <w:sz w:val="28"/>
          <w:szCs w:val="28"/>
          <w:lang w:val="es-CO"/>
        </w:rPr>
        <w:t xml:space="preserve"> define dichos motivos </w:t>
      </w:r>
      <w:r w:rsidR="00CB781F" w:rsidRPr="0078289D">
        <w:rPr>
          <w:rFonts w:eastAsia="Times New Roman"/>
          <w:sz w:val="28"/>
          <w:szCs w:val="28"/>
          <w:lang w:val="es-CO"/>
        </w:rPr>
        <w:t>garantiza</w:t>
      </w:r>
      <w:r w:rsidR="00412096" w:rsidRPr="0078289D">
        <w:rPr>
          <w:rFonts w:eastAsia="Times New Roman"/>
          <w:sz w:val="28"/>
          <w:szCs w:val="28"/>
          <w:lang w:val="es-CO"/>
        </w:rPr>
        <w:t xml:space="preserve"> que las actuaciones de las entidades del Estado que adelantan los procesos de expropiación correspondan al principio de democracia representativa, en la medida en que en tales casos es el </w:t>
      </w:r>
      <w:r w:rsidR="00CA0A76" w:rsidRPr="0078289D">
        <w:rPr>
          <w:rFonts w:eastAsia="Times New Roman"/>
          <w:sz w:val="28"/>
          <w:szCs w:val="28"/>
          <w:lang w:val="es-CO"/>
        </w:rPr>
        <w:t>Legislador</w:t>
      </w:r>
      <w:r w:rsidR="00423A07" w:rsidRPr="0078289D">
        <w:rPr>
          <w:rFonts w:eastAsia="Times New Roman"/>
          <w:sz w:val="28"/>
          <w:szCs w:val="28"/>
          <w:lang w:val="es-CO"/>
        </w:rPr>
        <w:t>,</w:t>
      </w:r>
      <w:r w:rsidR="00412096" w:rsidRPr="0078289D">
        <w:rPr>
          <w:rFonts w:eastAsia="Times New Roman"/>
          <w:sz w:val="28"/>
          <w:szCs w:val="28"/>
          <w:lang w:val="es-CO"/>
        </w:rPr>
        <w:t xml:space="preserve"> elegido por voto popular, y no un funcionario nombrado de la administración, quien decide en qué casos se justifica limitar los derechos de propiedad. Esto resulta importante si se tiene </w:t>
      </w:r>
      <w:r w:rsidR="00412096" w:rsidRPr="0078289D">
        <w:rPr>
          <w:rFonts w:eastAsia="Times New Roman"/>
          <w:sz w:val="28"/>
          <w:szCs w:val="28"/>
          <w:lang w:val="es-CO"/>
        </w:rPr>
        <w:lastRenderedPageBreak/>
        <w:t>en cuenta que son los funcionarios de la administración quienes tienen la función de decidir qué proyectos son de interés social y utilidad pública</w:t>
      </w:r>
      <w:r w:rsidR="00B31E13" w:rsidRPr="0078289D">
        <w:rPr>
          <w:rFonts w:eastAsia="Times New Roman"/>
          <w:sz w:val="28"/>
          <w:szCs w:val="28"/>
          <w:lang w:val="es-CO"/>
        </w:rPr>
        <w:t>,</w:t>
      </w:r>
      <w:r w:rsidR="00412096" w:rsidRPr="0078289D">
        <w:rPr>
          <w:rFonts w:eastAsia="Times New Roman"/>
          <w:sz w:val="28"/>
          <w:szCs w:val="28"/>
          <w:lang w:val="es-CO"/>
        </w:rPr>
        <w:t xml:space="preserve"> y cuáles no lo son. Así mismo, cuando el </w:t>
      </w:r>
      <w:r w:rsidR="005E4976" w:rsidRPr="0078289D">
        <w:rPr>
          <w:rFonts w:eastAsia="Times New Roman"/>
          <w:sz w:val="28"/>
          <w:szCs w:val="28"/>
          <w:lang w:val="es-CO"/>
        </w:rPr>
        <w:t>Congreso</w:t>
      </w:r>
      <w:r w:rsidR="00412096" w:rsidRPr="0078289D">
        <w:rPr>
          <w:rFonts w:eastAsia="Times New Roman"/>
          <w:sz w:val="28"/>
          <w:szCs w:val="28"/>
          <w:lang w:val="es-CO"/>
        </w:rPr>
        <w:t xml:space="preserve"> define los motivos de interés social y utilidad pública</w:t>
      </w:r>
      <w:r w:rsidR="00B31E13" w:rsidRPr="0078289D">
        <w:rPr>
          <w:rFonts w:eastAsia="Times New Roman"/>
          <w:sz w:val="28"/>
          <w:szCs w:val="28"/>
          <w:lang w:val="es-CO"/>
        </w:rPr>
        <w:t xml:space="preserve"> con fundamento en los cuales la administración puede adelantar pr</w:t>
      </w:r>
      <w:r w:rsidR="00E46EA3" w:rsidRPr="0078289D">
        <w:rPr>
          <w:rFonts w:eastAsia="Times New Roman"/>
          <w:sz w:val="28"/>
          <w:szCs w:val="28"/>
          <w:lang w:val="es-CO"/>
        </w:rPr>
        <w:t>o</w:t>
      </w:r>
      <w:r w:rsidR="00B31E13" w:rsidRPr="0078289D">
        <w:rPr>
          <w:rFonts w:eastAsia="Times New Roman"/>
          <w:sz w:val="28"/>
          <w:szCs w:val="28"/>
          <w:lang w:val="es-CO"/>
        </w:rPr>
        <w:t>cesos de expropiación,</w:t>
      </w:r>
      <w:r w:rsidR="00412096" w:rsidRPr="0078289D">
        <w:rPr>
          <w:rFonts w:eastAsia="Times New Roman"/>
          <w:sz w:val="28"/>
          <w:szCs w:val="28"/>
          <w:lang w:val="es-CO"/>
        </w:rPr>
        <w:t xml:space="preserve"> contribuye a la realización de la democracia participativa, pues les permite a los administrados defenderse en la vía administrativa, e interponer las acciones judiciales necesarias para garantizar el cumplimiento </w:t>
      </w:r>
      <w:r w:rsidR="00431199" w:rsidRPr="0078289D">
        <w:rPr>
          <w:rFonts w:eastAsia="Times New Roman"/>
          <w:sz w:val="28"/>
          <w:szCs w:val="28"/>
          <w:lang w:val="es-CO"/>
        </w:rPr>
        <w:t xml:space="preserve">efectivo </w:t>
      </w:r>
      <w:r w:rsidR="00412096" w:rsidRPr="0078289D">
        <w:rPr>
          <w:rFonts w:eastAsia="Times New Roman"/>
          <w:sz w:val="28"/>
          <w:szCs w:val="28"/>
          <w:lang w:val="es-CO"/>
        </w:rPr>
        <w:t>de los fines del Estado</w:t>
      </w:r>
      <w:r w:rsidR="00431199" w:rsidRPr="0078289D">
        <w:rPr>
          <w:rFonts w:eastAsia="Times New Roman"/>
          <w:sz w:val="28"/>
          <w:szCs w:val="28"/>
          <w:lang w:val="es-CO"/>
        </w:rPr>
        <w:t xml:space="preserve"> y evitar la desviación de su poder</w:t>
      </w:r>
      <w:r w:rsidR="00412096" w:rsidRPr="0078289D">
        <w:rPr>
          <w:rFonts w:eastAsia="Times New Roman"/>
          <w:sz w:val="28"/>
          <w:szCs w:val="28"/>
          <w:lang w:val="es-CO"/>
        </w:rPr>
        <w:t xml:space="preserve">. </w:t>
      </w:r>
    </w:p>
    <w:p w:rsidR="00412096" w:rsidRPr="0078289D" w:rsidRDefault="00412096" w:rsidP="0078289D">
      <w:pPr>
        <w:pBdr>
          <w:top w:val="none" w:sz="0" w:space="0" w:color="auto"/>
          <w:left w:val="none" w:sz="0" w:space="0" w:color="auto"/>
          <w:bottom w:val="none" w:sz="0" w:space="0" w:color="auto"/>
          <w:right w:val="none" w:sz="0" w:space="0" w:color="auto"/>
        </w:pBdr>
        <w:jc w:val="both"/>
        <w:rPr>
          <w:rFonts w:eastAsia="Times New Roman"/>
          <w:sz w:val="28"/>
          <w:szCs w:val="28"/>
          <w:lang w:val="es-CO"/>
        </w:rPr>
      </w:pPr>
    </w:p>
    <w:p w:rsidR="00412096" w:rsidRPr="0078289D" w:rsidRDefault="008F2110"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rFonts w:eastAsia="Times New Roman"/>
          <w:sz w:val="28"/>
          <w:szCs w:val="28"/>
          <w:lang w:val="es-CO"/>
        </w:rPr>
        <w:t>9</w:t>
      </w:r>
      <w:r w:rsidR="00412096" w:rsidRPr="0078289D">
        <w:rPr>
          <w:rFonts w:eastAsia="Times New Roman"/>
          <w:sz w:val="28"/>
          <w:szCs w:val="28"/>
          <w:lang w:val="es-CO"/>
        </w:rPr>
        <w:t xml:space="preserve">2. </w:t>
      </w:r>
      <w:r w:rsidR="00431199" w:rsidRPr="0078289D">
        <w:rPr>
          <w:rFonts w:eastAsia="Times New Roman"/>
          <w:sz w:val="28"/>
          <w:szCs w:val="28"/>
          <w:lang w:val="es-CO"/>
        </w:rPr>
        <w:t>T</w:t>
      </w:r>
      <w:r w:rsidR="00886E2C" w:rsidRPr="0078289D">
        <w:rPr>
          <w:rFonts w:eastAsia="Times New Roman"/>
          <w:sz w:val="28"/>
          <w:szCs w:val="28"/>
          <w:lang w:val="es-CO"/>
        </w:rPr>
        <w:t xml:space="preserve">eniendo en cuenta el papel que juega la </w:t>
      </w:r>
      <w:r w:rsidR="00886E2C" w:rsidRPr="0078289D">
        <w:rPr>
          <w:rFonts w:eastAsia="Times New Roman"/>
          <w:i/>
          <w:sz w:val="28"/>
          <w:szCs w:val="28"/>
          <w:lang w:val="es-CO"/>
        </w:rPr>
        <w:t>causa expropiandi</w:t>
      </w:r>
      <w:r w:rsidR="00886E2C" w:rsidRPr="0078289D">
        <w:rPr>
          <w:rFonts w:eastAsia="Times New Roman"/>
          <w:sz w:val="28"/>
          <w:szCs w:val="28"/>
          <w:lang w:val="es-CO"/>
        </w:rPr>
        <w:t xml:space="preserve"> en la realización de la prevalencia del interés general, la garantía de la función </w:t>
      </w:r>
      <w:r w:rsidR="00E46EA3" w:rsidRPr="0078289D">
        <w:rPr>
          <w:rFonts w:eastAsia="Times New Roman"/>
          <w:sz w:val="28"/>
          <w:szCs w:val="28"/>
          <w:lang w:val="es-CO"/>
        </w:rPr>
        <w:t xml:space="preserve">social de </w:t>
      </w:r>
      <w:r w:rsidR="00886E2C" w:rsidRPr="0078289D">
        <w:rPr>
          <w:rFonts w:eastAsia="Times New Roman"/>
          <w:sz w:val="28"/>
          <w:szCs w:val="28"/>
          <w:lang w:val="es-CO"/>
        </w:rPr>
        <w:t>l</w:t>
      </w:r>
      <w:r w:rsidR="00E46EA3" w:rsidRPr="0078289D">
        <w:rPr>
          <w:rFonts w:eastAsia="Times New Roman"/>
          <w:sz w:val="28"/>
          <w:szCs w:val="28"/>
          <w:lang w:val="es-CO"/>
        </w:rPr>
        <w:t>a</w:t>
      </w:r>
      <w:r w:rsidR="00886E2C" w:rsidRPr="0078289D">
        <w:rPr>
          <w:rFonts w:eastAsia="Times New Roman"/>
          <w:sz w:val="28"/>
          <w:szCs w:val="28"/>
          <w:lang w:val="es-CO"/>
        </w:rPr>
        <w:t xml:space="preserve"> propiedad, </w:t>
      </w:r>
      <w:r w:rsidR="00291458" w:rsidRPr="0078289D">
        <w:rPr>
          <w:rFonts w:eastAsia="Times New Roman"/>
          <w:sz w:val="28"/>
          <w:szCs w:val="28"/>
          <w:lang w:val="es-CO"/>
        </w:rPr>
        <w:t>y en la protecció</w:t>
      </w:r>
      <w:r w:rsidR="007A6CDC" w:rsidRPr="0078289D">
        <w:rPr>
          <w:rFonts w:eastAsia="Times New Roman"/>
          <w:sz w:val="28"/>
          <w:szCs w:val="28"/>
          <w:lang w:val="es-CO"/>
        </w:rPr>
        <w:t>n de los derechos de propiedad, debido proceso y de acceso a l</w:t>
      </w:r>
      <w:r w:rsidR="00E46EA3" w:rsidRPr="0078289D">
        <w:rPr>
          <w:rFonts w:eastAsia="Times New Roman"/>
          <w:sz w:val="28"/>
          <w:szCs w:val="28"/>
          <w:lang w:val="es-CO"/>
        </w:rPr>
        <w:t>a</w:t>
      </w:r>
      <w:r w:rsidR="007A6CDC" w:rsidRPr="0078289D">
        <w:rPr>
          <w:rFonts w:eastAsia="Times New Roman"/>
          <w:sz w:val="28"/>
          <w:szCs w:val="28"/>
          <w:lang w:val="es-CO"/>
        </w:rPr>
        <w:t xml:space="preserve"> administración de justicia,</w:t>
      </w:r>
      <w:r w:rsidR="00291458" w:rsidRPr="0078289D">
        <w:rPr>
          <w:rFonts w:eastAsia="Times New Roman"/>
          <w:sz w:val="28"/>
          <w:szCs w:val="28"/>
          <w:lang w:val="es-CO"/>
        </w:rPr>
        <w:t xml:space="preserve"> l</w:t>
      </w:r>
      <w:r w:rsidR="00412096" w:rsidRPr="0078289D">
        <w:rPr>
          <w:rFonts w:eastAsia="Times New Roman"/>
          <w:sz w:val="28"/>
          <w:szCs w:val="28"/>
          <w:lang w:val="es-CO"/>
        </w:rPr>
        <w:t xml:space="preserve">e corresponde entonces a esta Corporación </w:t>
      </w:r>
      <w:r w:rsidR="00E25EDF" w:rsidRPr="0078289D">
        <w:rPr>
          <w:rFonts w:eastAsia="Times New Roman"/>
          <w:sz w:val="28"/>
          <w:szCs w:val="28"/>
          <w:lang w:val="es-CO"/>
        </w:rPr>
        <w:t>establecer si el</w:t>
      </w:r>
      <w:r w:rsidR="00412096" w:rsidRPr="0078289D">
        <w:rPr>
          <w:rFonts w:eastAsia="Times New Roman"/>
          <w:sz w:val="28"/>
          <w:szCs w:val="28"/>
          <w:lang w:val="es-CO"/>
        </w:rPr>
        <w:t xml:space="preserve"> criterio del “</w:t>
      </w:r>
      <w:r w:rsidR="00412096" w:rsidRPr="0078289D">
        <w:rPr>
          <w:i/>
          <w:color w:val="000000"/>
          <w:sz w:val="28"/>
          <w:szCs w:val="28"/>
          <w:lang w:val="es-ES_tradnl" w:eastAsia="es-ES"/>
        </w:rPr>
        <w:t>alto impacto en el crecimiento económico y social del país</w:t>
      </w:r>
      <w:r w:rsidR="00412096" w:rsidRPr="0078289D">
        <w:rPr>
          <w:color w:val="000000"/>
          <w:sz w:val="28"/>
          <w:szCs w:val="28"/>
          <w:lang w:val="es-ES_tradnl" w:eastAsia="es-ES"/>
        </w:rPr>
        <w:t xml:space="preserve">” con base en el cual la CIIPE debe determinar si un proyecto es PINE, constituye un motivo de interés social y utilidad pública suficiente para </w:t>
      </w:r>
      <w:r w:rsidR="00E25EDF" w:rsidRPr="0078289D">
        <w:rPr>
          <w:color w:val="000000"/>
          <w:sz w:val="28"/>
          <w:szCs w:val="28"/>
          <w:lang w:val="es-ES_tradnl" w:eastAsia="es-ES"/>
        </w:rPr>
        <w:t>autorizar a la Administración a adelantar procesos de expropiación.</w:t>
      </w: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Sin duda, el que un proyecto tenga un alto impacto en el crecimiento económico del país constituye un motivo importante para justificar </w:t>
      </w:r>
      <w:r w:rsidR="00103995" w:rsidRPr="0078289D">
        <w:rPr>
          <w:color w:val="000000"/>
          <w:sz w:val="28"/>
          <w:szCs w:val="28"/>
          <w:lang w:val="es-ES_tradnl" w:eastAsia="es-ES"/>
        </w:rPr>
        <w:t>su</w:t>
      </w:r>
      <w:r w:rsidRPr="0078289D">
        <w:rPr>
          <w:color w:val="000000"/>
          <w:sz w:val="28"/>
          <w:szCs w:val="28"/>
          <w:lang w:val="es-ES_tradnl" w:eastAsia="es-ES"/>
        </w:rPr>
        <w:t xml:space="preserve"> declaratoria de utilidad pública e interés social. En principio, el crecimiento económico, entendido de manera simple como un aumento en el producto interno bruto del país, puede contribuir a la realización de los fines del Estado, en la medida en que signifique mayores ingresos para el Estado y para la sociedad. </w:t>
      </w: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Sin embargo, tal y como está plasmado en la disposición demandada, no </w:t>
      </w:r>
      <w:r w:rsidR="00E74F1B" w:rsidRPr="0078289D">
        <w:rPr>
          <w:color w:val="000000"/>
          <w:sz w:val="28"/>
          <w:szCs w:val="28"/>
          <w:lang w:val="es-ES_tradnl" w:eastAsia="es-ES"/>
        </w:rPr>
        <w:t>constituye</w:t>
      </w:r>
      <w:r w:rsidRPr="0078289D">
        <w:rPr>
          <w:color w:val="000000"/>
          <w:sz w:val="28"/>
          <w:szCs w:val="28"/>
          <w:lang w:val="es-ES_tradnl" w:eastAsia="es-ES"/>
        </w:rPr>
        <w:t xml:space="preserve"> un motivo suficiente, en la medida en que no resulta lo bastante claro para establecer cuándo un proyecto tiene un “alto impacto” sobre el crecimiento económico. El </w:t>
      </w:r>
      <w:r w:rsidR="00CA0A76" w:rsidRPr="0078289D">
        <w:rPr>
          <w:color w:val="000000"/>
          <w:sz w:val="28"/>
          <w:szCs w:val="28"/>
          <w:lang w:val="es-ES_tradnl" w:eastAsia="es-ES"/>
        </w:rPr>
        <w:t>Legislador</w:t>
      </w:r>
      <w:r w:rsidRPr="0078289D">
        <w:rPr>
          <w:color w:val="000000"/>
          <w:sz w:val="28"/>
          <w:szCs w:val="28"/>
          <w:lang w:val="es-ES_tradnl" w:eastAsia="es-ES"/>
        </w:rPr>
        <w:t xml:space="preserve"> no estableció en el Plan de Desarrollo un parámetro para determinar qué constituye un alto impacto sobre el crecimiento económico para efectos de la competencia atribuida al CIIPE. Por otra parte, tampoco resulta claro a qué se refiere la disposición demandada cuando alude a un “</w:t>
      </w:r>
      <w:r w:rsidRPr="0078289D">
        <w:rPr>
          <w:i/>
          <w:color w:val="000000"/>
          <w:sz w:val="28"/>
          <w:szCs w:val="28"/>
          <w:lang w:val="es-ES_tradnl" w:eastAsia="es-ES"/>
        </w:rPr>
        <w:t>crecimiento … social</w:t>
      </w:r>
      <w:r w:rsidRPr="0078289D">
        <w:rPr>
          <w:color w:val="000000"/>
          <w:sz w:val="28"/>
          <w:szCs w:val="28"/>
          <w:lang w:val="es-ES_tradnl" w:eastAsia="es-ES"/>
        </w:rPr>
        <w:t xml:space="preserve">”. No es posible determinar qué aspectos o factores sociales son los que </w:t>
      </w:r>
      <w:r w:rsidR="00690CE1" w:rsidRPr="0078289D">
        <w:rPr>
          <w:color w:val="000000"/>
          <w:sz w:val="28"/>
          <w:szCs w:val="28"/>
          <w:lang w:val="es-ES_tradnl" w:eastAsia="es-ES"/>
        </w:rPr>
        <w:t>constituyen este crecimiento</w:t>
      </w:r>
      <w:r w:rsidRPr="0078289D">
        <w:rPr>
          <w:color w:val="000000"/>
          <w:sz w:val="28"/>
          <w:szCs w:val="28"/>
          <w:lang w:val="es-ES_tradnl" w:eastAsia="es-ES"/>
        </w:rPr>
        <w:t xml:space="preserve">, o si se trata </w:t>
      </w:r>
      <w:r w:rsidR="00690CE1" w:rsidRPr="0078289D">
        <w:rPr>
          <w:color w:val="000000"/>
          <w:sz w:val="28"/>
          <w:szCs w:val="28"/>
          <w:lang w:val="es-ES_tradnl" w:eastAsia="es-ES"/>
        </w:rPr>
        <w:t xml:space="preserve">solamente </w:t>
      </w:r>
      <w:r w:rsidRPr="0078289D">
        <w:rPr>
          <w:color w:val="000000"/>
          <w:sz w:val="28"/>
          <w:szCs w:val="28"/>
          <w:lang w:val="es-ES_tradnl" w:eastAsia="es-ES"/>
        </w:rPr>
        <w:t xml:space="preserve">de la redistribución de los beneficios del crecimiento económico. En fin, la expresión de crecimiento social, y la indeterminación respecto de la magnitud </w:t>
      </w:r>
      <w:r w:rsidR="00421496" w:rsidRPr="0078289D">
        <w:rPr>
          <w:color w:val="000000"/>
          <w:sz w:val="28"/>
          <w:szCs w:val="28"/>
          <w:lang w:val="es-ES_tradnl" w:eastAsia="es-ES"/>
        </w:rPr>
        <w:t>del</w:t>
      </w:r>
      <w:r w:rsidR="00790E04" w:rsidRPr="0078289D">
        <w:rPr>
          <w:color w:val="000000"/>
          <w:sz w:val="28"/>
          <w:szCs w:val="28"/>
          <w:lang w:val="es-ES_tradnl" w:eastAsia="es-ES"/>
        </w:rPr>
        <w:t xml:space="preserve"> crecimiento económico necesaria</w:t>
      </w:r>
      <w:r w:rsidR="00421496" w:rsidRPr="0078289D">
        <w:rPr>
          <w:color w:val="000000"/>
          <w:sz w:val="28"/>
          <w:szCs w:val="28"/>
          <w:lang w:val="es-ES_tradnl" w:eastAsia="es-ES"/>
        </w:rPr>
        <w:t xml:space="preserve"> para </w:t>
      </w:r>
      <w:r w:rsidR="00790E04" w:rsidRPr="0078289D">
        <w:rPr>
          <w:color w:val="000000"/>
          <w:sz w:val="28"/>
          <w:szCs w:val="28"/>
          <w:lang w:val="es-ES_tradnl" w:eastAsia="es-ES"/>
        </w:rPr>
        <w:t>que la CIIPE ejerza</w:t>
      </w:r>
      <w:r w:rsidR="00421496" w:rsidRPr="0078289D">
        <w:rPr>
          <w:color w:val="000000"/>
          <w:sz w:val="28"/>
          <w:szCs w:val="28"/>
          <w:lang w:val="es-ES_tradnl" w:eastAsia="es-ES"/>
        </w:rPr>
        <w:t xml:space="preserve"> su facultad de calificar un proyecto como PINE, </w:t>
      </w:r>
      <w:r w:rsidRPr="0078289D">
        <w:rPr>
          <w:color w:val="000000"/>
          <w:sz w:val="28"/>
          <w:szCs w:val="28"/>
          <w:lang w:val="es-ES_tradnl" w:eastAsia="es-ES"/>
        </w:rPr>
        <w:t xml:space="preserve">no permiten establecer </w:t>
      </w:r>
      <w:r w:rsidR="00FA68A6" w:rsidRPr="0078289D">
        <w:rPr>
          <w:color w:val="000000"/>
          <w:sz w:val="28"/>
          <w:szCs w:val="28"/>
          <w:lang w:val="es-ES_tradnl" w:eastAsia="es-ES"/>
        </w:rPr>
        <w:t>cuál es el límite al ejercicio de dicha facultad</w:t>
      </w:r>
      <w:r w:rsidRPr="0078289D">
        <w:rPr>
          <w:color w:val="000000"/>
          <w:sz w:val="28"/>
          <w:szCs w:val="28"/>
          <w:lang w:val="es-ES_tradnl" w:eastAsia="es-ES"/>
        </w:rPr>
        <w:t>.</w:t>
      </w:r>
      <w:r w:rsidR="00790E04" w:rsidRPr="0078289D">
        <w:rPr>
          <w:color w:val="000000"/>
          <w:sz w:val="28"/>
          <w:szCs w:val="28"/>
          <w:lang w:val="es-ES_tradnl" w:eastAsia="es-ES"/>
        </w:rPr>
        <w:t xml:space="preserve"> </w:t>
      </w: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C5CCA"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La falta de claridad en torno a </w:t>
      </w:r>
      <w:r w:rsidR="00236349" w:rsidRPr="0078289D">
        <w:rPr>
          <w:color w:val="000000"/>
          <w:sz w:val="28"/>
          <w:szCs w:val="28"/>
          <w:lang w:val="es-ES_tradnl" w:eastAsia="es-ES"/>
        </w:rPr>
        <w:t>lo que significa</w:t>
      </w:r>
      <w:r w:rsidRPr="0078289D">
        <w:rPr>
          <w:color w:val="000000"/>
          <w:sz w:val="28"/>
          <w:szCs w:val="28"/>
          <w:lang w:val="es-ES_tradnl" w:eastAsia="es-ES"/>
        </w:rPr>
        <w:t xml:space="preserve"> </w:t>
      </w:r>
      <w:r w:rsidR="00236349" w:rsidRPr="0078289D">
        <w:rPr>
          <w:color w:val="000000"/>
          <w:sz w:val="28"/>
          <w:szCs w:val="28"/>
          <w:lang w:val="es-ES_tradnl" w:eastAsia="es-ES"/>
        </w:rPr>
        <w:t>el concepto</w:t>
      </w:r>
      <w:r w:rsidRPr="0078289D">
        <w:rPr>
          <w:color w:val="000000"/>
          <w:sz w:val="28"/>
          <w:szCs w:val="28"/>
          <w:lang w:val="es-ES_tradnl" w:eastAsia="es-ES"/>
        </w:rPr>
        <w:t xml:space="preserve"> </w:t>
      </w:r>
      <w:r w:rsidR="00236349" w:rsidRPr="0078289D">
        <w:rPr>
          <w:color w:val="000000"/>
          <w:sz w:val="28"/>
          <w:szCs w:val="28"/>
          <w:lang w:val="es-ES_tradnl" w:eastAsia="es-ES"/>
        </w:rPr>
        <w:t xml:space="preserve">de crecimiento social, y a la magnitud de crecimiento económico </w:t>
      </w:r>
      <w:r w:rsidR="009A2B29" w:rsidRPr="0078289D">
        <w:rPr>
          <w:color w:val="000000"/>
          <w:sz w:val="28"/>
          <w:szCs w:val="28"/>
          <w:lang w:val="es-ES_tradnl" w:eastAsia="es-ES"/>
        </w:rPr>
        <w:t xml:space="preserve">para efectos de que la CIIPE califique un proyecto como PINE </w:t>
      </w:r>
      <w:r w:rsidR="0008237C" w:rsidRPr="0078289D">
        <w:rPr>
          <w:color w:val="000000"/>
          <w:sz w:val="28"/>
          <w:szCs w:val="28"/>
          <w:lang w:val="es-ES_tradnl" w:eastAsia="es-ES"/>
        </w:rPr>
        <w:t xml:space="preserve">no tienen, por sí mismas, relevancia constitucional. </w:t>
      </w:r>
      <w:r w:rsidR="00405153" w:rsidRPr="0078289D">
        <w:rPr>
          <w:color w:val="000000"/>
          <w:sz w:val="28"/>
          <w:szCs w:val="28"/>
          <w:lang w:val="es-ES_tradnl" w:eastAsia="es-ES"/>
        </w:rPr>
        <w:t xml:space="preserve">La calificación de un proyecto como de interés estratégico, y los criterios con fundamento en los cuales se califique como tal </w:t>
      </w:r>
      <w:r w:rsidR="00650818" w:rsidRPr="0078289D">
        <w:rPr>
          <w:color w:val="000000"/>
          <w:sz w:val="28"/>
          <w:szCs w:val="28"/>
          <w:lang w:val="es-ES_tradnl" w:eastAsia="es-ES"/>
        </w:rPr>
        <w:t>o</w:t>
      </w:r>
      <w:r w:rsidR="00D562B5" w:rsidRPr="0078289D">
        <w:rPr>
          <w:color w:val="000000"/>
          <w:sz w:val="28"/>
          <w:szCs w:val="28"/>
          <w:lang w:val="es-ES_tradnl" w:eastAsia="es-ES"/>
        </w:rPr>
        <w:t xml:space="preserve">bedecen a </w:t>
      </w:r>
      <w:r w:rsidR="00D562B5" w:rsidRPr="0078289D">
        <w:rPr>
          <w:color w:val="000000"/>
          <w:sz w:val="28"/>
          <w:szCs w:val="28"/>
          <w:lang w:val="es-ES_tradnl" w:eastAsia="es-ES"/>
        </w:rPr>
        <w:lastRenderedPageBreak/>
        <w:t>diseños particulares de políticas públicas</w:t>
      </w:r>
      <w:r w:rsidR="00E46EA3" w:rsidRPr="0078289D">
        <w:rPr>
          <w:color w:val="000000"/>
          <w:sz w:val="28"/>
          <w:szCs w:val="28"/>
          <w:lang w:val="es-ES_tradnl" w:eastAsia="es-ES"/>
        </w:rPr>
        <w:t>,</w:t>
      </w:r>
      <w:r w:rsidR="00D562B5" w:rsidRPr="0078289D">
        <w:rPr>
          <w:color w:val="000000"/>
          <w:sz w:val="28"/>
          <w:szCs w:val="28"/>
          <w:lang w:val="es-ES_tradnl" w:eastAsia="es-ES"/>
        </w:rPr>
        <w:t xml:space="preserve"> </w:t>
      </w:r>
      <w:r w:rsidR="00650818" w:rsidRPr="0078289D">
        <w:rPr>
          <w:color w:val="000000"/>
          <w:sz w:val="28"/>
          <w:szCs w:val="28"/>
          <w:lang w:val="es-ES_tradnl" w:eastAsia="es-ES"/>
        </w:rPr>
        <w:t>sin mayores repercusiones</w:t>
      </w:r>
      <w:r w:rsidR="007C5CCA" w:rsidRPr="0078289D">
        <w:rPr>
          <w:color w:val="000000"/>
          <w:sz w:val="28"/>
          <w:szCs w:val="28"/>
          <w:lang w:val="es-ES_tradnl" w:eastAsia="es-ES"/>
        </w:rPr>
        <w:t xml:space="preserve"> constitucionales.</w:t>
      </w:r>
      <w:r w:rsidR="00650818" w:rsidRPr="0078289D">
        <w:rPr>
          <w:color w:val="000000"/>
          <w:sz w:val="28"/>
          <w:szCs w:val="28"/>
          <w:lang w:val="es-ES_tradnl" w:eastAsia="es-ES"/>
        </w:rPr>
        <w:t xml:space="preserve"> </w:t>
      </w:r>
    </w:p>
    <w:p w:rsidR="007C5CCA" w:rsidRPr="0078289D" w:rsidRDefault="007C5CCA"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412096" w:rsidRPr="0078289D" w:rsidRDefault="0008237C"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Sin embargo, esta falta de claridad resulta pertinente constitucionalmente</w:t>
      </w:r>
      <w:r w:rsidR="00412096" w:rsidRPr="0078289D">
        <w:rPr>
          <w:color w:val="000000"/>
          <w:sz w:val="28"/>
          <w:szCs w:val="28"/>
          <w:lang w:val="es-ES_tradnl" w:eastAsia="es-ES"/>
        </w:rPr>
        <w:t xml:space="preserve"> en la medida en que de </w:t>
      </w:r>
      <w:r w:rsidR="009C7427" w:rsidRPr="0078289D">
        <w:rPr>
          <w:color w:val="000000"/>
          <w:sz w:val="28"/>
          <w:szCs w:val="28"/>
          <w:lang w:val="es-ES_tradnl" w:eastAsia="es-ES"/>
        </w:rPr>
        <w:t>tales conceptos</w:t>
      </w:r>
      <w:r w:rsidR="00412096" w:rsidRPr="0078289D">
        <w:rPr>
          <w:color w:val="000000"/>
          <w:sz w:val="28"/>
          <w:szCs w:val="28"/>
          <w:lang w:val="es-ES_tradnl" w:eastAsia="es-ES"/>
        </w:rPr>
        <w:t xml:space="preserve"> </w:t>
      </w:r>
      <w:r w:rsidR="00E74F1B" w:rsidRPr="0078289D">
        <w:rPr>
          <w:color w:val="000000"/>
          <w:sz w:val="28"/>
          <w:szCs w:val="28"/>
          <w:lang w:val="es-ES_tradnl" w:eastAsia="es-ES"/>
        </w:rPr>
        <w:t>dep</w:t>
      </w:r>
      <w:r w:rsidR="00412096" w:rsidRPr="0078289D">
        <w:rPr>
          <w:color w:val="000000"/>
          <w:sz w:val="28"/>
          <w:szCs w:val="28"/>
          <w:lang w:val="es-ES_tradnl" w:eastAsia="es-ES"/>
        </w:rPr>
        <w:t xml:space="preserve">ende el alcance </w:t>
      </w:r>
      <w:r w:rsidR="00453821" w:rsidRPr="0078289D">
        <w:rPr>
          <w:color w:val="000000"/>
          <w:sz w:val="28"/>
          <w:szCs w:val="28"/>
          <w:lang w:val="es-ES_tradnl" w:eastAsia="es-ES"/>
        </w:rPr>
        <w:t>d</w:t>
      </w:r>
      <w:r w:rsidR="00412096" w:rsidRPr="0078289D">
        <w:rPr>
          <w:color w:val="000000"/>
          <w:sz w:val="28"/>
          <w:szCs w:val="28"/>
          <w:lang w:val="es-ES_tradnl" w:eastAsia="es-ES"/>
        </w:rPr>
        <w:t xml:space="preserve">el ejercicio de una facultad </w:t>
      </w:r>
      <w:r w:rsidR="001327C0" w:rsidRPr="0078289D">
        <w:rPr>
          <w:color w:val="000000"/>
          <w:sz w:val="28"/>
          <w:szCs w:val="28"/>
          <w:lang w:val="es-ES_tradnl" w:eastAsia="es-ES"/>
        </w:rPr>
        <w:t xml:space="preserve">estatal </w:t>
      </w:r>
      <w:r w:rsidR="009C7427" w:rsidRPr="0078289D">
        <w:rPr>
          <w:color w:val="000000"/>
          <w:sz w:val="28"/>
          <w:szCs w:val="28"/>
          <w:lang w:val="es-ES_tradnl" w:eastAsia="es-ES"/>
        </w:rPr>
        <w:t xml:space="preserve">cuya </w:t>
      </w:r>
      <w:r w:rsidR="00412096" w:rsidRPr="0078289D">
        <w:rPr>
          <w:color w:val="000000"/>
          <w:sz w:val="28"/>
          <w:szCs w:val="28"/>
          <w:lang w:val="es-ES_tradnl" w:eastAsia="es-ES"/>
        </w:rPr>
        <w:t>princip</w:t>
      </w:r>
      <w:r w:rsidR="009C7427" w:rsidRPr="0078289D">
        <w:rPr>
          <w:color w:val="000000"/>
          <w:sz w:val="28"/>
          <w:szCs w:val="28"/>
          <w:lang w:val="es-ES_tradnl" w:eastAsia="es-ES"/>
        </w:rPr>
        <w:t>al repercusión es la de</w:t>
      </w:r>
      <w:r w:rsidR="00412096" w:rsidRPr="0078289D">
        <w:rPr>
          <w:color w:val="000000"/>
          <w:sz w:val="28"/>
          <w:szCs w:val="28"/>
          <w:lang w:val="es-ES_tradnl" w:eastAsia="es-ES"/>
        </w:rPr>
        <w:t xml:space="preserve"> </w:t>
      </w:r>
      <w:r w:rsidR="00453821" w:rsidRPr="0078289D">
        <w:rPr>
          <w:color w:val="000000"/>
          <w:sz w:val="28"/>
          <w:szCs w:val="28"/>
          <w:lang w:val="es-ES_tradnl" w:eastAsia="es-ES"/>
        </w:rPr>
        <w:t>autorizar</w:t>
      </w:r>
      <w:r w:rsidR="00412096" w:rsidRPr="0078289D">
        <w:rPr>
          <w:color w:val="000000"/>
          <w:sz w:val="28"/>
          <w:szCs w:val="28"/>
          <w:lang w:val="es-ES_tradnl" w:eastAsia="es-ES"/>
        </w:rPr>
        <w:t xml:space="preserve"> a la administración </w:t>
      </w:r>
      <w:r w:rsidR="009C7427" w:rsidRPr="0078289D">
        <w:rPr>
          <w:color w:val="000000"/>
          <w:sz w:val="28"/>
          <w:szCs w:val="28"/>
          <w:lang w:val="es-ES_tradnl" w:eastAsia="es-ES"/>
        </w:rPr>
        <w:t>par</w:t>
      </w:r>
      <w:r w:rsidR="00453821" w:rsidRPr="0078289D">
        <w:rPr>
          <w:color w:val="000000"/>
          <w:sz w:val="28"/>
          <w:szCs w:val="28"/>
          <w:lang w:val="es-ES_tradnl" w:eastAsia="es-ES"/>
        </w:rPr>
        <w:t>a</w:t>
      </w:r>
      <w:r w:rsidR="00412096" w:rsidRPr="0078289D">
        <w:rPr>
          <w:color w:val="000000"/>
          <w:sz w:val="28"/>
          <w:szCs w:val="28"/>
          <w:lang w:val="es-ES_tradnl" w:eastAsia="es-ES"/>
        </w:rPr>
        <w:t xml:space="preserve"> adelantar procesos de expropiación. Es decir, </w:t>
      </w:r>
      <w:r w:rsidR="009C7427" w:rsidRPr="0078289D">
        <w:rPr>
          <w:color w:val="000000"/>
          <w:sz w:val="28"/>
          <w:szCs w:val="28"/>
          <w:lang w:val="es-ES_tradnl" w:eastAsia="es-ES"/>
        </w:rPr>
        <w:t xml:space="preserve">en el presente caso </w:t>
      </w:r>
      <w:r w:rsidR="00C61013" w:rsidRPr="0078289D">
        <w:rPr>
          <w:color w:val="000000"/>
          <w:sz w:val="28"/>
          <w:szCs w:val="28"/>
          <w:lang w:val="es-ES_tradnl" w:eastAsia="es-ES"/>
        </w:rPr>
        <w:t>dos</w:t>
      </w:r>
      <w:r w:rsidR="009C7427" w:rsidRPr="0078289D">
        <w:rPr>
          <w:color w:val="000000"/>
          <w:sz w:val="28"/>
          <w:szCs w:val="28"/>
          <w:lang w:val="es-ES_tradnl" w:eastAsia="es-ES"/>
        </w:rPr>
        <w:t xml:space="preserve"> concepto</w:t>
      </w:r>
      <w:r w:rsidR="00C61013" w:rsidRPr="0078289D">
        <w:rPr>
          <w:color w:val="000000"/>
          <w:sz w:val="28"/>
          <w:szCs w:val="28"/>
          <w:lang w:val="es-ES_tradnl" w:eastAsia="es-ES"/>
        </w:rPr>
        <w:t>s</w:t>
      </w:r>
      <w:r w:rsidR="009C7427" w:rsidRPr="0078289D">
        <w:rPr>
          <w:color w:val="000000"/>
          <w:sz w:val="28"/>
          <w:szCs w:val="28"/>
          <w:lang w:val="es-ES_tradnl" w:eastAsia="es-ES"/>
        </w:rPr>
        <w:t xml:space="preserve"> </w:t>
      </w:r>
      <w:r w:rsidR="00C61013" w:rsidRPr="0078289D">
        <w:rPr>
          <w:color w:val="000000"/>
          <w:sz w:val="28"/>
          <w:szCs w:val="28"/>
          <w:lang w:val="es-ES_tradnl" w:eastAsia="es-ES"/>
        </w:rPr>
        <w:t xml:space="preserve">sobre los cuales no existe claridad alguna </w:t>
      </w:r>
      <w:r w:rsidR="00412096" w:rsidRPr="0078289D">
        <w:rPr>
          <w:color w:val="000000"/>
          <w:sz w:val="28"/>
          <w:szCs w:val="28"/>
          <w:lang w:val="es-ES_tradnl" w:eastAsia="es-ES"/>
        </w:rPr>
        <w:t>determina</w:t>
      </w:r>
      <w:r w:rsidR="00C61013" w:rsidRPr="0078289D">
        <w:rPr>
          <w:color w:val="000000"/>
          <w:sz w:val="28"/>
          <w:szCs w:val="28"/>
          <w:lang w:val="es-ES_tradnl" w:eastAsia="es-ES"/>
        </w:rPr>
        <w:t>n</w:t>
      </w:r>
      <w:r w:rsidR="00412096" w:rsidRPr="0078289D">
        <w:rPr>
          <w:color w:val="000000"/>
          <w:sz w:val="28"/>
          <w:szCs w:val="28"/>
          <w:lang w:val="es-ES_tradnl" w:eastAsia="es-ES"/>
        </w:rPr>
        <w:t xml:space="preserve"> el alcance de la facultad </w:t>
      </w:r>
      <w:r w:rsidR="00C61013" w:rsidRPr="0078289D">
        <w:rPr>
          <w:color w:val="000000"/>
          <w:sz w:val="28"/>
          <w:szCs w:val="28"/>
          <w:lang w:val="es-ES_tradnl" w:eastAsia="es-ES"/>
        </w:rPr>
        <w:t>que tiene</w:t>
      </w:r>
      <w:r w:rsidR="00412096" w:rsidRPr="0078289D">
        <w:rPr>
          <w:color w:val="000000"/>
          <w:sz w:val="28"/>
          <w:szCs w:val="28"/>
          <w:lang w:val="es-ES_tradnl" w:eastAsia="es-ES"/>
        </w:rPr>
        <w:t xml:space="preserve"> la administración para disponer sobre los derechos de propiedad de los particulares. Esta falta de claridad impide al administrado, así como a los contratistas que desarrollan los proyectos, y a la misma administración, saber cuándo es legal declarar un proyecto de utilidad pública y cuando no lo es. Sin duda, la indeterminación sobre el alcance de las facultades de la CIIPE impide el ejercicio de</w:t>
      </w:r>
      <w:r w:rsidR="005B54AD" w:rsidRPr="0078289D">
        <w:rPr>
          <w:color w:val="000000"/>
          <w:sz w:val="28"/>
          <w:szCs w:val="28"/>
          <w:lang w:val="es-ES_tradnl" w:eastAsia="es-ES"/>
        </w:rPr>
        <w:t xml:space="preserve"> </w:t>
      </w:r>
      <w:r w:rsidR="00412096" w:rsidRPr="0078289D">
        <w:rPr>
          <w:color w:val="000000"/>
          <w:sz w:val="28"/>
          <w:szCs w:val="28"/>
          <w:lang w:val="es-ES_tradnl" w:eastAsia="es-ES"/>
        </w:rPr>
        <w:t>l</w:t>
      </w:r>
      <w:r w:rsidR="005B54AD" w:rsidRPr="0078289D">
        <w:rPr>
          <w:color w:val="000000"/>
          <w:sz w:val="28"/>
          <w:szCs w:val="28"/>
          <w:lang w:val="es-ES_tradnl" w:eastAsia="es-ES"/>
        </w:rPr>
        <w:t>os</w:t>
      </w:r>
      <w:r w:rsidR="00412096" w:rsidRPr="0078289D">
        <w:rPr>
          <w:color w:val="000000"/>
          <w:sz w:val="28"/>
          <w:szCs w:val="28"/>
          <w:lang w:val="es-ES_tradnl" w:eastAsia="es-ES"/>
        </w:rPr>
        <w:t xml:space="preserve"> derecho</w:t>
      </w:r>
      <w:r w:rsidR="005B54AD" w:rsidRPr="0078289D">
        <w:rPr>
          <w:color w:val="000000"/>
          <w:sz w:val="28"/>
          <w:szCs w:val="28"/>
          <w:lang w:val="es-ES_tradnl" w:eastAsia="es-ES"/>
        </w:rPr>
        <w:t>s</w:t>
      </w:r>
      <w:r w:rsidR="00412096" w:rsidRPr="0078289D">
        <w:rPr>
          <w:color w:val="000000"/>
          <w:sz w:val="28"/>
          <w:szCs w:val="28"/>
          <w:lang w:val="es-ES_tradnl" w:eastAsia="es-ES"/>
        </w:rPr>
        <w:t xml:space="preserve"> de acceso a la administración de justicia, a la defensa y al debido proceso, y no sólo el de los administrados, sino el de los contratistas, y el de la administración.</w:t>
      </w:r>
      <w:r w:rsidR="008F5D4C" w:rsidRPr="0078289D">
        <w:rPr>
          <w:color w:val="000000"/>
          <w:sz w:val="28"/>
          <w:szCs w:val="28"/>
          <w:lang w:val="es-ES_tradnl" w:eastAsia="es-ES"/>
        </w:rPr>
        <w:t xml:space="preserve"> En estas condiciones</w:t>
      </w:r>
      <w:r w:rsidR="005B54AD" w:rsidRPr="0078289D">
        <w:rPr>
          <w:color w:val="000000"/>
          <w:sz w:val="28"/>
          <w:szCs w:val="28"/>
          <w:lang w:val="es-ES_tradnl" w:eastAsia="es-ES"/>
        </w:rPr>
        <w:t xml:space="preserve"> de ambigüedad legal </w:t>
      </w:r>
      <w:r w:rsidR="008F5D4C" w:rsidRPr="0078289D">
        <w:rPr>
          <w:color w:val="000000"/>
          <w:sz w:val="28"/>
          <w:szCs w:val="28"/>
          <w:lang w:val="es-ES_tradnl" w:eastAsia="es-ES"/>
        </w:rPr>
        <w:t xml:space="preserve">no es posible que </w:t>
      </w:r>
      <w:r w:rsidR="005B54AD" w:rsidRPr="0078289D">
        <w:rPr>
          <w:color w:val="000000"/>
          <w:sz w:val="28"/>
          <w:szCs w:val="28"/>
          <w:lang w:val="es-ES_tradnl" w:eastAsia="es-ES"/>
        </w:rPr>
        <w:t>los</w:t>
      </w:r>
      <w:r w:rsidR="008F5D4C" w:rsidRPr="0078289D">
        <w:rPr>
          <w:color w:val="000000"/>
          <w:sz w:val="28"/>
          <w:szCs w:val="28"/>
          <w:lang w:val="es-ES_tradnl" w:eastAsia="es-ES"/>
        </w:rPr>
        <w:t xml:space="preserve"> sujetos procesales defienda</w:t>
      </w:r>
      <w:r w:rsidR="005B54AD" w:rsidRPr="0078289D">
        <w:rPr>
          <w:color w:val="000000"/>
          <w:sz w:val="28"/>
          <w:szCs w:val="28"/>
          <w:lang w:val="es-ES_tradnl" w:eastAsia="es-ES"/>
        </w:rPr>
        <w:t xml:space="preserve">n eficazmente </w:t>
      </w:r>
      <w:r w:rsidR="000A4231" w:rsidRPr="0078289D">
        <w:rPr>
          <w:color w:val="000000"/>
          <w:sz w:val="28"/>
          <w:szCs w:val="28"/>
          <w:lang w:val="es-ES_tradnl" w:eastAsia="es-ES"/>
        </w:rPr>
        <w:t>sus derechos,</w:t>
      </w:r>
      <w:r w:rsidR="005B54AD" w:rsidRPr="0078289D">
        <w:rPr>
          <w:color w:val="000000"/>
          <w:sz w:val="28"/>
          <w:szCs w:val="28"/>
          <w:lang w:val="es-ES_tradnl" w:eastAsia="es-ES"/>
        </w:rPr>
        <w:t xml:space="preserve"> controviertan</w:t>
      </w:r>
      <w:r w:rsidR="000A4231" w:rsidRPr="0078289D">
        <w:rPr>
          <w:color w:val="000000"/>
          <w:sz w:val="28"/>
          <w:szCs w:val="28"/>
          <w:lang w:val="es-ES_tradnl" w:eastAsia="es-ES"/>
        </w:rPr>
        <w:t xml:space="preserve"> </w:t>
      </w:r>
      <w:r w:rsidR="008F5D4C" w:rsidRPr="0078289D">
        <w:rPr>
          <w:color w:val="000000"/>
          <w:sz w:val="28"/>
          <w:szCs w:val="28"/>
          <w:lang w:val="es-ES_tradnl" w:eastAsia="es-ES"/>
        </w:rPr>
        <w:t xml:space="preserve">la </w:t>
      </w:r>
      <w:r w:rsidR="005B54AD" w:rsidRPr="0078289D">
        <w:rPr>
          <w:color w:val="000000"/>
          <w:sz w:val="28"/>
          <w:szCs w:val="28"/>
          <w:lang w:val="es-ES_tradnl" w:eastAsia="es-ES"/>
        </w:rPr>
        <w:t xml:space="preserve">validez </w:t>
      </w:r>
      <w:r w:rsidR="008F5D4C" w:rsidRPr="0078289D">
        <w:rPr>
          <w:color w:val="000000"/>
          <w:sz w:val="28"/>
          <w:szCs w:val="28"/>
          <w:lang w:val="es-ES_tradnl" w:eastAsia="es-ES"/>
        </w:rPr>
        <w:t xml:space="preserve">de </w:t>
      </w:r>
      <w:r w:rsidR="005B54AD" w:rsidRPr="0078289D">
        <w:rPr>
          <w:color w:val="000000"/>
          <w:sz w:val="28"/>
          <w:szCs w:val="28"/>
          <w:lang w:val="es-ES_tradnl" w:eastAsia="es-ES"/>
        </w:rPr>
        <w:t>la</w:t>
      </w:r>
      <w:r w:rsidR="000A4231" w:rsidRPr="0078289D">
        <w:rPr>
          <w:color w:val="000000"/>
          <w:sz w:val="28"/>
          <w:szCs w:val="28"/>
          <w:lang w:val="es-ES_tradnl" w:eastAsia="es-ES"/>
        </w:rPr>
        <w:t xml:space="preserve"> actuación</w:t>
      </w:r>
      <w:r w:rsidR="005B54AD" w:rsidRPr="0078289D">
        <w:rPr>
          <w:color w:val="000000"/>
          <w:sz w:val="28"/>
          <w:szCs w:val="28"/>
          <w:lang w:val="es-ES_tradnl" w:eastAsia="es-ES"/>
        </w:rPr>
        <w:t xml:space="preserve"> administrativa, ni preserven la eficacia sustantiva del derecho a la propiedad que el artículo 58 superior protege</w:t>
      </w:r>
      <w:r w:rsidR="000A4231" w:rsidRPr="0078289D">
        <w:rPr>
          <w:color w:val="000000"/>
          <w:sz w:val="28"/>
          <w:szCs w:val="28"/>
          <w:lang w:val="es-ES_tradnl" w:eastAsia="es-ES"/>
        </w:rPr>
        <w:t>.</w:t>
      </w:r>
    </w:p>
    <w:p w:rsidR="00557706" w:rsidRPr="0078289D" w:rsidRDefault="0055770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557706" w:rsidRPr="0078289D" w:rsidRDefault="0055770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Por lo demás, estos motivos de utilidad pública e interés social </w:t>
      </w:r>
      <w:r w:rsidR="008812FA" w:rsidRPr="0078289D">
        <w:rPr>
          <w:color w:val="000000"/>
          <w:sz w:val="28"/>
          <w:szCs w:val="28"/>
          <w:lang w:val="es-ES_tradnl" w:eastAsia="es-ES"/>
        </w:rPr>
        <w:t xml:space="preserve">que faculten a la administración para adelantar procesos de expropiación </w:t>
      </w:r>
      <w:r w:rsidRPr="0078289D">
        <w:rPr>
          <w:color w:val="000000"/>
          <w:sz w:val="28"/>
          <w:szCs w:val="28"/>
          <w:lang w:val="es-ES_tradnl" w:eastAsia="es-ES"/>
        </w:rPr>
        <w:t xml:space="preserve">en relación con los Proyectos de </w:t>
      </w:r>
      <w:r w:rsidR="008812FA" w:rsidRPr="0078289D">
        <w:rPr>
          <w:color w:val="000000"/>
          <w:sz w:val="28"/>
          <w:szCs w:val="28"/>
          <w:lang w:val="es-ES_tradnl" w:eastAsia="es-ES"/>
        </w:rPr>
        <w:t xml:space="preserve">Interés Nacional y Estratégico </w:t>
      </w:r>
      <w:r w:rsidR="00597F31" w:rsidRPr="0078289D">
        <w:rPr>
          <w:color w:val="000000"/>
          <w:sz w:val="28"/>
          <w:szCs w:val="28"/>
          <w:lang w:val="es-ES_tradnl" w:eastAsia="es-ES"/>
        </w:rPr>
        <w:t xml:space="preserve">PINE no están definidos en ninguna otra ley. </w:t>
      </w:r>
      <w:r w:rsidR="00901253" w:rsidRPr="0078289D">
        <w:rPr>
          <w:color w:val="000000"/>
          <w:sz w:val="28"/>
          <w:szCs w:val="28"/>
          <w:lang w:val="es-ES_tradnl" w:eastAsia="es-ES"/>
        </w:rPr>
        <w:t xml:space="preserve">Si bien los estatutos que regulan la actividad minera, los proyectos de infraestructura de transporte, entre otros, pueden tener motivos de utilidad pública e interés social aplicables a sus respectivos sectores, no existe una disposición legal que cobije como tales a los proyectos </w:t>
      </w:r>
      <w:r w:rsidR="006A1204" w:rsidRPr="0078289D">
        <w:rPr>
          <w:color w:val="000000"/>
          <w:sz w:val="28"/>
          <w:szCs w:val="28"/>
          <w:lang w:val="es-ES_tradnl" w:eastAsia="es-ES"/>
        </w:rPr>
        <w:t xml:space="preserve">PINE. En esa medida, </w:t>
      </w:r>
      <w:r w:rsidR="008C4ED0" w:rsidRPr="0078289D">
        <w:rPr>
          <w:color w:val="000000"/>
          <w:sz w:val="28"/>
          <w:szCs w:val="28"/>
          <w:lang w:val="es-ES_tradnl" w:eastAsia="es-ES"/>
        </w:rPr>
        <w:t xml:space="preserve">la definición de los motivos de interés público y utilidad social con base en los cuales el Legislador autoriza a la Administración a </w:t>
      </w:r>
      <w:r w:rsidR="004C0643" w:rsidRPr="0078289D">
        <w:rPr>
          <w:color w:val="000000"/>
          <w:sz w:val="28"/>
          <w:szCs w:val="28"/>
          <w:lang w:val="es-ES_tradnl" w:eastAsia="es-ES"/>
        </w:rPr>
        <w:t xml:space="preserve">adelantar procesos de expropiación resulta indeterminada e indeterminable. </w:t>
      </w:r>
    </w:p>
    <w:p w:rsidR="00412096" w:rsidRPr="0078289D" w:rsidRDefault="00412096"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126335" w:rsidRPr="0078289D" w:rsidRDefault="008F2110"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9</w:t>
      </w:r>
      <w:r w:rsidR="00412096" w:rsidRPr="0078289D">
        <w:rPr>
          <w:color w:val="000000"/>
          <w:sz w:val="28"/>
          <w:szCs w:val="28"/>
          <w:lang w:val="es-ES_tradnl" w:eastAsia="es-ES"/>
        </w:rPr>
        <w:t xml:space="preserve">3. En ese mismo orden de ideas, la indeterminación respecto del alcance de la facultad del CIIPE afecta además la posibilidad de realización efectiva de los fines del Estado. La falta de claridad sobre los alcances de </w:t>
      </w:r>
      <w:r w:rsidR="006C4931" w:rsidRPr="0078289D">
        <w:rPr>
          <w:color w:val="000000"/>
          <w:sz w:val="28"/>
          <w:szCs w:val="28"/>
          <w:lang w:val="es-ES_tradnl" w:eastAsia="es-ES"/>
        </w:rPr>
        <w:t>la</w:t>
      </w:r>
      <w:r w:rsidR="00412096" w:rsidRPr="0078289D">
        <w:rPr>
          <w:color w:val="000000"/>
          <w:sz w:val="28"/>
          <w:szCs w:val="28"/>
          <w:lang w:val="es-ES_tradnl" w:eastAsia="es-ES"/>
        </w:rPr>
        <w:t xml:space="preserve"> facultad </w:t>
      </w:r>
      <w:r w:rsidR="006C4931" w:rsidRPr="0078289D">
        <w:rPr>
          <w:color w:val="000000"/>
          <w:sz w:val="28"/>
          <w:szCs w:val="28"/>
          <w:lang w:val="es-ES_tradnl" w:eastAsia="es-ES"/>
        </w:rPr>
        <w:t>que tiene el gobierno</w:t>
      </w:r>
      <w:r w:rsidR="00412096" w:rsidRPr="0078289D">
        <w:rPr>
          <w:color w:val="000000"/>
          <w:sz w:val="28"/>
          <w:szCs w:val="28"/>
          <w:lang w:val="es-ES_tradnl" w:eastAsia="es-ES"/>
        </w:rPr>
        <w:t xml:space="preserve"> para adelantar procesos de expropiación </w:t>
      </w:r>
      <w:r w:rsidR="000A7D08" w:rsidRPr="0078289D">
        <w:rPr>
          <w:color w:val="000000"/>
          <w:sz w:val="28"/>
          <w:szCs w:val="28"/>
          <w:lang w:val="es-ES_tradnl" w:eastAsia="es-ES"/>
        </w:rPr>
        <w:t xml:space="preserve">exacerba </w:t>
      </w:r>
      <w:r w:rsidR="00412096" w:rsidRPr="0078289D">
        <w:rPr>
          <w:color w:val="000000"/>
          <w:sz w:val="28"/>
          <w:szCs w:val="28"/>
          <w:lang w:val="es-ES_tradnl" w:eastAsia="es-ES"/>
        </w:rPr>
        <w:t>la cantidad de conflictos surgidos con base en la iniciació</w:t>
      </w:r>
      <w:r w:rsidR="00F8752D" w:rsidRPr="0078289D">
        <w:rPr>
          <w:color w:val="000000"/>
          <w:sz w:val="28"/>
          <w:szCs w:val="28"/>
          <w:lang w:val="es-ES_tradnl" w:eastAsia="es-ES"/>
        </w:rPr>
        <w:t xml:space="preserve">n de procesos de expropiación, </w:t>
      </w:r>
      <w:r w:rsidR="000A7D08" w:rsidRPr="0078289D">
        <w:rPr>
          <w:color w:val="000000"/>
          <w:sz w:val="28"/>
          <w:szCs w:val="28"/>
          <w:lang w:val="es-ES_tradnl" w:eastAsia="es-ES"/>
        </w:rPr>
        <w:t xml:space="preserve">y con ello </w:t>
      </w:r>
      <w:r w:rsidR="00F8752D" w:rsidRPr="0078289D">
        <w:rPr>
          <w:color w:val="000000"/>
          <w:sz w:val="28"/>
          <w:szCs w:val="28"/>
          <w:lang w:val="es-ES_tradnl" w:eastAsia="es-ES"/>
        </w:rPr>
        <w:t xml:space="preserve">puede </w:t>
      </w:r>
      <w:r w:rsidR="000A7D08" w:rsidRPr="0078289D">
        <w:rPr>
          <w:color w:val="000000"/>
          <w:sz w:val="28"/>
          <w:szCs w:val="28"/>
          <w:lang w:val="es-ES_tradnl" w:eastAsia="es-ES"/>
        </w:rPr>
        <w:t xml:space="preserve">también </w:t>
      </w:r>
      <w:r w:rsidR="00F8752D" w:rsidRPr="0078289D">
        <w:rPr>
          <w:color w:val="000000"/>
          <w:sz w:val="28"/>
          <w:szCs w:val="28"/>
          <w:lang w:val="es-ES_tradnl" w:eastAsia="es-ES"/>
        </w:rPr>
        <w:t xml:space="preserve">dificultar </w:t>
      </w:r>
      <w:r w:rsidR="00412096" w:rsidRPr="0078289D">
        <w:rPr>
          <w:color w:val="000000"/>
          <w:sz w:val="28"/>
          <w:szCs w:val="28"/>
          <w:lang w:val="es-ES_tradnl" w:eastAsia="es-ES"/>
        </w:rPr>
        <w:t xml:space="preserve">la realización de los proyectos. En esa medida, la disposición acusada atenta también contra el principio constitucional de eficiencia en la gestión administrativa. </w:t>
      </w:r>
    </w:p>
    <w:p w:rsidR="00126335" w:rsidRPr="0078289D" w:rsidRDefault="00126335"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412096" w:rsidRPr="0078289D" w:rsidRDefault="002D4D15"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En virtud de lo an</w:t>
      </w:r>
      <w:r w:rsidR="00E635DA" w:rsidRPr="0078289D">
        <w:rPr>
          <w:color w:val="000000"/>
          <w:sz w:val="28"/>
          <w:szCs w:val="28"/>
          <w:lang w:val="es-ES_tradnl" w:eastAsia="es-ES"/>
        </w:rPr>
        <w:t xml:space="preserve">terior, la Corte declarará la </w:t>
      </w:r>
      <w:r w:rsidRPr="0078289D">
        <w:rPr>
          <w:color w:val="000000"/>
          <w:sz w:val="28"/>
          <w:szCs w:val="28"/>
          <w:lang w:val="es-ES_tradnl" w:eastAsia="es-ES"/>
        </w:rPr>
        <w:t xml:space="preserve">exequibilidad </w:t>
      </w:r>
      <w:r w:rsidR="00E635DA" w:rsidRPr="0078289D">
        <w:rPr>
          <w:color w:val="000000"/>
          <w:sz w:val="28"/>
          <w:szCs w:val="28"/>
          <w:lang w:val="es-ES_tradnl" w:eastAsia="es-ES"/>
        </w:rPr>
        <w:t xml:space="preserve">de los incisos primero, segundo, </w:t>
      </w:r>
      <w:r w:rsidR="008032B2" w:rsidRPr="0078289D">
        <w:rPr>
          <w:color w:val="000000"/>
          <w:sz w:val="28"/>
          <w:szCs w:val="28"/>
          <w:lang w:val="es-ES_tradnl" w:eastAsia="es-ES"/>
        </w:rPr>
        <w:t xml:space="preserve">y quinto </w:t>
      </w:r>
      <w:r w:rsidRPr="0078289D">
        <w:rPr>
          <w:color w:val="000000"/>
          <w:sz w:val="28"/>
          <w:szCs w:val="28"/>
          <w:lang w:val="es-ES_tradnl" w:eastAsia="es-ES"/>
        </w:rPr>
        <w:t xml:space="preserve">del artículo </w:t>
      </w:r>
      <w:r w:rsidR="00126335" w:rsidRPr="0078289D">
        <w:rPr>
          <w:color w:val="000000"/>
          <w:sz w:val="28"/>
          <w:szCs w:val="28"/>
          <w:lang w:val="es-ES_tradnl" w:eastAsia="es-ES"/>
        </w:rPr>
        <w:t>49 de la Ley 1753 de 2015</w:t>
      </w:r>
      <w:r w:rsidR="008032B2" w:rsidRPr="0078289D">
        <w:rPr>
          <w:color w:val="000000"/>
          <w:sz w:val="28"/>
          <w:szCs w:val="28"/>
          <w:lang w:val="es-ES_tradnl" w:eastAsia="es-ES"/>
        </w:rPr>
        <w:t xml:space="preserve">, </w:t>
      </w:r>
      <w:r w:rsidR="00FC305D" w:rsidRPr="0078289D">
        <w:rPr>
          <w:color w:val="000000"/>
          <w:sz w:val="28"/>
          <w:szCs w:val="28"/>
          <w:lang w:val="es-ES_tradnl" w:eastAsia="es-ES"/>
        </w:rPr>
        <w:t xml:space="preserve">por los cargos analizados en la presente sentencia, </w:t>
      </w:r>
      <w:r w:rsidR="008032B2" w:rsidRPr="0078289D">
        <w:rPr>
          <w:color w:val="000000"/>
          <w:sz w:val="28"/>
          <w:szCs w:val="28"/>
          <w:lang w:val="es-ES_tradnl" w:eastAsia="es-ES"/>
        </w:rPr>
        <w:t>y la in</w:t>
      </w:r>
      <w:r w:rsidR="00A673FD" w:rsidRPr="0078289D">
        <w:rPr>
          <w:color w:val="000000"/>
          <w:sz w:val="28"/>
          <w:szCs w:val="28"/>
          <w:lang w:val="es-ES_tradnl" w:eastAsia="es-ES"/>
        </w:rPr>
        <w:t>exequibilidad del inciso tercero</w:t>
      </w:r>
      <w:r w:rsidR="00126335" w:rsidRPr="0078289D">
        <w:rPr>
          <w:color w:val="000000"/>
          <w:sz w:val="28"/>
          <w:szCs w:val="28"/>
          <w:lang w:val="es-ES_tradnl" w:eastAsia="es-ES"/>
        </w:rPr>
        <w:t xml:space="preserve">. </w:t>
      </w:r>
      <w:r w:rsidR="004574E1" w:rsidRPr="0078289D">
        <w:rPr>
          <w:rFonts w:eastAsia="Times New Roman"/>
          <w:sz w:val="28"/>
          <w:szCs w:val="28"/>
          <w:lang w:val="es-CO"/>
        </w:rPr>
        <w:t>E</w:t>
      </w:r>
      <w:r w:rsidR="00FC305D" w:rsidRPr="0078289D">
        <w:rPr>
          <w:rFonts w:eastAsia="Times New Roman"/>
          <w:sz w:val="28"/>
          <w:szCs w:val="28"/>
          <w:lang w:val="es-CO"/>
        </w:rPr>
        <w:t>n relación con e</w:t>
      </w:r>
      <w:r w:rsidR="004574E1" w:rsidRPr="0078289D">
        <w:rPr>
          <w:rFonts w:eastAsia="Times New Roman"/>
          <w:sz w:val="28"/>
          <w:szCs w:val="28"/>
          <w:lang w:val="es-CO"/>
        </w:rPr>
        <w:t>l inciso 4º,</w:t>
      </w:r>
      <w:r w:rsidR="00D42992" w:rsidRPr="0078289D">
        <w:rPr>
          <w:rFonts w:eastAsia="Times New Roman"/>
          <w:sz w:val="28"/>
          <w:szCs w:val="28"/>
          <w:lang w:val="es-CO"/>
        </w:rPr>
        <w:t xml:space="preserve"> la </w:t>
      </w:r>
      <w:r w:rsidR="00F341B9" w:rsidRPr="0078289D">
        <w:rPr>
          <w:rFonts w:eastAsia="Times New Roman"/>
          <w:sz w:val="28"/>
          <w:szCs w:val="28"/>
          <w:lang w:val="es-CO"/>
        </w:rPr>
        <w:t>situ</w:t>
      </w:r>
      <w:r w:rsidR="00482B0E" w:rsidRPr="0078289D">
        <w:rPr>
          <w:rFonts w:eastAsia="Times New Roman"/>
          <w:sz w:val="28"/>
          <w:szCs w:val="28"/>
          <w:lang w:val="es-CO"/>
        </w:rPr>
        <w:t>ación es diferente</w:t>
      </w:r>
      <w:r w:rsidR="00D42992" w:rsidRPr="0078289D">
        <w:rPr>
          <w:rFonts w:eastAsia="Times New Roman"/>
          <w:sz w:val="28"/>
          <w:szCs w:val="28"/>
          <w:lang w:val="es-CO"/>
        </w:rPr>
        <w:t>.</w:t>
      </w:r>
      <w:r w:rsidR="004574E1" w:rsidRPr="0078289D">
        <w:rPr>
          <w:rFonts w:eastAsia="Times New Roman"/>
          <w:sz w:val="28"/>
          <w:szCs w:val="28"/>
          <w:lang w:val="es-CO"/>
        </w:rPr>
        <w:t xml:space="preserve"> </w:t>
      </w:r>
      <w:r w:rsidR="00D42992" w:rsidRPr="0078289D">
        <w:rPr>
          <w:rFonts w:eastAsia="Times New Roman"/>
          <w:sz w:val="28"/>
          <w:szCs w:val="28"/>
          <w:lang w:val="es-CO"/>
        </w:rPr>
        <w:t>Este inciso</w:t>
      </w:r>
      <w:r w:rsidR="004574E1" w:rsidRPr="0078289D">
        <w:rPr>
          <w:rFonts w:eastAsia="Times New Roman"/>
          <w:sz w:val="28"/>
          <w:szCs w:val="28"/>
          <w:lang w:val="es-CO"/>
        </w:rPr>
        <w:t xml:space="preserve"> les da a los gestores de los proyectos la primera opción de compra de los bienes inmuebles ubicados en las áreas donde se vayan a adelantar proyectos de interés nacional y estratégico. </w:t>
      </w:r>
      <w:r w:rsidR="00D42992" w:rsidRPr="0078289D">
        <w:rPr>
          <w:rFonts w:eastAsia="Times New Roman"/>
          <w:sz w:val="28"/>
          <w:szCs w:val="28"/>
          <w:lang w:val="es-CO"/>
        </w:rPr>
        <w:t>N</w:t>
      </w:r>
      <w:r w:rsidR="004574E1" w:rsidRPr="0078289D">
        <w:rPr>
          <w:rFonts w:eastAsia="Times New Roman"/>
          <w:sz w:val="28"/>
          <w:szCs w:val="28"/>
          <w:lang w:val="es-CO"/>
        </w:rPr>
        <w:t xml:space="preserve">o se relaciona en lo absoluto con la </w:t>
      </w:r>
      <w:r w:rsidR="00D42992" w:rsidRPr="0078289D">
        <w:rPr>
          <w:rFonts w:eastAsia="Times New Roman"/>
          <w:sz w:val="28"/>
          <w:szCs w:val="28"/>
          <w:lang w:val="es-CO"/>
        </w:rPr>
        <w:t xml:space="preserve">facultad </w:t>
      </w:r>
      <w:r w:rsidR="00D42992" w:rsidRPr="0078289D">
        <w:rPr>
          <w:rFonts w:eastAsia="Times New Roman"/>
          <w:sz w:val="28"/>
          <w:szCs w:val="28"/>
          <w:lang w:val="es-CO"/>
        </w:rPr>
        <w:lastRenderedPageBreak/>
        <w:t>para adelantar proce</w:t>
      </w:r>
      <w:r w:rsidR="005B54AD" w:rsidRPr="0078289D">
        <w:rPr>
          <w:rFonts w:eastAsia="Times New Roman"/>
          <w:sz w:val="28"/>
          <w:szCs w:val="28"/>
          <w:lang w:val="es-CO"/>
        </w:rPr>
        <w:t>s</w:t>
      </w:r>
      <w:r w:rsidR="00D42992" w:rsidRPr="0078289D">
        <w:rPr>
          <w:rFonts w:eastAsia="Times New Roman"/>
          <w:sz w:val="28"/>
          <w:szCs w:val="28"/>
          <w:lang w:val="es-CO"/>
        </w:rPr>
        <w:t xml:space="preserve">os de </w:t>
      </w:r>
      <w:r w:rsidR="004574E1" w:rsidRPr="0078289D">
        <w:rPr>
          <w:rFonts w:eastAsia="Times New Roman"/>
          <w:sz w:val="28"/>
          <w:szCs w:val="28"/>
          <w:lang w:val="es-CO"/>
        </w:rPr>
        <w:t>expropiación, ni con las facultades de la CIIPE,</w:t>
      </w:r>
      <w:r w:rsidR="005B54AD" w:rsidRPr="0078289D">
        <w:rPr>
          <w:rFonts w:eastAsia="Times New Roman"/>
          <w:sz w:val="28"/>
          <w:szCs w:val="28"/>
          <w:lang w:val="es-CO"/>
        </w:rPr>
        <w:t xml:space="preserve"> aspectos objeto de reproche concreto en esta oportunidad,</w:t>
      </w:r>
      <w:r w:rsidR="004574E1" w:rsidRPr="0078289D">
        <w:rPr>
          <w:rFonts w:eastAsia="Times New Roman"/>
          <w:sz w:val="28"/>
          <w:szCs w:val="28"/>
          <w:lang w:val="es-CO"/>
        </w:rPr>
        <w:t xml:space="preserve"> ni los demandantes se refieren a su contenido normativo. Tampoco los intervinientes ni el Procurador General de la Nación hacen alusión específica al contenido de este inciso.  En esa medida, aunque los demandantes incluyen dicho inciso como parte de las disposiciones demandadas, no formulan cargos específicos en contr</w:t>
      </w:r>
      <w:r w:rsidR="00482B0E" w:rsidRPr="0078289D">
        <w:rPr>
          <w:rFonts w:eastAsia="Times New Roman"/>
          <w:sz w:val="28"/>
          <w:szCs w:val="28"/>
          <w:lang w:val="es-CO"/>
        </w:rPr>
        <w:t>a de este inciso. Por lo tanto,</w:t>
      </w:r>
      <w:r w:rsidR="00390F89" w:rsidRPr="0078289D">
        <w:rPr>
          <w:rFonts w:eastAsia="Times New Roman"/>
          <w:sz w:val="28"/>
          <w:szCs w:val="28"/>
          <w:lang w:val="es-CO"/>
        </w:rPr>
        <w:t xml:space="preserve"> </w:t>
      </w:r>
      <w:r w:rsidR="004574E1" w:rsidRPr="0078289D">
        <w:rPr>
          <w:rFonts w:eastAsia="Times New Roman"/>
          <w:sz w:val="28"/>
          <w:szCs w:val="28"/>
          <w:lang w:val="es-CO"/>
        </w:rPr>
        <w:t>la Corte se inhibirá de emitir un pronunciamiento de fondo en relación con tal inciso</w:t>
      </w:r>
      <w:r w:rsidR="00390F89" w:rsidRPr="0078289D">
        <w:rPr>
          <w:rFonts w:eastAsia="Times New Roman"/>
          <w:sz w:val="28"/>
          <w:szCs w:val="28"/>
          <w:lang w:val="es-CO"/>
        </w:rPr>
        <w:t>.</w:t>
      </w:r>
    </w:p>
    <w:p w:rsidR="00385847" w:rsidRPr="0078289D" w:rsidRDefault="00385847" w:rsidP="0078289D">
      <w:pPr>
        <w:pBdr>
          <w:top w:val="none" w:sz="0" w:space="0" w:color="auto"/>
          <w:left w:val="none" w:sz="0" w:space="0" w:color="auto"/>
          <w:bottom w:val="none" w:sz="0" w:space="0" w:color="auto"/>
          <w:right w:val="none" w:sz="0" w:space="0" w:color="auto"/>
        </w:pBdr>
        <w:contextualSpacing/>
        <w:jc w:val="both"/>
        <w:rPr>
          <w:b/>
          <w:i/>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b/>
          <w:i/>
          <w:sz w:val="28"/>
          <w:szCs w:val="28"/>
          <w:lang w:val="es-ES_tradnl"/>
        </w:rPr>
      </w:pPr>
      <w:r w:rsidRPr="0078289D">
        <w:rPr>
          <w:b/>
          <w:i/>
          <w:sz w:val="28"/>
          <w:szCs w:val="28"/>
          <w:lang w:val="es-ES_tradnl"/>
        </w:rPr>
        <w:t>Tercera parte de la segunda sección de la demanda</w:t>
      </w: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En la última parte de la segunda sección de la acción de inconstitucionalidad estudiada, los demandantes presentan un único cargo en contra del artículo 51 de la Ley 1</w:t>
      </w:r>
      <w:r w:rsidR="004574E1" w:rsidRPr="0078289D">
        <w:rPr>
          <w:sz w:val="28"/>
          <w:szCs w:val="28"/>
          <w:lang w:val="es-ES_tradnl"/>
        </w:rPr>
        <w:t>7</w:t>
      </w:r>
      <w:r w:rsidRPr="0078289D">
        <w:rPr>
          <w:sz w:val="28"/>
          <w:szCs w:val="28"/>
          <w:lang w:val="es-ES_tradnl"/>
        </w:rPr>
        <w:t xml:space="preserve">53 de 2011. </w:t>
      </w:r>
    </w:p>
    <w:p w:rsidR="00141B17" w:rsidRPr="0078289D" w:rsidRDefault="00141B17"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Norma demandada:</w:t>
      </w: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9A2182" w:rsidRPr="0078289D" w:rsidRDefault="009A2182"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bookmarkStart w:id="10" w:name="51"/>
      <w:bookmarkEnd w:id="10"/>
      <w:r w:rsidRPr="0078289D">
        <w:rPr>
          <w:rFonts w:ascii="Times New Roman" w:hAnsi="Times New Roman" w:cs="Times New Roman"/>
          <w:i/>
          <w:sz w:val="28"/>
          <w:szCs w:val="28"/>
          <w:u w:val="single"/>
        </w:rPr>
        <w:t>ARTÍCULO 51. LICENCIAS Y PERMISOS AMBIENTALES PARA PROYECTOS DE INTERÉS NACIONAL Y ESTRATÉGICOS (PINE). La Autoridad Nacional de Licencias Ambientales (ANLA), tramitará de manera integral y exclusiva los permisos y licencias ambientales requeridos en la ejecución de los Proyectos de Interés Nacional y Estratégicos (PINE).</w:t>
      </w:r>
    </w:p>
    <w:p w:rsidR="00774EB5" w:rsidRPr="0078289D" w:rsidRDefault="00774EB5"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p>
    <w:p w:rsidR="009A2182" w:rsidRPr="0078289D" w:rsidRDefault="009A2182" w:rsidP="0078289D">
      <w:pPr>
        <w:pStyle w:val="NormalWeb"/>
        <w:pBdr>
          <w:top w:val="none" w:sz="0" w:space="0" w:color="auto"/>
          <w:left w:val="none" w:sz="0" w:space="0" w:color="auto"/>
          <w:bottom w:val="none" w:sz="0" w:space="0" w:color="auto"/>
          <w:right w:val="none" w:sz="0" w:space="0" w:color="auto"/>
        </w:pBdr>
        <w:spacing w:before="0" w:after="0"/>
        <w:ind w:left="567"/>
        <w:jc w:val="both"/>
        <w:rPr>
          <w:rFonts w:ascii="Times New Roman" w:hAnsi="Times New Roman" w:cs="Times New Roman"/>
          <w:i/>
          <w:sz w:val="28"/>
          <w:szCs w:val="28"/>
          <w:u w:val="single"/>
        </w:rPr>
      </w:pPr>
      <w:r w:rsidRPr="0078289D">
        <w:rPr>
          <w:rFonts w:ascii="Times New Roman" w:hAnsi="Times New Roman" w:cs="Times New Roman"/>
          <w:i/>
          <w:sz w:val="28"/>
          <w:szCs w:val="28"/>
          <w:u w:val="single"/>
        </w:rPr>
        <w:t>PARÁGRAFO. Los responsables de los proyectos que hayan sido validados como Proyectos de Interés Nacional y Estratégicos (PINE), podrán desistir de los trámites ambientales en curso e iniciarlos nuevamente ante la Autoridad Nacional de Licencias Ambientales (ANLA).</w:t>
      </w:r>
    </w:p>
    <w:p w:rsidR="0062678A" w:rsidRPr="0078289D" w:rsidRDefault="0062678A"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9A2182" w:rsidRPr="0078289D" w:rsidRDefault="00CA20A2"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Concepto de la violación: c</w:t>
      </w:r>
      <w:r w:rsidR="009A2182" w:rsidRPr="0078289D">
        <w:rPr>
          <w:b/>
          <w:sz w:val="28"/>
          <w:szCs w:val="28"/>
          <w:lang w:val="es-ES_tradnl"/>
        </w:rPr>
        <w:t>argo único de inconstitucionalidad contra el artículo 51 de la Ley 1753 de 2015:</w:t>
      </w: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Los demandantes afirman que la asignación de competencias propias de las Corporaciones Autónomas Regionales (CAR) a la Autoridad Nacional de Licencias Ambientales (ANLA) viola los artículos 150 y 331 de la Constitución. </w:t>
      </w:r>
      <w:r w:rsidR="000C5F19" w:rsidRPr="0078289D">
        <w:rPr>
          <w:sz w:val="28"/>
          <w:szCs w:val="28"/>
          <w:lang w:val="es-ES_tradnl"/>
        </w:rPr>
        <w:t>S</w:t>
      </w:r>
      <w:r w:rsidR="004802BC" w:rsidRPr="0078289D">
        <w:rPr>
          <w:sz w:val="28"/>
          <w:szCs w:val="28"/>
          <w:lang w:val="es-ES_tradnl"/>
        </w:rPr>
        <w:t>ostienen</w:t>
      </w:r>
      <w:r w:rsidRPr="0078289D">
        <w:rPr>
          <w:sz w:val="28"/>
          <w:szCs w:val="28"/>
          <w:lang w:val="es-ES_tradnl"/>
        </w:rPr>
        <w:t xml:space="preserve"> que </w:t>
      </w:r>
      <w:r w:rsidR="000C5F19" w:rsidRPr="0078289D">
        <w:rPr>
          <w:sz w:val="28"/>
          <w:szCs w:val="28"/>
          <w:lang w:val="es-ES_tradnl"/>
        </w:rPr>
        <w:t xml:space="preserve">al excluir a las CAR del conocimiento de las licencias ambientales de los proyectos PINE </w:t>
      </w:r>
      <w:r w:rsidRPr="0078289D">
        <w:rPr>
          <w:sz w:val="28"/>
          <w:szCs w:val="28"/>
          <w:lang w:val="es-ES_tradnl"/>
        </w:rPr>
        <w:t xml:space="preserve">se desconoce el artículo 150 superior, </w:t>
      </w:r>
      <w:r w:rsidR="004802BC" w:rsidRPr="0078289D">
        <w:rPr>
          <w:sz w:val="28"/>
          <w:szCs w:val="28"/>
          <w:lang w:val="es-ES_tradnl"/>
        </w:rPr>
        <w:t>que</w:t>
      </w:r>
      <w:r w:rsidRPr="0078289D">
        <w:rPr>
          <w:sz w:val="28"/>
          <w:szCs w:val="28"/>
          <w:lang w:val="es-ES_tradnl"/>
        </w:rPr>
        <w:t xml:space="preserve"> faculta al Legislador </w:t>
      </w:r>
      <w:r w:rsidR="004802BC" w:rsidRPr="0078289D">
        <w:rPr>
          <w:sz w:val="28"/>
          <w:szCs w:val="28"/>
          <w:lang w:val="es-ES_tradnl"/>
        </w:rPr>
        <w:t>par</w:t>
      </w:r>
      <w:r w:rsidRPr="0078289D">
        <w:rPr>
          <w:sz w:val="28"/>
          <w:szCs w:val="28"/>
          <w:lang w:val="es-ES_tradnl"/>
        </w:rPr>
        <w:t>a crear las CAR</w:t>
      </w:r>
      <w:r w:rsidR="009A2E1A" w:rsidRPr="0078289D">
        <w:rPr>
          <w:sz w:val="28"/>
          <w:szCs w:val="28"/>
          <w:lang w:val="es-ES_tradnl"/>
        </w:rPr>
        <w:t>, siempre y cuando lo haga</w:t>
      </w:r>
      <w:r w:rsidRPr="0078289D">
        <w:rPr>
          <w:sz w:val="28"/>
          <w:szCs w:val="28"/>
          <w:lang w:val="es-ES_tradnl"/>
        </w:rPr>
        <w:t xml:space="preserve"> </w:t>
      </w:r>
      <w:r w:rsidR="004802BC" w:rsidRPr="0078289D">
        <w:rPr>
          <w:sz w:val="28"/>
          <w:szCs w:val="28"/>
          <w:lang w:val="es-ES_tradnl"/>
        </w:rPr>
        <w:t>dentro</w:t>
      </w:r>
      <w:r w:rsidRPr="0078289D">
        <w:rPr>
          <w:sz w:val="28"/>
          <w:szCs w:val="28"/>
          <w:lang w:val="es-ES_tradnl"/>
        </w:rPr>
        <w:t xml:space="preserve"> </w:t>
      </w:r>
      <w:r w:rsidR="004802BC" w:rsidRPr="0078289D">
        <w:rPr>
          <w:sz w:val="28"/>
          <w:szCs w:val="28"/>
          <w:lang w:val="es-ES_tradnl"/>
        </w:rPr>
        <w:t>de</w:t>
      </w:r>
      <w:r w:rsidRPr="0078289D">
        <w:rPr>
          <w:sz w:val="28"/>
          <w:szCs w:val="28"/>
          <w:lang w:val="es-ES_tradnl"/>
        </w:rPr>
        <w:t xml:space="preserve"> un régimen de autonomía</w:t>
      </w:r>
      <w:r w:rsidR="009A2E1A" w:rsidRPr="0078289D">
        <w:rPr>
          <w:sz w:val="28"/>
          <w:szCs w:val="28"/>
          <w:lang w:val="es-ES_tradnl"/>
        </w:rPr>
        <w:t>.</w:t>
      </w:r>
      <w:r w:rsidRPr="0078289D">
        <w:rPr>
          <w:rStyle w:val="Refdenotaalpie"/>
          <w:sz w:val="28"/>
          <w:szCs w:val="28"/>
          <w:lang w:val="es-ES_tradnl"/>
        </w:rPr>
        <w:footnoteReference w:id="72"/>
      </w:r>
      <w:r w:rsidR="009A2E1A" w:rsidRPr="0078289D">
        <w:rPr>
          <w:sz w:val="28"/>
          <w:szCs w:val="28"/>
          <w:lang w:val="es-ES_tradnl"/>
        </w:rPr>
        <w:t xml:space="preserve"> Así </w:t>
      </w:r>
      <w:r w:rsidRPr="0078289D">
        <w:rPr>
          <w:sz w:val="28"/>
          <w:szCs w:val="28"/>
          <w:lang w:val="es-ES_tradnl"/>
        </w:rPr>
        <w:t xml:space="preserve">mismo, manifiestan que se vulnera el artículo 331 constitucional, que crea la CAR del Río Grande de Magdalena, pues ésta pierde su autonomía con la norma acusada, al trasladarse sus competencias a la ANLA. </w:t>
      </w:r>
    </w:p>
    <w:p w:rsidR="0062678A" w:rsidRPr="0078289D" w:rsidRDefault="0062678A"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Señalan que con la previsión acusada d</w:t>
      </w:r>
      <w:r w:rsidR="00B354E4" w:rsidRPr="0078289D">
        <w:rPr>
          <w:sz w:val="28"/>
          <w:szCs w:val="28"/>
          <w:lang w:val="es-ES_tradnl"/>
        </w:rPr>
        <w:t xml:space="preserve">esaparece el control autónomo </w:t>
      </w:r>
      <w:r w:rsidRPr="0078289D">
        <w:rPr>
          <w:sz w:val="28"/>
          <w:szCs w:val="28"/>
          <w:lang w:val="es-ES_tradnl"/>
        </w:rPr>
        <w:t>sobre los proyectos con incidencia ambiental</w:t>
      </w:r>
      <w:r w:rsidR="00B354E4" w:rsidRPr="0078289D">
        <w:rPr>
          <w:sz w:val="28"/>
          <w:szCs w:val="28"/>
          <w:lang w:val="es-ES_tradnl"/>
        </w:rPr>
        <w:t xml:space="preserve"> regional</w:t>
      </w:r>
      <w:r w:rsidRPr="0078289D">
        <w:rPr>
          <w:sz w:val="28"/>
          <w:szCs w:val="28"/>
          <w:lang w:val="es-ES_tradnl"/>
        </w:rPr>
        <w:t xml:space="preserve">, y se flexibiliza un mecanismo </w:t>
      </w:r>
      <w:r w:rsidRPr="0078289D">
        <w:rPr>
          <w:sz w:val="28"/>
          <w:szCs w:val="28"/>
          <w:lang w:val="es-ES_tradnl"/>
        </w:rPr>
        <w:lastRenderedPageBreak/>
        <w:t>de control estatal, como es la expedición de licencias ambientales</w:t>
      </w:r>
      <w:r w:rsidR="00B354E4" w:rsidRPr="0078289D">
        <w:rPr>
          <w:sz w:val="28"/>
          <w:szCs w:val="28"/>
          <w:lang w:val="es-ES_tradnl"/>
        </w:rPr>
        <w:t>,</w:t>
      </w:r>
      <w:r w:rsidRPr="0078289D">
        <w:rPr>
          <w:sz w:val="28"/>
          <w:szCs w:val="28"/>
          <w:lang w:val="es-ES_tradnl"/>
        </w:rPr>
        <w:t xml:space="preserve"> para favorecer a particulares. Ello, a su vez, pretermite lo establecido por la Corte Constitucional en </w:t>
      </w:r>
      <w:r w:rsidRPr="0078289D">
        <w:rPr>
          <w:b/>
          <w:sz w:val="28"/>
          <w:szCs w:val="28"/>
          <w:lang w:val="es-ES_tradnl"/>
        </w:rPr>
        <w:t>Sentencia C-746 de 2012</w:t>
      </w:r>
      <w:r w:rsidRPr="0078289D">
        <w:rPr>
          <w:sz w:val="28"/>
          <w:szCs w:val="28"/>
          <w:lang w:val="es-ES_tradnl"/>
        </w:rPr>
        <w:t>, mediante la cual se indicó que en el otorgamiento de la</w:t>
      </w:r>
      <w:r w:rsidR="009F665B" w:rsidRPr="0078289D">
        <w:rPr>
          <w:sz w:val="28"/>
          <w:szCs w:val="28"/>
          <w:lang w:val="es-ES_tradnl"/>
        </w:rPr>
        <w:t>s</w:t>
      </w:r>
      <w:r w:rsidRPr="0078289D">
        <w:rPr>
          <w:sz w:val="28"/>
          <w:szCs w:val="28"/>
          <w:lang w:val="es-ES_tradnl"/>
        </w:rPr>
        <w:t xml:space="preserve"> licencia</w:t>
      </w:r>
      <w:r w:rsidR="009F665B" w:rsidRPr="0078289D">
        <w:rPr>
          <w:sz w:val="28"/>
          <w:szCs w:val="28"/>
          <w:lang w:val="es-ES_tradnl"/>
        </w:rPr>
        <w:t>s</w:t>
      </w:r>
      <w:r w:rsidRPr="0078289D">
        <w:rPr>
          <w:sz w:val="28"/>
          <w:szCs w:val="28"/>
          <w:lang w:val="es-ES_tradnl"/>
        </w:rPr>
        <w:t xml:space="preserve"> ambiental</w:t>
      </w:r>
      <w:r w:rsidR="009F665B" w:rsidRPr="0078289D">
        <w:rPr>
          <w:sz w:val="28"/>
          <w:szCs w:val="28"/>
          <w:lang w:val="es-ES_tradnl"/>
        </w:rPr>
        <w:t>es</w:t>
      </w:r>
      <w:r w:rsidRPr="0078289D">
        <w:rPr>
          <w:sz w:val="28"/>
          <w:szCs w:val="28"/>
          <w:lang w:val="es-ES_tradnl"/>
        </w:rPr>
        <w:t xml:space="preserve"> concurren tanto las competencias del </w:t>
      </w:r>
      <w:r w:rsidR="009F665B" w:rsidRPr="0078289D">
        <w:rPr>
          <w:sz w:val="28"/>
          <w:szCs w:val="28"/>
          <w:lang w:val="es-ES_tradnl"/>
        </w:rPr>
        <w:t>Congreso, como las de la a</w:t>
      </w:r>
      <w:r w:rsidRPr="0078289D">
        <w:rPr>
          <w:sz w:val="28"/>
          <w:szCs w:val="28"/>
          <w:lang w:val="es-ES_tradnl"/>
        </w:rPr>
        <w:t>dministración central y la</w:t>
      </w:r>
      <w:r w:rsidR="009F665B" w:rsidRPr="0078289D">
        <w:rPr>
          <w:sz w:val="28"/>
          <w:szCs w:val="28"/>
          <w:lang w:val="es-ES_tradnl"/>
        </w:rPr>
        <w:t>s entidades</w:t>
      </w:r>
      <w:r w:rsidRPr="0078289D">
        <w:rPr>
          <w:sz w:val="28"/>
          <w:szCs w:val="28"/>
          <w:lang w:val="es-ES_tradnl"/>
        </w:rPr>
        <w:t xml:space="preserve"> descentralizada</w:t>
      </w:r>
      <w:r w:rsidR="009F665B" w:rsidRPr="0078289D">
        <w:rPr>
          <w:sz w:val="28"/>
          <w:szCs w:val="28"/>
          <w:lang w:val="es-ES_tradnl"/>
        </w:rPr>
        <w:t>s</w:t>
      </w:r>
      <w:r w:rsidRPr="0078289D">
        <w:rPr>
          <w:sz w:val="28"/>
          <w:szCs w:val="28"/>
          <w:lang w:val="es-ES_tradnl"/>
        </w:rPr>
        <w:t xml:space="preserve">. </w:t>
      </w:r>
    </w:p>
    <w:p w:rsidR="0062678A" w:rsidRPr="0078289D" w:rsidRDefault="0062678A"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Finalmente, los accionantes aseguran que las competencias constitucionales de las CAR no pueden ser eliminadas a través de una ley, evadiendo el debate democrático al respecto, el cual debe realizarse a través de un acto legislativo. </w:t>
      </w:r>
    </w:p>
    <w:p w:rsidR="0062678A" w:rsidRPr="0078289D" w:rsidRDefault="0062678A"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Concepto del Procurador General de la Nación</w:t>
      </w:r>
    </w:p>
    <w:p w:rsidR="009A2182" w:rsidRPr="0078289D" w:rsidRDefault="009A2182"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Procurador solicita la declaratoria de </w:t>
      </w:r>
      <w:r w:rsidRPr="0078289D">
        <w:rPr>
          <w:b/>
          <w:sz w:val="28"/>
          <w:szCs w:val="28"/>
          <w:lang w:val="es-ES_tradnl"/>
        </w:rPr>
        <w:t xml:space="preserve">exequibilidad </w:t>
      </w:r>
      <w:r w:rsidRPr="0078289D">
        <w:rPr>
          <w:sz w:val="28"/>
          <w:szCs w:val="28"/>
          <w:lang w:val="es-ES_tradnl"/>
        </w:rPr>
        <w:t xml:space="preserve">de la norma demandada. En primer lugar, se refirió a la facultad del Congreso de reglamentar la creación y funcionamiento de las Corporaciones Autónomas Regionales </w:t>
      </w:r>
      <w:r w:rsidR="00D978E4" w:rsidRPr="0078289D">
        <w:rPr>
          <w:sz w:val="28"/>
          <w:szCs w:val="28"/>
          <w:lang w:val="es-ES_tradnl"/>
        </w:rPr>
        <w:t>dentro de un régimen</w:t>
      </w:r>
      <w:r w:rsidRPr="0078289D">
        <w:rPr>
          <w:sz w:val="28"/>
          <w:szCs w:val="28"/>
          <w:lang w:val="es-ES_tradnl"/>
        </w:rPr>
        <w:t xml:space="preserve"> de autonomía</w:t>
      </w:r>
      <w:r w:rsidRPr="0078289D">
        <w:rPr>
          <w:rStyle w:val="Refdenotaalpie"/>
          <w:sz w:val="28"/>
          <w:szCs w:val="28"/>
          <w:lang w:val="es-ES_tradnl"/>
        </w:rPr>
        <w:footnoteReference w:id="73"/>
      </w:r>
      <w:r w:rsidRPr="0078289D">
        <w:rPr>
          <w:sz w:val="28"/>
          <w:szCs w:val="28"/>
          <w:lang w:val="es-ES_tradnl"/>
        </w:rPr>
        <w:t xml:space="preserve"> y al deber de armonización de actividades que tienen estas entidades con aquéllas del orden nacional. </w:t>
      </w: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Sin embargo, consideró que en el caso analizado no se advierte una vulneración del núcleo de la autonomía de las Corporaciones Autónomas Regionales de su capacidad para </w:t>
      </w:r>
      <w:r w:rsidR="00191FBC" w:rsidRPr="0078289D">
        <w:rPr>
          <w:sz w:val="28"/>
          <w:szCs w:val="28"/>
          <w:lang w:val="es-ES_tradnl"/>
        </w:rPr>
        <w:t>gestionar su funcionamiento</w:t>
      </w:r>
      <w:r w:rsidRPr="0078289D">
        <w:rPr>
          <w:sz w:val="28"/>
          <w:szCs w:val="28"/>
          <w:lang w:val="es-ES_tradnl"/>
        </w:rPr>
        <w:t>, toda vez que el asunto regulado es del orden nacional</w:t>
      </w:r>
      <w:r w:rsidR="00191FBC" w:rsidRPr="0078289D">
        <w:rPr>
          <w:sz w:val="28"/>
          <w:szCs w:val="28"/>
          <w:lang w:val="es-ES_tradnl"/>
        </w:rPr>
        <w:t>.</w:t>
      </w:r>
      <w:r w:rsidRPr="0078289D">
        <w:rPr>
          <w:rStyle w:val="Refdenotaalpie"/>
          <w:sz w:val="28"/>
          <w:szCs w:val="28"/>
          <w:lang w:val="es-ES_tradnl"/>
        </w:rPr>
        <w:footnoteReference w:id="74"/>
      </w:r>
    </w:p>
    <w:p w:rsidR="0062678A" w:rsidRPr="0078289D" w:rsidRDefault="0062678A"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004764"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Intervenciones de entidades públicas y de la ciudadanía</w:t>
      </w:r>
    </w:p>
    <w:p w:rsidR="001A72BD" w:rsidRPr="0078289D" w:rsidRDefault="001A72BD" w:rsidP="0078289D">
      <w:pPr>
        <w:pBdr>
          <w:top w:val="none" w:sz="0" w:space="0" w:color="auto"/>
          <w:left w:val="none" w:sz="0" w:space="0" w:color="auto"/>
          <w:bottom w:val="none" w:sz="0" w:space="0" w:color="auto"/>
          <w:right w:val="none" w:sz="0" w:space="0" w:color="auto"/>
        </w:pBdr>
        <w:jc w:val="both"/>
        <w:rPr>
          <w:b/>
          <w:sz w:val="28"/>
          <w:szCs w:val="28"/>
          <w:lang w:val="es-US"/>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Ministerio de Ambiente y Desarrollo Sostenible</w:t>
      </w:r>
    </w:p>
    <w:p w:rsidR="009A2182" w:rsidRPr="0078289D" w:rsidRDefault="009A2182"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9A2182"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Ministro de Ambiente y Desarrollo Sostenible solicitó la declaratoria de </w:t>
      </w:r>
      <w:r w:rsidRPr="0078289D">
        <w:rPr>
          <w:b/>
          <w:sz w:val="28"/>
          <w:szCs w:val="28"/>
          <w:lang w:val="es-ES_tradnl"/>
        </w:rPr>
        <w:t xml:space="preserve">exequibilidad </w:t>
      </w:r>
      <w:r w:rsidRPr="0078289D">
        <w:rPr>
          <w:sz w:val="28"/>
          <w:szCs w:val="28"/>
          <w:lang w:val="es-ES_tradnl"/>
        </w:rPr>
        <w:t>de la norma demandada, y alegó que ésta se encuentra ajustada a la Carta Política</w:t>
      </w:r>
      <w:r w:rsidRPr="0078289D">
        <w:rPr>
          <w:rStyle w:val="Refdenotaalpie"/>
          <w:sz w:val="28"/>
          <w:szCs w:val="28"/>
          <w:lang w:val="es-ES_tradnl"/>
        </w:rPr>
        <w:footnoteReference w:id="75"/>
      </w:r>
      <w:r w:rsidRPr="0078289D">
        <w:rPr>
          <w:sz w:val="28"/>
          <w:szCs w:val="28"/>
          <w:lang w:val="es-ES_tradnl"/>
        </w:rPr>
        <w:t xml:space="preserve">. </w:t>
      </w:r>
    </w:p>
    <w:p w:rsidR="00FA0620" w:rsidRPr="0078289D" w:rsidRDefault="00FA0620"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69735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El</w:t>
      </w:r>
      <w:r w:rsidR="009A2182" w:rsidRPr="0078289D">
        <w:rPr>
          <w:sz w:val="28"/>
          <w:szCs w:val="28"/>
          <w:lang w:val="es-ES_tradnl"/>
        </w:rPr>
        <w:t xml:space="preserve"> interviniente inicia su exposición resaltando la importancia de los proyectos PINE, los cuales son actividades de interés público nacional que contemplan la mejora en cada uno de los sectores de la Nación. En este sentido, indica que el otorgamiento de la facultad </w:t>
      </w:r>
      <w:r w:rsidR="00191FBC" w:rsidRPr="0078289D">
        <w:rPr>
          <w:sz w:val="28"/>
          <w:szCs w:val="28"/>
          <w:lang w:val="es-ES_tradnl"/>
        </w:rPr>
        <w:t>para</w:t>
      </w:r>
      <w:r w:rsidR="009A2182" w:rsidRPr="0078289D">
        <w:rPr>
          <w:sz w:val="28"/>
          <w:szCs w:val="28"/>
          <w:lang w:val="es-ES_tradnl"/>
        </w:rPr>
        <w:t xml:space="preserve"> expedir licencias a la ANLA en materia de proyectos PINE, radica en la importancia de este tipo de proyectos, y en la necesidad de que sea una entidad con experiencia y experticia técnica y jurídica,</w:t>
      </w:r>
      <w:r w:rsidR="0010625E" w:rsidRPr="0078289D">
        <w:rPr>
          <w:sz w:val="28"/>
          <w:szCs w:val="28"/>
          <w:lang w:val="es-ES_tradnl"/>
        </w:rPr>
        <w:t xml:space="preserve"> la que realice dicha tarea. Así </w:t>
      </w:r>
      <w:r w:rsidR="009A2182" w:rsidRPr="0078289D">
        <w:rPr>
          <w:sz w:val="28"/>
          <w:szCs w:val="28"/>
          <w:lang w:val="es-ES_tradnl"/>
        </w:rPr>
        <w:t xml:space="preserve">mismo, menciona que el artículo 51 de la Ley 99 de 1993 prevé que las licencias ambientales </w:t>
      </w:r>
      <w:r w:rsidR="009A2182" w:rsidRPr="0078289D">
        <w:rPr>
          <w:i/>
          <w:sz w:val="28"/>
          <w:szCs w:val="28"/>
          <w:lang w:val="es-ES_tradnl"/>
        </w:rPr>
        <w:t xml:space="preserve">“serán otorgadas por el Ministerio del medio </w:t>
      </w:r>
      <w:r w:rsidR="009A2182" w:rsidRPr="0078289D">
        <w:rPr>
          <w:sz w:val="28"/>
          <w:szCs w:val="28"/>
          <w:lang w:val="es-ES_tradnl"/>
        </w:rPr>
        <w:t xml:space="preserve">(sic) </w:t>
      </w:r>
      <w:r w:rsidR="009A2182" w:rsidRPr="0078289D">
        <w:rPr>
          <w:i/>
          <w:sz w:val="28"/>
          <w:szCs w:val="28"/>
          <w:lang w:val="es-ES_tradnl"/>
        </w:rPr>
        <w:t xml:space="preserve">Ambiente, las Corporaciones Autónomas </w:t>
      </w:r>
      <w:r w:rsidR="009A2182" w:rsidRPr="0078289D">
        <w:rPr>
          <w:i/>
          <w:sz w:val="28"/>
          <w:szCs w:val="28"/>
          <w:lang w:val="es-ES_tradnl"/>
        </w:rPr>
        <w:lastRenderedPageBreak/>
        <w:t>Regionales y algunos municipios y distritos, de conformidad con lo previsto en esta ley”</w:t>
      </w:r>
      <w:r w:rsidR="009A2182" w:rsidRPr="0078289D">
        <w:rPr>
          <w:sz w:val="28"/>
          <w:szCs w:val="28"/>
          <w:lang w:val="es-ES_tradnl"/>
        </w:rPr>
        <w:t xml:space="preserve">, lo que implica que no existe una asignación de competencias restrictiva en favor de las CAR, como equivocadamente pretenden hacer ver los demandantes. </w:t>
      </w: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Igualmente, desestima que el artículo 51 de la Ley 1753 de 2015 flexibilice el trámite de otorgamiento de licencias ambientales, o redu</w:t>
      </w:r>
      <w:r w:rsidR="00697356" w:rsidRPr="0078289D">
        <w:rPr>
          <w:sz w:val="28"/>
          <w:szCs w:val="28"/>
          <w:lang w:val="es-ES_tradnl"/>
        </w:rPr>
        <w:t>zca</w:t>
      </w:r>
      <w:r w:rsidRPr="0078289D">
        <w:rPr>
          <w:sz w:val="28"/>
          <w:szCs w:val="28"/>
          <w:lang w:val="es-ES_tradnl"/>
        </w:rPr>
        <w:t xml:space="preserve"> la protección del ambiente. A juicio del Ministerio, el fin exclusivo de la norma es imponer la facultad de evaluar los permisos o licencias para el desarrollo de los proyectos PINE en la entidad del orden nacional (ANLA), con el objetivo de propender por los principios de eficacia, eficiencia, celeridad y satisfacción del interés general. </w:t>
      </w:r>
    </w:p>
    <w:p w:rsidR="009A2182" w:rsidRPr="0078289D" w:rsidRDefault="009A2182"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 xml:space="preserve">Adicionalmente, señala que el Decreto 1076 de 2015 establece que las autoridades locales regionales no desconocerán los proyectos ambientales licenciados en su jurisdicción, toda vez que contempla que </w:t>
      </w:r>
      <w:r w:rsidRPr="0078289D">
        <w:rPr>
          <w:i/>
          <w:sz w:val="28"/>
          <w:szCs w:val="28"/>
          <w:lang w:val="es-ES_tradnl"/>
        </w:rPr>
        <w:t xml:space="preserve">“Cuando se trate de proyectos, obras o actividades de competencia de la ANLA, el solicitante deberá igualmente radicar una copia del Estudio de Impacto Ambiental ante las respectivas autoridades ambientales regionales”. </w:t>
      </w:r>
    </w:p>
    <w:p w:rsidR="009A2182" w:rsidRPr="0078289D" w:rsidRDefault="009A2182"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9A2182" w:rsidRPr="0078289D" w:rsidRDefault="009A2182"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sz w:val="28"/>
          <w:szCs w:val="28"/>
          <w:lang w:val="es-ES_tradnl"/>
        </w:rPr>
        <w:t xml:space="preserve">Finalmente, manifiesta que la asignación de la competencia a la ANLA de otorgar licencias ambientales en proyectos PINES mediante la Ley 1753 de 2015 es válida. Así, señalan que las normas del Plan Nacional de Desarrollo no deben estar relacionadas exclusivamente con temas presupuestales, sino que también pueden prever normas de tipo instrumental que permitan cumplir los objetivos trazados por el Gobierno Nacional, tal y como lo ha explicado la Corte Constitucional en </w:t>
      </w:r>
      <w:r w:rsidRPr="0078289D">
        <w:rPr>
          <w:b/>
          <w:sz w:val="28"/>
          <w:szCs w:val="28"/>
          <w:lang w:val="es-ES_tradnl"/>
        </w:rPr>
        <w:t xml:space="preserve">Sentencia C-363 de 2012. </w:t>
      </w:r>
    </w:p>
    <w:p w:rsidR="00BA4939" w:rsidRPr="0078289D" w:rsidRDefault="00BA4939"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D7D0D" w:rsidRPr="0078289D" w:rsidRDefault="000E3149"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r w:rsidRPr="0078289D">
        <w:rPr>
          <w:b/>
          <w:sz w:val="28"/>
          <w:szCs w:val="28"/>
          <w:lang w:val="es-ES_tradnl"/>
        </w:rPr>
        <w:t>CONSIDERACIONES DE LA CORTE CONSTITUCIONAL</w:t>
      </w:r>
    </w:p>
    <w:p w:rsidR="00CD7D0D" w:rsidRPr="0078289D" w:rsidRDefault="00CD7D0D"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p>
    <w:p w:rsidR="00840465" w:rsidRPr="0078289D" w:rsidRDefault="00AB13A3"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94. </w:t>
      </w:r>
      <w:r w:rsidR="00840465" w:rsidRPr="0078289D">
        <w:rPr>
          <w:sz w:val="28"/>
          <w:szCs w:val="28"/>
          <w:lang w:val="es-ES_tradnl"/>
        </w:rPr>
        <w:t xml:space="preserve">En la última parte de la segunda sección de la acción de inconstitucionalidad estudiada, los demandantes presentan un único cargo en contra del artículo 51 de la Ley </w:t>
      </w:r>
      <w:r w:rsidR="00697356" w:rsidRPr="0078289D">
        <w:rPr>
          <w:sz w:val="28"/>
          <w:szCs w:val="28"/>
          <w:lang w:val="es-ES_tradnl"/>
        </w:rPr>
        <w:t xml:space="preserve">1753 </w:t>
      </w:r>
      <w:r w:rsidR="00840465" w:rsidRPr="0078289D">
        <w:rPr>
          <w:sz w:val="28"/>
          <w:szCs w:val="28"/>
          <w:lang w:val="es-ES_tradnl"/>
        </w:rPr>
        <w:t>de 201</w:t>
      </w:r>
      <w:r w:rsidR="00697356" w:rsidRPr="0078289D">
        <w:rPr>
          <w:sz w:val="28"/>
          <w:szCs w:val="28"/>
          <w:lang w:val="es-ES_tradnl"/>
        </w:rPr>
        <w:t>5</w:t>
      </w:r>
      <w:r w:rsidR="00840465" w:rsidRPr="0078289D">
        <w:rPr>
          <w:sz w:val="28"/>
          <w:szCs w:val="28"/>
          <w:lang w:val="es-ES_tradnl"/>
        </w:rPr>
        <w:t xml:space="preserve">. A juicio de los accionantes, la norma efectuó un desplazamiento de competencias a favor de la Autoridad Nacional de Licencias Ambientales (ANLA), situación que implicó un desconocimiento de las facultades constitucionales y legales de las Corporaciones Autónomas Regionales (CAR) para decidir y tramitar el licenciamiento ambiental de los PINES. Igualmente, indicaron que con la norma demandada desapareció el control autónomo y regional sobre los proyectos con incidencia ambiental, se flexibilizó un mecanismo de control estatal, y se evadió el debate democrático que debe tener lugar en el Congreso de la República para efectos de restringir las potestades de las CAR. </w:t>
      </w:r>
    </w:p>
    <w:p w:rsidR="000E3149" w:rsidRPr="0078289D" w:rsidRDefault="000E3149"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El Procurador se pronunció a favor de la constitucionalidad de la norma acusada. A juicio de las entidades públicas no existe una vulneración del núcleo de la autonomía de las Corporaciones Autónomas Regionales, toda vez que el asunto regulado es del orden nacional.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EE3A54"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lastRenderedPageBreak/>
        <w:t>Así mismo</w:t>
      </w:r>
      <w:r w:rsidR="00840465" w:rsidRPr="0078289D">
        <w:rPr>
          <w:sz w:val="28"/>
          <w:szCs w:val="28"/>
          <w:lang w:val="es-ES_tradnl"/>
        </w:rPr>
        <w:t>, el Ministro de Ambiente y Desarrollo Sostenible resaltó que las competencias de las CAR no son perpetuas ni devienen directamente de la Constitución, como pretenden hacerlo ver los accionantes. Por su parte, manifestó que el artículo 51 de la Ley 1</w:t>
      </w:r>
      <w:r w:rsidR="00697356" w:rsidRPr="0078289D">
        <w:rPr>
          <w:sz w:val="28"/>
          <w:szCs w:val="28"/>
          <w:lang w:val="es-ES_tradnl"/>
        </w:rPr>
        <w:t>753</w:t>
      </w:r>
      <w:r w:rsidR="00840465" w:rsidRPr="0078289D">
        <w:rPr>
          <w:sz w:val="28"/>
          <w:szCs w:val="28"/>
          <w:lang w:val="es-ES_tradnl"/>
        </w:rPr>
        <w:t xml:space="preserve"> de 201</w:t>
      </w:r>
      <w:r w:rsidR="00697356" w:rsidRPr="0078289D">
        <w:rPr>
          <w:sz w:val="28"/>
          <w:szCs w:val="28"/>
          <w:lang w:val="es-ES_tradnl"/>
        </w:rPr>
        <w:t>5</w:t>
      </w:r>
      <w:r w:rsidR="00840465" w:rsidRPr="0078289D">
        <w:rPr>
          <w:sz w:val="28"/>
          <w:szCs w:val="28"/>
          <w:lang w:val="es-ES_tradnl"/>
        </w:rPr>
        <w:t xml:space="preserve"> es una legítima manifestación de la facultad de configuración del </w:t>
      </w:r>
      <w:r w:rsidR="00CA0A76" w:rsidRPr="0078289D">
        <w:rPr>
          <w:sz w:val="28"/>
          <w:szCs w:val="28"/>
          <w:lang w:val="es-ES_tradnl"/>
        </w:rPr>
        <w:t>Legislador</w:t>
      </w:r>
      <w:r w:rsidR="00840465"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i/>
          <w:sz w:val="28"/>
          <w:szCs w:val="28"/>
          <w:u w:val="single"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b/>
          <w:i/>
          <w:sz w:val="28"/>
          <w:szCs w:val="28"/>
          <w:lang w:val="es-ES_tradnl"/>
        </w:rPr>
      </w:pPr>
      <w:r w:rsidRPr="0078289D">
        <w:rPr>
          <w:b/>
          <w:i/>
          <w:sz w:val="28"/>
          <w:szCs w:val="28"/>
          <w:lang w:val="es-ES_tradnl"/>
        </w:rPr>
        <w:t>Identificación y alcance de las normas demandadas</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b/>
          <w:noProof/>
          <w:sz w:val="28"/>
          <w:szCs w:val="28"/>
          <w:lang w:val="es-ES_tradnl" w:eastAsia="es-ES"/>
        </w:rPr>
      </w:pPr>
    </w:p>
    <w:p w:rsidR="00840465" w:rsidRPr="0078289D" w:rsidRDefault="00AB13A3" w:rsidP="0078289D">
      <w:pPr>
        <w:pBdr>
          <w:top w:val="none" w:sz="0" w:space="0" w:color="auto"/>
          <w:left w:val="none" w:sz="0" w:space="0" w:color="auto"/>
          <w:bottom w:val="none" w:sz="0" w:space="0" w:color="auto"/>
          <w:right w:val="none" w:sz="0" w:space="0" w:color="auto"/>
        </w:pBdr>
        <w:contextualSpacing/>
        <w:jc w:val="both"/>
        <w:rPr>
          <w:noProof/>
          <w:sz w:val="28"/>
          <w:szCs w:val="28"/>
          <w:lang w:val="es-ES_tradnl" w:eastAsia="es-ES"/>
        </w:rPr>
      </w:pPr>
      <w:r w:rsidRPr="0078289D">
        <w:rPr>
          <w:noProof/>
          <w:sz w:val="28"/>
          <w:szCs w:val="28"/>
          <w:lang w:val="es-ES_tradnl" w:eastAsia="es-ES"/>
        </w:rPr>
        <w:t xml:space="preserve">95. </w:t>
      </w:r>
      <w:r w:rsidR="00840465" w:rsidRPr="0078289D">
        <w:rPr>
          <w:noProof/>
          <w:sz w:val="28"/>
          <w:szCs w:val="28"/>
          <w:lang w:val="es-ES_tradnl" w:eastAsia="es-ES"/>
        </w:rPr>
        <w:t>El artículo 51 de la Ley 1</w:t>
      </w:r>
      <w:r w:rsidR="00697356" w:rsidRPr="0078289D">
        <w:rPr>
          <w:noProof/>
          <w:sz w:val="28"/>
          <w:szCs w:val="28"/>
          <w:lang w:val="es-ES_tradnl" w:eastAsia="es-ES"/>
        </w:rPr>
        <w:t>753</w:t>
      </w:r>
      <w:r w:rsidR="00840465" w:rsidRPr="0078289D">
        <w:rPr>
          <w:noProof/>
          <w:sz w:val="28"/>
          <w:szCs w:val="28"/>
          <w:lang w:val="es-ES_tradnl" w:eastAsia="es-ES"/>
        </w:rPr>
        <w:t xml:space="preserve"> de 201</w:t>
      </w:r>
      <w:r w:rsidR="00697356" w:rsidRPr="0078289D">
        <w:rPr>
          <w:noProof/>
          <w:sz w:val="28"/>
          <w:szCs w:val="28"/>
          <w:lang w:val="es-ES_tradnl" w:eastAsia="es-ES"/>
        </w:rPr>
        <w:t>5</w:t>
      </w:r>
      <w:r w:rsidR="00840465" w:rsidRPr="0078289D">
        <w:rPr>
          <w:noProof/>
          <w:sz w:val="28"/>
          <w:szCs w:val="28"/>
          <w:lang w:val="es-ES_tradnl" w:eastAsia="es-ES"/>
        </w:rPr>
        <w:t xml:space="preserve"> establece una competencia privativa, en favor de la Autoridad Nacional de Licencias Ambientales, para la expedición de licencias ambientales en los proyectos PINE. Adicionalmente, señala que los responsables de proyectos PINE están autorizados a desistir los trámites ambientales </w:t>
      </w:r>
      <w:r w:rsidR="008E580B" w:rsidRPr="0078289D">
        <w:rPr>
          <w:noProof/>
          <w:sz w:val="28"/>
          <w:szCs w:val="28"/>
          <w:lang w:val="es-ES_tradnl" w:eastAsia="es-ES"/>
        </w:rPr>
        <w:t xml:space="preserve">que se están llevando a cabo </w:t>
      </w:r>
      <w:r w:rsidR="00840465" w:rsidRPr="0078289D">
        <w:rPr>
          <w:noProof/>
          <w:sz w:val="28"/>
          <w:szCs w:val="28"/>
          <w:lang w:val="es-ES_tradnl" w:eastAsia="es-ES"/>
        </w:rPr>
        <w:t>ante las C</w:t>
      </w:r>
      <w:r w:rsidR="00F3547E" w:rsidRPr="0078289D">
        <w:rPr>
          <w:noProof/>
          <w:sz w:val="28"/>
          <w:szCs w:val="28"/>
          <w:lang w:val="es-ES_tradnl" w:eastAsia="es-ES"/>
        </w:rPr>
        <w:t>AR, y</w:t>
      </w:r>
      <w:r w:rsidR="00840465" w:rsidRPr="0078289D">
        <w:rPr>
          <w:noProof/>
          <w:sz w:val="28"/>
          <w:szCs w:val="28"/>
          <w:lang w:val="es-ES_tradnl" w:eastAsia="es-ES"/>
        </w:rPr>
        <w:t xml:space="preserve"> reiniciarlos ante dicha autoridad del nivel central.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noProof/>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noProof/>
          <w:sz w:val="28"/>
          <w:szCs w:val="28"/>
          <w:lang w:val="es-ES_tradnl" w:eastAsia="es-ES"/>
        </w:rPr>
      </w:pPr>
      <w:r w:rsidRPr="0078289D">
        <w:rPr>
          <w:noProof/>
          <w:sz w:val="28"/>
          <w:szCs w:val="28"/>
          <w:lang w:val="es-ES_tradnl" w:eastAsia="es-ES"/>
        </w:rPr>
        <w:t xml:space="preserve">Para entender el alcance del cargo presentado por los demandantes, la Sala realizará un análisis de los antecedentes normativos de la disposición acusada.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noProof/>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El numeral 7º del artículo 150 de la Constitución Política consagra una facultad a favor del Congreso de la República, y señala que éste estará a cargo de la regulación de las Corporaciones Autónomas Regionales en el marco de un régimen de autonomía, así:</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b/>
          <w:bCs/>
          <w:i/>
          <w:sz w:val="28"/>
          <w:szCs w:val="28"/>
          <w:lang w:val="es-ES_tradnl"/>
        </w:rPr>
        <w:t xml:space="preserve">“ARTICULO   150. </w:t>
      </w:r>
      <w:r w:rsidRPr="0078289D">
        <w:rPr>
          <w:rFonts w:eastAsia="Times New Roman"/>
          <w:i/>
          <w:sz w:val="28"/>
          <w:szCs w:val="28"/>
          <w:lang w:val="es-ES_tradnl"/>
        </w:rPr>
        <w:t>Corresponde al Congreso hacer las leyes. Por medio de ellas ejerce las siguientes funciones:</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i/>
          <w:sz w:val="28"/>
          <w:szCs w:val="28"/>
          <w:lang w:val="es-ES_tradnl"/>
        </w:rPr>
        <w:t>(…)</w:t>
      </w: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eastAsia="es-ES"/>
        </w:rPr>
      </w:pPr>
      <w:r w:rsidRPr="0078289D">
        <w:rPr>
          <w:rFonts w:eastAsia="Times New Roman"/>
          <w:i/>
          <w:sz w:val="28"/>
          <w:szCs w:val="28"/>
          <w:lang w:val="es-ES_tradnl"/>
        </w:rPr>
        <w:t xml:space="preserve">7. </w:t>
      </w:r>
      <w:r w:rsidR="008E580B" w:rsidRPr="0078289D">
        <w:rPr>
          <w:rFonts w:eastAsia="Times New Roman"/>
          <w:i/>
          <w:sz w:val="28"/>
          <w:szCs w:val="28"/>
          <w:lang w:val="es-ES_tradnl"/>
        </w:rPr>
        <w:t>…</w:t>
      </w:r>
      <w:r w:rsidRPr="0078289D">
        <w:rPr>
          <w:rFonts w:eastAsia="Times New Roman"/>
          <w:i/>
          <w:sz w:val="28"/>
          <w:szCs w:val="28"/>
          <w:lang w:val="es-ES_tradnl"/>
        </w:rPr>
        <w:t xml:space="preserve"> reglamentar la creación y funcionamiento de las Corporaciones Autónomas Regionales dentro de un régimen de autonomía</w:t>
      </w:r>
      <w:r w:rsidR="008E580B" w:rsidRPr="0078289D">
        <w:rPr>
          <w:rFonts w:eastAsia="Times New Roman"/>
          <w:i/>
          <w:sz w:val="28"/>
          <w:szCs w:val="28"/>
          <w:lang w:val="es-ES_tradnl"/>
        </w:rPr>
        <w:t>…</w:t>
      </w:r>
      <w:r w:rsidRPr="0078289D">
        <w:rPr>
          <w:rFonts w:eastAsia="Times New Roman"/>
          <w:i/>
          <w:sz w:val="28"/>
          <w:szCs w:val="28"/>
          <w:lang w:val="es-ES_tradnl"/>
        </w:rPr>
        <w:t>”.</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840465" w:rsidRPr="0078289D" w:rsidRDefault="008637CC"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96. </w:t>
      </w:r>
      <w:r w:rsidR="00840465" w:rsidRPr="0078289D">
        <w:rPr>
          <w:rFonts w:eastAsia="Times New Roman"/>
          <w:sz w:val="28"/>
          <w:szCs w:val="28"/>
          <w:lang w:val="es-ES_tradnl" w:eastAsia="es-ES"/>
        </w:rPr>
        <w:t xml:space="preserve">No obstante, no existe una disposición constitucional que señale expresamente el alcance del </w:t>
      </w:r>
      <w:r w:rsidR="00DC4499" w:rsidRPr="0078289D">
        <w:rPr>
          <w:rFonts w:eastAsia="Times New Roman"/>
          <w:sz w:val="28"/>
          <w:szCs w:val="28"/>
          <w:lang w:val="es-ES_tradnl" w:eastAsia="es-ES"/>
        </w:rPr>
        <w:t>margen</w:t>
      </w:r>
      <w:r w:rsidR="00840465" w:rsidRPr="0078289D">
        <w:rPr>
          <w:rFonts w:eastAsia="Times New Roman"/>
          <w:sz w:val="28"/>
          <w:szCs w:val="28"/>
          <w:lang w:val="es-ES_tradnl" w:eastAsia="es-ES"/>
        </w:rPr>
        <w:t xml:space="preserve"> de configuración del Legislador ni las funciones a cargo de las Corporaciones Autónomas Regionales. En efecto, sólo el artículo 331 de la Constitución Política hace referencia exclusiva a las funciones de la Corporación Autónoma del Río Grande de la Magdalena, la cual se encuentra encargada de las funciones de recuperación de la navegación, actividad portuaria y aprovechamiento de los recursos naturales de dicha zona, así:</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eastAsia="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i/>
          <w:sz w:val="28"/>
          <w:szCs w:val="28"/>
          <w:lang w:val="es-ES_tradnl"/>
        </w:rPr>
      </w:pPr>
      <w:r w:rsidRPr="0078289D">
        <w:rPr>
          <w:rFonts w:eastAsia="Times New Roman"/>
          <w:b/>
          <w:bCs/>
          <w:i/>
          <w:sz w:val="28"/>
          <w:szCs w:val="28"/>
          <w:lang w:val="es-ES_tradnl"/>
        </w:rPr>
        <w:t xml:space="preserve">“ARTICULO  331. </w:t>
      </w:r>
      <w:r w:rsidRPr="0078289D">
        <w:rPr>
          <w:rFonts w:eastAsia="Times New Roman"/>
          <w:i/>
          <w:sz w:val="28"/>
          <w:szCs w:val="28"/>
          <w:lang w:val="es-ES_tradnl"/>
        </w:rPr>
        <w:t>Créase la Corporación Autónoma Regional del Río Grande de la Magdalena encargada de la recuperación de la navegación, de la actividad portuaria, la adecuación y la conservación de tierras, la generación y distribución de energía y el aprovechamiento y preservación del ambiente, los recursos ictiológicos y demás recursos naturales renovables.</w:t>
      </w:r>
    </w:p>
    <w:p w:rsidR="008637CC" w:rsidRPr="0078289D" w:rsidRDefault="008637CC"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i/>
          <w:sz w:val="28"/>
          <w:szCs w:val="28"/>
          <w:lang w:val="es-ES_tradnl"/>
        </w:rPr>
      </w:pPr>
      <w:r w:rsidRPr="0078289D">
        <w:rPr>
          <w:rFonts w:eastAsia="Times New Roman"/>
          <w:i/>
          <w:sz w:val="28"/>
          <w:szCs w:val="28"/>
          <w:lang w:val="es-ES_tradnl"/>
        </w:rPr>
        <w:t xml:space="preserve">La ley determinará su organización y fuentes de financiación, y definirá en favor de los municipios ribereños un tratamiento especial en la </w:t>
      </w:r>
      <w:r w:rsidRPr="0078289D">
        <w:rPr>
          <w:rFonts w:eastAsia="Times New Roman"/>
          <w:i/>
          <w:sz w:val="28"/>
          <w:szCs w:val="28"/>
          <w:lang w:val="es-ES_tradnl"/>
        </w:rPr>
        <w:lastRenderedPageBreak/>
        <w:t>asignación de regalías y en la participación que les corresponda en los ingresos corrientes de la Nación”.</w:t>
      </w: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rFonts w:eastAsia="Times New Roman"/>
          <w:sz w:val="28"/>
          <w:szCs w:val="28"/>
          <w:lang w:val="es-ES_tradnl"/>
        </w:rPr>
      </w:pPr>
    </w:p>
    <w:p w:rsidR="00840465" w:rsidRPr="0078289D" w:rsidRDefault="008637CC"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rPr>
      </w:pPr>
      <w:r w:rsidRPr="0078289D">
        <w:rPr>
          <w:rFonts w:eastAsia="Times New Roman"/>
          <w:sz w:val="28"/>
          <w:szCs w:val="28"/>
          <w:lang w:val="es-ES_tradnl"/>
        </w:rPr>
        <w:t xml:space="preserve">97. </w:t>
      </w:r>
      <w:r w:rsidR="00840465" w:rsidRPr="0078289D">
        <w:rPr>
          <w:rFonts w:eastAsia="Times New Roman"/>
          <w:sz w:val="28"/>
          <w:szCs w:val="28"/>
          <w:lang w:val="es-ES_tradnl"/>
        </w:rPr>
        <w:t xml:space="preserve">Ahora bien, la Ley 99 de 1993 desarrolla la regulación de las Corporaciones Autónomas Regionales con excepción de </w:t>
      </w:r>
      <w:r w:rsidR="00840465" w:rsidRPr="0078289D">
        <w:rPr>
          <w:rFonts w:eastAsia="Times New Roman"/>
          <w:sz w:val="28"/>
          <w:szCs w:val="28"/>
          <w:lang w:val="es-ES_tradnl" w:eastAsia="es-ES"/>
        </w:rPr>
        <w:t>la Corporación Autónoma del Río Grande de la Magdalena</w:t>
      </w:r>
      <w:r w:rsidR="00840465" w:rsidRPr="0078289D">
        <w:rPr>
          <w:rFonts w:eastAsia="Times New Roman"/>
          <w:sz w:val="28"/>
          <w:szCs w:val="28"/>
          <w:lang w:val="es-ES_tradnl"/>
        </w:rPr>
        <w:t xml:space="preserve">. Así, el artículo 23 consagra la naturaleza jurídica de dichos organismos, y señala que son entes corporativos de carácter público, creados por la ley, dotados de autonomía administrativa y financiera, patrimonio propio y personería jurídica. A su vez, la mencionada norma jurídica señala que  dichos organismos tienen como función la administración del medio ambiente y los recursos naturales, de acuerdo con las políticas públicas diseñadas por el Ministerio de Ambiente.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rPr>
      </w:pPr>
    </w:p>
    <w:p w:rsidR="00840465" w:rsidRPr="0078289D" w:rsidRDefault="008637CC"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rPr>
      </w:pPr>
      <w:r w:rsidRPr="0078289D">
        <w:rPr>
          <w:rFonts w:eastAsia="Times New Roman"/>
          <w:sz w:val="28"/>
          <w:szCs w:val="28"/>
          <w:lang w:val="es-ES_tradnl"/>
        </w:rPr>
        <w:t xml:space="preserve">98. </w:t>
      </w:r>
      <w:r w:rsidR="00840465" w:rsidRPr="0078289D">
        <w:rPr>
          <w:rFonts w:eastAsia="Times New Roman"/>
          <w:sz w:val="28"/>
          <w:szCs w:val="28"/>
          <w:lang w:val="es-ES_tradnl"/>
        </w:rPr>
        <w:t>En similar sentido, el artículo 31 de la Ley 99 de 1993 señala un catálogo de funciones de las Corporaciones Autónomas Regionales entre las que se encuentran</w:t>
      </w:r>
      <w:r w:rsidR="00DC4499" w:rsidRPr="0078289D">
        <w:rPr>
          <w:rFonts w:eastAsia="Times New Roman"/>
          <w:sz w:val="28"/>
          <w:szCs w:val="28"/>
          <w:lang w:val="es-ES_tradnl"/>
        </w:rPr>
        <w:t xml:space="preserve"> las siguientes:</w:t>
      </w:r>
      <w:r w:rsidR="00840465" w:rsidRPr="0078289D">
        <w:rPr>
          <w:rFonts w:eastAsia="Times New Roman"/>
          <w:sz w:val="28"/>
          <w:szCs w:val="28"/>
          <w:lang w:val="es-ES_tradnl"/>
        </w:rPr>
        <w:t xml:space="preserve"> i) la ejecución de políticas, planes y programas nacionales en materia ambiental definidos por el Plan Nacional de Desarrollo y los planes de orden regional, ii) el carácter de máxima autoridad ambiental en el área de jurisdicción, iii) la promoción de la participación comunitaria en el desarrollo sostenible, iv) la coordinación de planes y proyectos ambientales en el área de su jurisdicción, entre otras.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rFonts w:eastAsia="Times New Roman"/>
          <w:sz w:val="28"/>
          <w:szCs w:val="28"/>
          <w:lang w:val="es-ES_tradnl"/>
        </w:rPr>
      </w:pPr>
    </w:p>
    <w:p w:rsidR="00840465" w:rsidRPr="0078289D" w:rsidRDefault="008637CC"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sz w:val="28"/>
          <w:szCs w:val="28"/>
          <w:lang w:val="es-ES_tradnl"/>
        </w:rPr>
      </w:pPr>
      <w:r w:rsidRPr="0078289D">
        <w:rPr>
          <w:rFonts w:eastAsia="Times New Roman"/>
          <w:sz w:val="28"/>
          <w:szCs w:val="28"/>
          <w:lang w:val="es-ES_tradnl"/>
        </w:rPr>
        <w:t xml:space="preserve">99. </w:t>
      </w:r>
      <w:r w:rsidR="00840465" w:rsidRPr="0078289D">
        <w:rPr>
          <w:rFonts w:eastAsia="Times New Roman"/>
          <w:sz w:val="28"/>
          <w:szCs w:val="28"/>
          <w:lang w:val="es-ES_tradnl"/>
        </w:rPr>
        <w:t xml:space="preserve">Sin embargo, la figura de las Corporaciones Autónomas Regionales </w:t>
      </w:r>
      <w:r w:rsidR="00F3547E" w:rsidRPr="0078289D">
        <w:rPr>
          <w:rFonts w:eastAsia="Times New Roman"/>
          <w:sz w:val="28"/>
          <w:szCs w:val="28"/>
          <w:lang w:val="es-ES_tradnl"/>
        </w:rPr>
        <w:t>fue</w:t>
      </w:r>
      <w:r w:rsidR="00840465" w:rsidRPr="0078289D">
        <w:rPr>
          <w:rFonts w:eastAsia="Times New Roman"/>
          <w:sz w:val="28"/>
          <w:szCs w:val="28"/>
          <w:lang w:val="es-ES_tradnl"/>
        </w:rPr>
        <w:t xml:space="preserve"> introducida al ordenamiento jurídico colombiano con anterioridad a la promulgación de la Constitución de 1991, y de hecho, se encontraban consagradas en la Constitución Política de 1886. </w:t>
      </w:r>
      <w:r w:rsidR="008A4813" w:rsidRPr="0078289D">
        <w:rPr>
          <w:rFonts w:eastAsia="Times New Roman"/>
          <w:sz w:val="28"/>
          <w:szCs w:val="28"/>
          <w:lang w:val="es-ES_tradnl"/>
        </w:rPr>
        <w:t>D</w:t>
      </w:r>
      <w:r w:rsidR="00840465" w:rsidRPr="0078289D">
        <w:rPr>
          <w:rFonts w:eastAsia="Times New Roman"/>
          <w:sz w:val="28"/>
          <w:szCs w:val="28"/>
          <w:lang w:val="es-ES_tradnl"/>
        </w:rPr>
        <w:t>ichas entidades ya eran concebidas como pe</w:t>
      </w:r>
      <w:r w:rsidR="00CA7F5B" w:rsidRPr="0078289D">
        <w:rPr>
          <w:rFonts w:eastAsia="Times New Roman"/>
          <w:sz w:val="28"/>
          <w:szCs w:val="28"/>
          <w:lang w:val="es-ES_tradnl"/>
        </w:rPr>
        <w:t>rsonas jurídicas de derecho pú</w:t>
      </w:r>
      <w:r w:rsidR="00840465" w:rsidRPr="0078289D">
        <w:rPr>
          <w:rFonts w:eastAsia="Times New Roman"/>
          <w:sz w:val="28"/>
          <w:szCs w:val="28"/>
          <w:lang w:val="es-ES_tradnl"/>
        </w:rPr>
        <w:t>blico, pertenecientes a la c</w:t>
      </w:r>
      <w:r w:rsidR="00CA7F5B" w:rsidRPr="0078289D">
        <w:rPr>
          <w:rFonts w:eastAsia="Times New Roman"/>
          <w:sz w:val="28"/>
          <w:szCs w:val="28"/>
          <w:lang w:val="es-ES_tradnl"/>
        </w:rPr>
        <w:t>ategoría de establecimientos pú</w:t>
      </w:r>
      <w:r w:rsidR="00840465" w:rsidRPr="0078289D">
        <w:rPr>
          <w:rFonts w:eastAsia="Times New Roman"/>
          <w:sz w:val="28"/>
          <w:szCs w:val="28"/>
          <w:lang w:val="es-ES_tradnl"/>
        </w:rPr>
        <w:t>blicos adscritos o vinculados a las entidades del orden central para el ejercicio de funciones</w:t>
      </w:r>
      <w:r w:rsidR="00CA7F5B" w:rsidRPr="0078289D">
        <w:rPr>
          <w:rFonts w:eastAsia="Times New Roman"/>
          <w:sz w:val="28"/>
          <w:szCs w:val="28"/>
          <w:lang w:val="es-ES_tradnl"/>
        </w:rPr>
        <w:t xml:space="preserve"> administrativas y la prestació</w:t>
      </w:r>
      <w:r w:rsidR="00840465" w:rsidRPr="0078289D">
        <w:rPr>
          <w:rFonts w:eastAsia="Times New Roman"/>
          <w:sz w:val="28"/>
          <w:szCs w:val="28"/>
          <w:lang w:val="es-ES_tradnl"/>
        </w:rPr>
        <w:t>n de determinados s</w:t>
      </w:r>
      <w:r w:rsidR="00CA7F5B" w:rsidRPr="0078289D">
        <w:rPr>
          <w:rFonts w:eastAsia="Times New Roman"/>
          <w:sz w:val="28"/>
          <w:szCs w:val="28"/>
          <w:lang w:val="es-ES_tradnl"/>
        </w:rPr>
        <w:t>ervicios pú</w:t>
      </w:r>
      <w:r w:rsidR="00840465" w:rsidRPr="0078289D">
        <w:rPr>
          <w:rFonts w:eastAsia="Times New Roman"/>
          <w:sz w:val="28"/>
          <w:szCs w:val="28"/>
          <w:lang w:val="es-ES_tradnl"/>
        </w:rPr>
        <w:t>blicos domiciliarios.  En efecto, el numeral 10º del artículo 76 de la Constitución de 1886 confería al Congreso la potestad de expedir los estatutos básicos de las Corporaciones Autónomas Regionales y demás establecimientos públicos, así:</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sz w:val="28"/>
          <w:szCs w:val="28"/>
          <w:lang w:val="es-ES_tradnl"/>
        </w:rPr>
      </w:pPr>
      <w:r w:rsidRPr="0078289D">
        <w:rPr>
          <w:rFonts w:eastAsia="Times New Roman"/>
          <w:sz w:val="28"/>
          <w:szCs w:val="28"/>
          <w:lang w:val="es-ES_tradnl"/>
        </w:rPr>
        <w:t> </w:t>
      </w:r>
    </w:p>
    <w:p w:rsidR="00840465" w:rsidRPr="0078289D" w:rsidRDefault="008A4813" w:rsidP="0078289D">
      <w:pPr>
        <w:pBdr>
          <w:top w:val="none" w:sz="0" w:space="0" w:color="auto"/>
          <w:left w:val="none" w:sz="0" w:space="0" w:color="auto"/>
          <w:bottom w:val="none" w:sz="0" w:space="0" w:color="auto"/>
          <w:right w:val="none" w:sz="0" w:space="0" w:color="auto"/>
        </w:pBdr>
        <w:tabs>
          <w:tab w:val="left" w:pos="8222"/>
        </w:tabs>
        <w:ind w:left="567"/>
        <w:contextualSpacing/>
        <w:jc w:val="both"/>
        <w:rPr>
          <w:rFonts w:eastAsia="Times New Roman"/>
          <w:i/>
          <w:sz w:val="28"/>
          <w:szCs w:val="28"/>
          <w:u w:color="000000"/>
          <w:lang w:val="es-ES_tradnl" w:eastAsia="es-ES"/>
        </w:rPr>
      </w:pPr>
      <w:r w:rsidRPr="0078289D">
        <w:rPr>
          <w:rFonts w:eastAsia="Times New Roman"/>
          <w:i/>
          <w:sz w:val="28"/>
          <w:szCs w:val="28"/>
          <w:u w:color="000000"/>
          <w:lang w:val="es-ES_tradnl" w:eastAsia="es-ES"/>
        </w:rPr>
        <w:t>“</w:t>
      </w:r>
      <w:r w:rsidR="00530178" w:rsidRPr="0078289D">
        <w:rPr>
          <w:rFonts w:eastAsia="Times New Roman"/>
          <w:i/>
          <w:sz w:val="28"/>
          <w:szCs w:val="28"/>
          <w:u w:color="000000"/>
          <w:lang w:val="es-ES_tradnl" w:eastAsia="es-ES"/>
        </w:rPr>
        <w:t>…</w:t>
      </w:r>
      <w:r w:rsidR="00840465" w:rsidRPr="0078289D">
        <w:rPr>
          <w:rFonts w:eastAsia="Times New Roman"/>
          <w:i/>
          <w:sz w:val="28"/>
          <w:szCs w:val="28"/>
          <w:u w:color="000000"/>
          <w:lang w:val="es-ES_tradnl" w:eastAsia="es-ES"/>
        </w:rPr>
        <w:t xml:space="preserve"> </w:t>
      </w:r>
      <w:r w:rsidR="00840465" w:rsidRPr="0078289D">
        <w:rPr>
          <w:rFonts w:eastAsia="Times New Roman"/>
          <w:bCs/>
          <w:i/>
          <w:sz w:val="28"/>
          <w:szCs w:val="28"/>
          <w:u w:color="000000"/>
          <w:lang w:val="es-ES_tradnl" w:eastAsia="es-ES"/>
        </w:rPr>
        <w:t>expedir los estatutos básicos de las corporaciones autónomas regionales y otros establecimientos público</w:t>
      </w:r>
      <w:r w:rsidR="00530178" w:rsidRPr="0078289D">
        <w:rPr>
          <w:rFonts w:eastAsia="Times New Roman"/>
          <w:bCs/>
          <w:i/>
          <w:sz w:val="28"/>
          <w:szCs w:val="28"/>
          <w:u w:color="000000"/>
          <w:lang w:val="es-ES_tradnl" w:eastAsia="es-ES"/>
        </w:rPr>
        <w:t>s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u w:color="000000"/>
          <w:lang w:val="es-ES_tradnl" w:eastAsia="es-ES"/>
        </w:rPr>
      </w:pPr>
      <w:r w:rsidRPr="0078289D">
        <w:rPr>
          <w:rFonts w:eastAsia="Times New Roman"/>
          <w:sz w:val="28"/>
          <w:szCs w:val="28"/>
          <w:u w:color="000000"/>
          <w:lang w:val="es-ES_tradnl" w:eastAsia="es-ES"/>
        </w:rPr>
        <w:t>Por ejemplo, la “Corporación Autónoma Regional del Valle del Cauca” fue creada a través del D</w:t>
      </w:r>
      <w:r w:rsidRPr="0078289D">
        <w:rPr>
          <w:rFonts w:eastAsia="Times New Roman"/>
          <w:bCs/>
          <w:sz w:val="28"/>
          <w:szCs w:val="28"/>
          <w:u w:color="000000"/>
          <w:lang w:val="es-ES_tradnl" w:eastAsia="es-ES"/>
        </w:rPr>
        <w:t>ecreto</w:t>
      </w:r>
      <w:r w:rsidRPr="0078289D">
        <w:rPr>
          <w:rFonts w:eastAsia="Times New Roman"/>
          <w:sz w:val="28"/>
          <w:szCs w:val="28"/>
          <w:u w:color="000000"/>
          <w:lang w:val="es-ES_tradnl" w:eastAsia="es-ES"/>
        </w:rPr>
        <w:t xml:space="preserve"> No. 3110 de </w:t>
      </w:r>
      <w:r w:rsidRPr="0078289D">
        <w:rPr>
          <w:rFonts w:eastAsia="Times New Roman"/>
          <w:bCs/>
          <w:sz w:val="28"/>
          <w:szCs w:val="28"/>
          <w:u w:color="000000"/>
          <w:lang w:val="es-ES_tradnl" w:eastAsia="es-ES"/>
        </w:rPr>
        <w:t>1954</w:t>
      </w:r>
      <w:r w:rsidR="00530178" w:rsidRPr="0078289D">
        <w:rPr>
          <w:rFonts w:eastAsia="Times New Roman"/>
          <w:sz w:val="28"/>
          <w:szCs w:val="28"/>
          <w:u w:color="000000"/>
          <w:lang w:val="es-ES_tradnl" w:eastAsia="es-ES"/>
        </w:rPr>
        <w:t>. A su vez, la Ley 3ª</w:t>
      </w:r>
      <w:r w:rsidRPr="0078289D">
        <w:rPr>
          <w:rFonts w:eastAsia="Times New Roman"/>
          <w:sz w:val="28"/>
          <w:szCs w:val="28"/>
          <w:u w:color="000000"/>
          <w:lang w:val="es-ES_tradnl" w:eastAsia="es-ES"/>
        </w:rPr>
        <w:t xml:space="preserve"> de 1961</w:t>
      </w:r>
      <w:r w:rsidR="0023224B" w:rsidRPr="0078289D">
        <w:rPr>
          <w:rFonts w:eastAsia="Times New Roman"/>
          <w:sz w:val="28"/>
          <w:szCs w:val="28"/>
          <w:u w:color="000000"/>
          <w:lang w:val="es-ES_tradnl" w:eastAsia="es-ES"/>
        </w:rPr>
        <w:t xml:space="preserve"> creó la “Corporación Autó</w:t>
      </w:r>
      <w:r w:rsidRPr="0078289D">
        <w:rPr>
          <w:rFonts w:eastAsia="Times New Roman"/>
          <w:sz w:val="28"/>
          <w:szCs w:val="28"/>
          <w:u w:color="000000"/>
          <w:lang w:val="es-ES_tradnl" w:eastAsia="es-ES"/>
        </w:rPr>
        <w:t xml:space="preserve">noma </w:t>
      </w:r>
      <w:r w:rsidR="0023224B" w:rsidRPr="0078289D">
        <w:rPr>
          <w:rFonts w:eastAsia="Times New Roman"/>
          <w:sz w:val="28"/>
          <w:szCs w:val="28"/>
          <w:u w:color="000000"/>
          <w:lang w:val="es-ES_tradnl" w:eastAsia="es-ES"/>
        </w:rPr>
        <w:t>Regional de la Sabana de Bogotá</w:t>
      </w:r>
      <w:r w:rsidRPr="0078289D">
        <w:rPr>
          <w:rFonts w:eastAsia="Times New Roman"/>
          <w:sz w:val="28"/>
          <w:szCs w:val="28"/>
          <w:u w:color="000000"/>
          <w:lang w:val="es-ES_tradnl" w:eastAsia="es-ES"/>
        </w:rPr>
        <w:t>”, la cual, posteriormente, fu</w:t>
      </w:r>
      <w:r w:rsidR="0023224B" w:rsidRPr="0078289D">
        <w:rPr>
          <w:rFonts w:eastAsia="Times New Roman"/>
          <w:sz w:val="28"/>
          <w:szCs w:val="28"/>
          <w:u w:color="000000"/>
          <w:lang w:val="es-ES_tradnl" w:eastAsia="es-ES"/>
        </w:rPr>
        <w:t>e denominada “Corporación Autó</w:t>
      </w:r>
      <w:r w:rsidRPr="0078289D">
        <w:rPr>
          <w:rFonts w:eastAsia="Times New Roman"/>
          <w:sz w:val="28"/>
          <w:szCs w:val="28"/>
          <w:u w:color="000000"/>
          <w:lang w:val="es-ES_tradnl" w:eastAsia="es-ES"/>
        </w:rPr>
        <w:t xml:space="preserve">noma Regional de las Cuencas de </w:t>
      </w:r>
      <w:r w:rsidR="0023224B" w:rsidRPr="0078289D">
        <w:rPr>
          <w:rFonts w:eastAsia="Times New Roman"/>
          <w:sz w:val="28"/>
          <w:szCs w:val="28"/>
          <w:u w:color="000000"/>
          <w:lang w:val="es-ES_tradnl" w:eastAsia="es-ES"/>
        </w:rPr>
        <w:t>los Ríos Bogotá, Ubaté y Suá</w:t>
      </w:r>
      <w:r w:rsidRPr="0078289D">
        <w:rPr>
          <w:rFonts w:eastAsia="Times New Roman"/>
          <w:sz w:val="28"/>
          <w:szCs w:val="28"/>
          <w:u w:color="000000"/>
          <w:lang w:val="es-ES_tradnl" w:eastAsia="es-ES"/>
        </w:rPr>
        <w:t xml:space="preserve">rez, CAR” a través de la Ley 62 de 1983.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u w:color="000000"/>
          <w:lang w:val="es-ES_tradnl" w:eastAsia="es-ES"/>
        </w:rPr>
      </w:pPr>
    </w:p>
    <w:p w:rsidR="00840465" w:rsidRPr="0078289D" w:rsidRDefault="00A31A5B"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lang w:val="es-ES_tradnl"/>
        </w:rPr>
      </w:pPr>
      <w:r w:rsidRPr="0078289D">
        <w:rPr>
          <w:rFonts w:eastAsia="Times New Roman"/>
          <w:sz w:val="28"/>
          <w:szCs w:val="28"/>
          <w:lang w:val="es-ES_tradnl"/>
        </w:rPr>
        <w:t xml:space="preserve">Sin embargo, la Constitución </w:t>
      </w:r>
      <w:r w:rsidR="006526FD" w:rsidRPr="0078289D">
        <w:rPr>
          <w:rFonts w:eastAsia="Times New Roman"/>
          <w:sz w:val="28"/>
          <w:szCs w:val="28"/>
          <w:lang w:val="es-ES_tradnl"/>
        </w:rPr>
        <w:t xml:space="preserve">Política de 1991 transformó la naturaleza de las CAR. </w:t>
      </w:r>
      <w:r w:rsidR="00840465" w:rsidRPr="0078289D">
        <w:rPr>
          <w:rFonts w:eastAsia="Times New Roman"/>
          <w:sz w:val="28"/>
          <w:szCs w:val="28"/>
          <w:lang w:val="es-ES_tradnl"/>
        </w:rPr>
        <w:t xml:space="preserve">En la </w:t>
      </w:r>
      <w:r w:rsidR="00840465" w:rsidRPr="0078289D">
        <w:rPr>
          <w:rFonts w:eastAsia="Times New Roman"/>
          <w:b/>
          <w:sz w:val="28"/>
          <w:szCs w:val="28"/>
          <w:lang w:val="es-ES_tradnl"/>
        </w:rPr>
        <w:t>Sentencia C-578 de 1999</w:t>
      </w:r>
      <w:r w:rsidR="00840465" w:rsidRPr="0078289D">
        <w:rPr>
          <w:rFonts w:eastAsia="Times New Roman"/>
          <w:sz w:val="28"/>
          <w:szCs w:val="28"/>
          <w:vertAlign w:val="superscript"/>
          <w:lang w:val="es-ES_tradnl"/>
        </w:rPr>
        <w:footnoteReference w:id="76"/>
      </w:r>
      <w:r w:rsidR="00840465" w:rsidRPr="0078289D">
        <w:rPr>
          <w:rFonts w:eastAsia="Times New Roman"/>
          <w:sz w:val="28"/>
          <w:szCs w:val="28"/>
          <w:lang w:val="es-ES_tradnl"/>
        </w:rPr>
        <w:t xml:space="preserve"> la Corte se pronunció sobre la </w:t>
      </w:r>
      <w:r w:rsidR="00840465" w:rsidRPr="0078289D">
        <w:rPr>
          <w:rFonts w:eastAsia="Times New Roman"/>
          <w:sz w:val="28"/>
          <w:szCs w:val="28"/>
          <w:lang w:val="es-ES_tradnl"/>
        </w:rPr>
        <w:lastRenderedPageBreak/>
        <w:t xml:space="preserve">naturaleza jurídica de las Corporaciones Autónomas Regionales, y reconoció que la Constitución Política de 1991 </w:t>
      </w:r>
      <w:r w:rsidR="00420E4B" w:rsidRPr="0078289D">
        <w:rPr>
          <w:rFonts w:eastAsia="Times New Roman"/>
          <w:sz w:val="28"/>
          <w:szCs w:val="28"/>
          <w:lang w:val="es-ES_tradnl"/>
        </w:rPr>
        <w:t>las define como</w:t>
      </w:r>
      <w:r w:rsidR="00840465" w:rsidRPr="0078289D">
        <w:rPr>
          <w:rFonts w:eastAsia="Times New Roman"/>
          <w:sz w:val="28"/>
          <w:szCs w:val="28"/>
          <w:lang w:val="es-ES_tradnl"/>
        </w:rPr>
        <w:t xml:space="preserve"> organismos autónomos encargados de la protección del medio ambiente en su jurisdicción. Sin embargo, </w:t>
      </w:r>
      <w:r w:rsidR="007C74C8" w:rsidRPr="0078289D">
        <w:rPr>
          <w:rFonts w:eastAsia="Times New Roman"/>
          <w:sz w:val="28"/>
          <w:szCs w:val="28"/>
          <w:lang w:val="es-ES_tradnl"/>
        </w:rPr>
        <w:t xml:space="preserve">como ya se dijo, </w:t>
      </w:r>
      <w:r w:rsidR="00840465" w:rsidRPr="0078289D">
        <w:rPr>
          <w:rFonts w:eastAsia="Times New Roman"/>
          <w:sz w:val="28"/>
          <w:szCs w:val="28"/>
          <w:lang w:val="es-ES_tradnl"/>
        </w:rPr>
        <w:t xml:space="preserve">puntualizó que la naturaleza jurídica de las CAR con posterioridad a 1991 difería de la de aquellos organismos que nacieron a la vida jurídica durante la vigencia de la Constitución de 1886. En este sentido, las CAR actualmente no encajan en ninguna de las categorías de entidades del sector central o descentralizado por servicios, ni tampoco comportan </w:t>
      </w:r>
      <w:r w:rsidR="00420E4B" w:rsidRPr="0078289D">
        <w:rPr>
          <w:rFonts w:eastAsia="Times New Roman"/>
          <w:sz w:val="28"/>
          <w:szCs w:val="28"/>
          <w:lang w:val="es-ES_tradnl"/>
        </w:rPr>
        <w:t xml:space="preserve">la naturaleza de </w:t>
      </w:r>
      <w:r w:rsidR="00840465" w:rsidRPr="0078289D">
        <w:rPr>
          <w:rFonts w:eastAsia="Times New Roman"/>
          <w:sz w:val="28"/>
          <w:szCs w:val="28"/>
          <w:lang w:val="es-ES_tradnl"/>
        </w:rPr>
        <w:t xml:space="preserve">una entidad territorial, pues </w:t>
      </w:r>
      <w:r w:rsidR="007C74C8" w:rsidRPr="0078289D">
        <w:rPr>
          <w:rFonts w:eastAsia="Times New Roman"/>
          <w:sz w:val="28"/>
          <w:szCs w:val="28"/>
          <w:lang w:val="es-ES_tradnl"/>
        </w:rPr>
        <w:t xml:space="preserve">el ámbito de ejercicio de sus competencias es de carácter regional, y está asociado con </w:t>
      </w:r>
      <w:r w:rsidR="008709F3" w:rsidRPr="0078289D">
        <w:rPr>
          <w:rFonts w:eastAsia="Times New Roman"/>
          <w:sz w:val="28"/>
          <w:szCs w:val="28"/>
          <w:lang w:val="es-ES_tradnl"/>
        </w:rPr>
        <w:t xml:space="preserve">ecosistemas o cuencas específicos. Por tal motivo, </w:t>
      </w:r>
      <w:r w:rsidR="00840465" w:rsidRPr="0078289D">
        <w:rPr>
          <w:rFonts w:eastAsia="Times New Roman"/>
          <w:sz w:val="28"/>
          <w:szCs w:val="28"/>
          <w:lang w:val="es-ES_tradnl"/>
        </w:rPr>
        <w:t xml:space="preserve">son consideradas entidades </w:t>
      </w:r>
      <w:r w:rsidR="00840465" w:rsidRPr="0078289D">
        <w:rPr>
          <w:rFonts w:eastAsia="Times New Roman"/>
          <w:i/>
          <w:sz w:val="28"/>
          <w:szCs w:val="28"/>
          <w:lang w:val="es-ES_tradnl"/>
        </w:rPr>
        <w:t>sui generis</w:t>
      </w:r>
      <w:r w:rsidR="00840465" w:rsidRPr="0078289D">
        <w:rPr>
          <w:rFonts w:eastAsia="Times New Roman"/>
          <w:sz w:val="28"/>
          <w:szCs w:val="28"/>
          <w:lang w:val="es-ES_tradnl"/>
        </w:rPr>
        <w:t xml:space="preserve">. Para la Corte, éstas son organismos jurídicamente autónomos encargados de funciones relacionadas con la preservación del medio ambiente, así: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i/>
          <w:iCs/>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sz w:val="28"/>
          <w:szCs w:val="28"/>
          <w:lang w:val="es-ES_tradnl"/>
        </w:rPr>
      </w:pPr>
      <w:r w:rsidRPr="0078289D">
        <w:rPr>
          <w:rFonts w:eastAsia="Times New Roman"/>
          <w:i/>
          <w:iCs/>
          <w:sz w:val="28"/>
          <w:szCs w:val="28"/>
          <w:lang w:val="es-ES_tradnl"/>
        </w:rPr>
        <w:t xml:space="preserve">“En la Constitución de 1991, las Corporaciones Autónomas Regionales son recreadas como organismos de la administración del Estado, sólo que bajo un esquema distinto al del régimen anterior, pues </w:t>
      </w:r>
      <w:r w:rsidRPr="0078289D">
        <w:rPr>
          <w:rFonts w:eastAsia="Times New Roman"/>
          <w:b/>
          <w:i/>
          <w:iCs/>
          <w:sz w:val="28"/>
          <w:szCs w:val="28"/>
          <w:lang w:val="es-ES_tradnl"/>
        </w:rPr>
        <w:t>se las considera como una organización administrativa con identidad propia, autónoma e independiente</w:t>
      </w:r>
      <w:r w:rsidRPr="0078289D">
        <w:rPr>
          <w:rFonts w:eastAsia="Times New Roman"/>
          <w:i/>
          <w:iCs/>
          <w:sz w:val="28"/>
          <w:szCs w:val="28"/>
          <w:lang w:val="es-ES_tradnl"/>
        </w:rPr>
        <w:t xml:space="preserve">, y no como una especie dentro del género de los establecimientos públicos. De suerte que en el momento actual no se articulan funcionalmente al sistema ordinario de la descentralización por servicios, ni están adscritas, por ende, a ningún ministerio o departamento administrativo. Las Corporaciones Autónomas Regionales hacen parte de la estructura administrativa del Estado, como personas jurídicas autónomas con identidad propia, sin que sea posible  encuadrarlas como otro organismo superior de la administración central (ministerios, departamentos administrativos, etc.), o descentralizado de este mismo orden, ni como una entidad territorial; </w:t>
      </w:r>
      <w:r w:rsidRPr="0078289D">
        <w:rPr>
          <w:rFonts w:eastAsia="Times New Roman"/>
          <w:b/>
          <w:i/>
          <w:iCs/>
          <w:sz w:val="28"/>
          <w:szCs w:val="28"/>
          <w:u w:val="single"/>
          <w:lang w:val="es-ES_tradnl"/>
        </w:rPr>
        <w:t>es necesario convenir entonces, que resultan ser organismos nacionales claramente distintos y jurídicamente autónomos, con misiones y actividades específicas e inconfundibles, cuya misión es la de lograr el cumplimiento de los objetivos ambientales y sociales previstos en la Constitución que conduzcan a asegurar a todas las personas el derecho a gozar de un ambiente sano, y a tener a su disposición una oferta permanente de elementos ambientales</w:t>
      </w:r>
      <w:r w:rsidRPr="0078289D">
        <w:rPr>
          <w:rFonts w:eastAsia="Times New Roman"/>
          <w:i/>
          <w:iCs/>
          <w:sz w:val="28"/>
          <w:szCs w:val="28"/>
          <w:lang w:val="es-ES_tradnl"/>
        </w:rPr>
        <w:t>”.</w:t>
      </w:r>
      <w:r w:rsidRPr="0078289D">
        <w:rPr>
          <w:rFonts w:eastAsia="Times New Roman"/>
          <w:iCs/>
          <w:sz w:val="28"/>
          <w:szCs w:val="28"/>
          <w:lang w:val="es-ES_tradnl"/>
        </w:rPr>
        <w:t xml:space="preserve"> (Subraya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i/>
          <w:iCs/>
          <w:sz w:val="28"/>
          <w:szCs w:val="28"/>
          <w:lang w:val="es-ES_tradnl"/>
        </w:rPr>
      </w:pPr>
    </w:p>
    <w:p w:rsidR="00651F7D" w:rsidRPr="0078289D" w:rsidRDefault="00840465"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 xml:space="preserve">Igualmente, </w:t>
      </w:r>
      <w:r w:rsidR="00FD06CB" w:rsidRPr="0078289D">
        <w:rPr>
          <w:rFonts w:eastAsia="Times New Roman"/>
          <w:iCs/>
          <w:sz w:val="28"/>
          <w:szCs w:val="28"/>
          <w:lang w:val="es-ES_tradnl"/>
        </w:rPr>
        <w:t xml:space="preserve">la </w:t>
      </w:r>
      <w:r w:rsidR="00B73E1E" w:rsidRPr="0078289D">
        <w:rPr>
          <w:rFonts w:eastAsia="Times New Roman"/>
          <w:iCs/>
          <w:sz w:val="28"/>
          <w:szCs w:val="28"/>
          <w:lang w:val="es-ES_tradnl"/>
        </w:rPr>
        <w:t>Constitución Política en el numeral 7º del artículo 150</w:t>
      </w:r>
      <w:r w:rsidR="00FD06CB" w:rsidRPr="0078289D">
        <w:rPr>
          <w:rFonts w:eastAsia="Times New Roman"/>
          <w:iCs/>
          <w:sz w:val="28"/>
          <w:szCs w:val="28"/>
          <w:lang w:val="es-ES_tradnl"/>
        </w:rPr>
        <w:t>,</w:t>
      </w:r>
      <w:r w:rsidR="00B73E1E" w:rsidRPr="0078289D">
        <w:rPr>
          <w:rFonts w:eastAsia="Times New Roman"/>
          <w:iCs/>
          <w:sz w:val="28"/>
          <w:szCs w:val="28"/>
          <w:lang w:val="es-ES_tradnl"/>
        </w:rPr>
        <w:t xml:space="preserve"> le </w:t>
      </w:r>
      <w:r w:rsidR="00757957" w:rsidRPr="0078289D">
        <w:rPr>
          <w:rFonts w:eastAsia="Times New Roman"/>
          <w:iCs/>
          <w:sz w:val="28"/>
          <w:szCs w:val="28"/>
          <w:lang w:val="es-ES_tradnl"/>
        </w:rPr>
        <w:t>atribuye</w:t>
      </w:r>
      <w:r w:rsidR="00B73E1E" w:rsidRPr="0078289D">
        <w:rPr>
          <w:rFonts w:eastAsia="Times New Roman"/>
          <w:iCs/>
          <w:sz w:val="28"/>
          <w:szCs w:val="28"/>
          <w:lang w:val="es-ES_tradnl"/>
        </w:rPr>
        <w:t xml:space="preserve"> al Congreso la facultad para </w:t>
      </w:r>
      <w:r w:rsidR="00757957" w:rsidRPr="0078289D">
        <w:rPr>
          <w:rFonts w:eastAsia="Times New Roman"/>
          <w:iCs/>
          <w:sz w:val="28"/>
          <w:szCs w:val="28"/>
          <w:lang w:val="es-ES_tradnl"/>
        </w:rPr>
        <w:t>regl</w:t>
      </w:r>
      <w:r w:rsidR="00FD06CB" w:rsidRPr="0078289D">
        <w:rPr>
          <w:rFonts w:eastAsia="Times New Roman"/>
          <w:iCs/>
          <w:sz w:val="28"/>
          <w:szCs w:val="28"/>
          <w:lang w:val="es-ES_tradnl"/>
        </w:rPr>
        <w:t>amentar la</w:t>
      </w:r>
      <w:r w:rsidR="005838F3" w:rsidRPr="0078289D">
        <w:rPr>
          <w:rFonts w:eastAsia="Times New Roman"/>
          <w:iCs/>
          <w:sz w:val="28"/>
          <w:szCs w:val="28"/>
          <w:lang w:val="es-ES_tradnl"/>
        </w:rPr>
        <w:t xml:space="preserve"> creación y funciones</w:t>
      </w:r>
      <w:r w:rsidR="00FD06CB" w:rsidRPr="0078289D">
        <w:rPr>
          <w:rFonts w:eastAsia="Times New Roman"/>
          <w:iCs/>
          <w:sz w:val="28"/>
          <w:szCs w:val="28"/>
          <w:lang w:val="es-ES_tradnl"/>
        </w:rPr>
        <w:t xml:space="preserve"> de las Corporaciones Autónomas Regionales</w:t>
      </w:r>
      <w:r w:rsidR="005838F3" w:rsidRPr="0078289D">
        <w:rPr>
          <w:rFonts w:eastAsia="Times New Roman"/>
          <w:iCs/>
          <w:sz w:val="28"/>
          <w:szCs w:val="28"/>
          <w:lang w:val="es-ES_tradnl"/>
        </w:rPr>
        <w:t>.</w:t>
      </w:r>
      <w:r w:rsidR="00757957" w:rsidRPr="0078289D">
        <w:rPr>
          <w:rFonts w:eastAsia="Times New Roman"/>
          <w:iCs/>
          <w:sz w:val="28"/>
          <w:szCs w:val="28"/>
          <w:lang w:val="es-ES_tradnl"/>
        </w:rPr>
        <w:t xml:space="preserve"> </w:t>
      </w:r>
      <w:r w:rsidR="005838F3" w:rsidRPr="0078289D">
        <w:rPr>
          <w:rFonts w:eastAsia="Times New Roman"/>
          <w:iCs/>
          <w:sz w:val="28"/>
          <w:szCs w:val="28"/>
          <w:lang w:val="es-ES_tradnl"/>
        </w:rPr>
        <w:t>Sin embargo,</w:t>
      </w:r>
      <w:r w:rsidR="00757957" w:rsidRPr="0078289D">
        <w:rPr>
          <w:rFonts w:eastAsia="Times New Roman"/>
          <w:iCs/>
          <w:sz w:val="28"/>
          <w:szCs w:val="28"/>
          <w:lang w:val="es-ES_tradnl"/>
        </w:rPr>
        <w:t xml:space="preserve"> condicio</w:t>
      </w:r>
      <w:r w:rsidR="00FD06CB" w:rsidRPr="0078289D">
        <w:rPr>
          <w:rFonts w:eastAsia="Times New Roman"/>
          <w:iCs/>
          <w:sz w:val="28"/>
          <w:szCs w:val="28"/>
          <w:lang w:val="es-ES_tradnl"/>
        </w:rPr>
        <w:t>na el ejercicio de dicha regulación</w:t>
      </w:r>
      <w:r w:rsidR="00757957" w:rsidRPr="0078289D">
        <w:rPr>
          <w:rFonts w:eastAsia="Times New Roman"/>
          <w:iCs/>
          <w:sz w:val="28"/>
          <w:szCs w:val="28"/>
          <w:lang w:val="es-ES_tradnl"/>
        </w:rPr>
        <w:t xml:space="preserve"> al </w:t>
      </w:r>
      <w:r w:rsidR="005838F3" w:rsidRPr="0078289D">
        <w:rPr>
          <w:rFonts w:eastAsia="Times New Roman"/>
          <w:iCs/>
          <w:sz w:val="28"/>
          <w:szCs w:val="28"/>
          <w:lang w:val="es-ES_tradnl"/>
        </w:rPr>
        <w:t xml:space="preserve">establecer que </w:t>
      </w:r>
      <w:r w:rsidR="00740FD0" w:rsidRPr="0078289D">
        <w:rPr>
          <w:rFonts w:eastAsia="Times New Roman"/>
          <w:iCs/>
          <w:sz w:val="28"/>
          <w:szCs w:val="28"/>
          <w:lang w:val="es-ES_tradnl"/>
        </w:rPr>
        <w:t>la reglamentación debe</w:t>
      </w:r>
      <w:r w:rsidR="005838F3" w:rsidRPr="0078289D">
        <w:rPr>
          <w:rFonts w:eastAsia="Times New Roman"/>
          <w:iCs/>
          <w:sz w:val="28"/>
          <w:szCs w:val="28"/>
          <w:lang w:val="es-ES_tradnl"/>
        </w:rPr>
        <w:t xml:space="preserve"> </w:t>
      </w:r>
      <w:r w:rsidR="00740FD0" w:rsidRPr="0078289D">
        <w:rPr>
          <w:rFonts w:eastAsia="Times New Roman"/>
          <w:iCs/>
          <w:sz w:val="28"/>
          <w:szCs w:val="28"/>
          <w:lang w:val="es-ES_tradnl"/>
        </w:rPr>
        <w:t>hacerse</w:t>
      </w:r>
      <w:r w:rsidR="005838F3" w:rsidRPr="0078289D">
        <w:rPr>
          <w:rFonts w:eastAsia="Times New Roman"/>
          <w:iCs/>
          <w:sz w:val="28"/>
          <w:szCs w:val="28"/>
          <w:lang w:val="es-ES_tradnl"/>
        </w:rPr>
        <w:t xml:space="preserve"> dentro de un “</w:t>
      </w:r>
      <w:r w:rsidR="005838F3" w:rsidRPr="0078289D">
        <w:rPr>
          <w:rFonts w:eastAsia="Times New Roman"/>
          <w:i/>
          <w:iCs/>
          <w:sz w:val="28"/>
          <w:szCs w:val="28"/>
          <w:lang w:val="es-ES_tradnl"/>
        </w:rPr>
        <w:t>régimen de autonomía</w:t>
      </w:r>
      <w:r w:rsidR="00740FD0" w:rsidRPr="0078289D">
        <w:rPr>
          <w:rFonts w:eastAsia="Times New Roman"/>
          <w:i/>
          <w:iCs/>
          <w:sz w:val="28"/>
          <w:szCs w:val="28"/>
          <w:lang w:val="es-ES_tradnl"/>
        </w:rPr>
        <w:t>.</w:t>
      </w:r>
      <w:r w:rsidR="005838F3" w:rsidRPr="0078289D">
        <w:rPr>
          <w:rFonts w:eastAsia="Times New Roman"/>
          <w:iCs/>
          <w:sz w:val="28"/>
          <w:szCs w:val="28"/>
          <w:lang w:val="es-ES_tradnl"/>
        </w:rPr>
        <w:t xml:space="preserve">” </w:t>
      </w:r>
      <w:r w:rsidR="00651F7D" w:rsidRPr="0078289D">
        <w:rPr>
          <w:rFonts w:eastAsia="Times New Roman"/>
          <w:iCs/>
          <w:sz w:val="28"/>
          <w:szCs w:val="28"/>
          <w:lang w:val="es-ES_tradnl"/>
        </w:rPr>
        <w:t xml:space="preserve">Ahora bien, </w:t>
      </w:r>
      <w:r w:rsidR="00C151D8" w:rsidRPr="0078289D">
        <w:rPr>
          <w:rFonts w:eastAsia="Times New Roman"/>
          <w:iCs/>
          <w:sz w:val="28"/>
          <w:szCs w:val="28"/>
          <w:lang w:val="es-ES_tradnl"/>
        </w:rPr>
        <w:t xml:space="preserve">resulta claro que la sola atribución de </w:t>
      </w:r>
      <w:r w:rsidR="00C22F10" w:rsidRPr="0078289D">
        <w:rPr>
          <w:rFonts w:eastAsia="Times New Roman"/>
          <w:iCs/>
          <w:sz w:val="28"/>
          <w:szCs w:val="28"/>
          <w:lang w:val="es-ES_tradnl"/>
        </w:rPr>
        <w:t>la función de reglamentar su creación y funciones al Congreso no puede dejar sin contenido el régimen de autonomía que la Constituci</w:t>
      </w:r>
      <w:r w:rsidR="00B01062" w:rsidRPr="0078289D">
        <w:rPr>
          <w:rFonts w:eastAsia="Times New Roman"/>
          <w:iCs/>
          <w:sz w:val="28"/>
          <w:szCs w:val="28"/>
          <w:lang w:val="es-ES_tradnl"/>
        </w:rPr>
        <w:t xml:space="preserve">ón misma les otorga. Por el contrario, </w:t>
      </w:r>
      <w:r w:rsidR="00393642" w:rsidRPr="0078289D">
        <w:rPr>
          <w:rFonts w:eastAsia="Times New Roman"/>
          <w:iCs/>
          <w:sz w:val="28"/>
          <w:szCs w:val="28"/>
          <w:lang w:val="es-ES_tradnl"/>
        </w:rPr>
        <w:t xml:space="preserve">esta autonomía constituye a la vez un límite y una orientación de la actividad del </w:t>
      </w:r>
      <w:r w:rsidR="00D902E6" w:rsidRPr="0078289D">
        <w:rPr>
          <w:rFonts w:eastAsia="Times New Roman"/>
          <w:iCs/>
          <w:sz w:val="28"/>
          <w:szCs w:val="28"/>
          <w:lang w:val="es-ES_tradnl"/>
        </w:rPr>
        <w:t xml:space="preserve">Congreso, que debe respetar un contenido mínimo de autonomía a dichas entidades. </w:t>
      </w:r>
      <w:r w:rsidR="00FD06CB" w:rsidRPr="0078289D">
        <w:rPr>
          <w:rFonts w:eastAsia="Times New Roman"/>
          <w:iCs/>
          <w:sz w:val="28"/>
          <w:szCs w:val="28"/>
          <w:lang w:val="es-ES_tradnl"/>
        </w:rPr>
        <w:t>En consecuencia, la pregunta obvia que surge es ¿</w:t>
      </w:r>
      <w:r w:rsidR="001F3AE9" w:rsidRPr="0078289D">
        <w:rPr>
          <w:rFonts w:eastAsia="Times New Roman"/>
          <w:iCs/>
          <w:sz w:val="28"/>
          <w:szCs w:val="28"/>
          <w:lang w:val="es-ES_tradnl"/>
        </w:rPr>
        <w:t>C</w:t>
      </w:r>
      <w:r w:rsidR="00651F7D" w:rsidRPr="0078289D">
        <w:rPr>
          <w:rFonts w:eastAsia="Times New Roman"/>
          <w:iCs/>
          <w:sz w:val="28"/>
          <w:szCs w:val="28"/>
          <w:lang w:val="es-ES_tradnl"/>
        </w:rPr>
        <w:t xml:space="preserve">uál es el alcance de esta autonomía otorgada por la Constitución a las Corporaciones Autónomas Regionales? </w:t>
      </w:r>
    </w:p>
    <w:p w:rsidR="00651F7D" w:rsidRPr="0078289D" w:rsidRDefault="00651F7D"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6F5D34" w:rsidRPr="0078289D" w:rsidRDefault="00651F7D"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 xml:space="preserve">La jurisprudencia de esta Corporación ha definido al menos </w:t>
      </w:r>
      <w:r w:rsidR="006F32D2" w:rsidRPr="0078289D">
        <w:rPr>
          <w:rFonts w:eastAsia="Times New Roman"/>
          <w:iCs/>
          <w:sz w:val="28"/>
          <w:szCs w:val="28"/>
          <w:lang w:val="es-ES_tradnl"/>
        </w:rPr>
        <w:t>tres</w:t>
      </w:r>
      <w:r w:rsidR="008F3278" w:rsidRPr="0078289D">
        <w:rPr>
          <w:rFonts w:eastAsia="Times New Roman"/>
          <w:iCs/>
          <w:sz w:val="28"/>
          <w:szCs w:val="28"/>
          <w:lang w:val="es-ES_tradnl"/>
        </w:rPr>
        <w:t xml:space="preserve"> grandes áreas en las cuales se manifiesta la autonomía de dichas entidades</w:t>
      </w:r>
      <w:r w:rsidR="005C01DD" w:rsidRPr="0078289D">
        <w:rPr>
          <w:rFonts w:eastAsia="Times New Roman"/>
          <w:iCs/>
          <w:sz w:val="28"/>
          <w:szCs w:val="28"/>
          <w:lang w:val="es-ES_tradnl"/>
        </w:rPr>
        <w:t>. Así, se ha referido a la autonomía</w:t>
      </w:r>
      <w:r w:rsidR="008F3278" w:rsidRPr="0078289D">
        <w:rPr>
          <w:rFonts w:eastAsia="Times New Roman"/>
          <w:iCs/>
          <w:sz w:val="28"/>
          <w:szCs w:val="28"/>
          <w:lang w:val="es-ES_tradnl"/>
        </w:rPr>
        <w:t xml:space="preserve">: </w:t>
      </w:r>
      <w:r w:rsidR="006F32D2" w:rsidRPr="0078289D">
        <w:rPr>
          <w:rFonts w:eastAsia="Times New Roman"/>
          <w:iCs/>
          <w:sz w:val="28"/>
          <w:szCs w:val="28"/>
          <w:lang w:val="es-ES_tradnl"/>
        </w:rPr>
        <w:t xml:space="preserve">a) administrativa u orgánica, </w:t>
      </w:r>
      <w:r w:rsidR="005C01DD" w:rsidRPr="0078289D">
        <w:rPr>
          <w:rFonts w:eastAsia="Times New Roman"/>
          <w:iCs/>
          <w:sz w:val="28"/>
          <w:szCs w:val="28"/>
          <w:lang w:val="es-ES_tradnl"/>
        </w:rPr>
        <w:t xml:space="preserve">b) </w:t>
      </w:r>
      <w:r w:rsidR="006F32D2" w:rsidRPr="0078289D">
        <w:rPr>
          <w:rFonts w:eastAsia="Times New Roman"/>
          <w:iCs/>
          <w:sz w:val="28"/>
          <w:szCs w:val="28"/>
          <w:lang w:val="es-ES_tradnl"/>
        </w:rPr>
        <w:t xml:space="preserve">financiera y patrimonial, y </w:t>
      </w:r>
      <w:r w:rsidR="005C01DD" w:rsidRPr="0078289D">
        <w:rPr>
          <w:rFonts w:eastAsia="Times New Roman"/>
          <w:iCs/>
          <w:sz w:val="28"/>
          <w:szCs w:val="28"/>
          <w:lang w:val="es-ES_tradnl"/>
        </w:rPr>
        <w:t xml:space="preserve">c) </w:t>
      </w:r>
      <w:r w:rsidR="00CD4BD8" w:rsidRPr="0078289D">
        <w:rPr>
          <w:rFonts w:eastAsia="Times New Roman"/>
          <w:iCs/>
          <w:sz w:val="28"/>
          <w:szCs w:val="28"/>
          <w:lang w:val="es-ES_tradnl"/>
        </w:rPr>
        <w:t xml:space="preserve">política y </w:t>
      </w:r>
      <w:r w:rsidR="006F32D2" w:rsidRPr="0078289D">
        <w:rPr>
          <w:rFonts w:eastAsia="Times New Roman"/>
          <w:iCs/>
          <w:sz w:val="28"/>
          <w:szCs w:val="28"/>
          <w:lang w:val="es-ES_tradnl"/>
        </w:rPr>
        <w:t xml:space="preserve">funcional. </w:t>
      </w:r>
      <w:r w:rsidR="005C01DD" w:rsidRPr="0078289D">
        <w:rPr>
          <w:rFonts w:eastAsia="Times New Roman"/>
          <w:iCs/>
          <w:sz w:val="28"/>
          <w:szCs w:val="28"/>
          <w:lang w:val="es-ES_tradnl"/>
        </w:rPr>
        <w:t>La Corte ha sostenido que las CAR cuentan con autonomía administrativa</w:t>
      </w:r>
      <w:r w:rsidR="00566E5F" w:rsidRPr="0078289D">
        <w:rPr>
          <w:rFonts w:eastAsia="Times New Roman"/>
          <w:iCs/>
          <w:sz w:val="28"/>
          <w:szCs w:val="28"/>
          <w:lang w:val="es-ES_tradnl"/>
        </w:rPr>
        <w:t xml:space="preserve"> u orgánica</w:t>
      </w:r>
      <w:r w:rsidR="005C01DD" w:rsidRPr="0078289D">
        <w:rPr>
          <w:rFonts w:eastAsia="Times New Roman"/>
          <w:iCs/>
          <w:sz w:val="28"/>
          <w:szCs w:val="28"/>
          <w:lang w:val="es-ES_tradnl"/>
        </w:rPr>
        <w:t xml:space="preserve">, pues si bien </w:t>
      </w:r>
      <w:r w:rsidR="006F5D34" w:rsidRPr="0078289D">
        <w:rPr>
          <w:rFonts w:eastAsia="Times New Roman"/>
          <w:iCs/>
          <w:sz w:val="28"/>
          <w:szCs w:val="28"/>
          <w:lang w:val="es-ES_tradnl"/>
        </w:rPr>
        <w:t xml:space="preserve">son consideradas para algunos efectos como entidades del orden nacional, no están adscritas a un ministerio o departamento administrativo. Así, </w:t>
      </w:r>
      <w:r w:rsidR="000B6C33" w:rsidRPr="0078289D">
        <w:rPr>
          <w:rFonts w:eastAsia="Times New Roman"/>
          <w:iCs/>
          <w:sz w:val="28"/>
          <w:szCs w:val="28"/>
          <w:lang w:val="es-ES_tradnl"/>
        </w:rPr>
        <w:t xml:space="preserve">en </w:t>
      </w:r>
      <w:r w:rsidR="006F5D34" w:rsidRPr="0078289D">
        <w:rPr>
          <w:rFonts w:eastAsia="Times New Roman"/>
          <w:iCs/>
          <w:sz w:val="28"/>
          <w:szCs w:val="28"/>
          <w:lang w:val="es-ES_tradnl"/>
        </w:rPr>
        <w:t xml:space="preserve">la </w:t>
      </w:r>
      <w:r w:rsidR="000B6C33" w:rsidRPr="0078289D">
        <w:rPr>
          <w:rFonts w:eastAsia="Times New Roman"/>
          <w:b/>
          <w:iCs/>
          <w:sz w:val="28"/>
          <w:szCs w:val="28"/>
          <w:lang w:val="es-ES_tradnl"/>
        </w:rPr>
        <w:t>Sentencia C-593 de 1995</w:t>
      </w:r>
      <w:r w:rsidR="000B6C33" w:rsidRPr="0078289D">
        <w:rPr>
          <w:rFonts w:eastAsia="Times New Roman"/>
          <w:iCs/>
          <w:sz w:val="28"/>
          <w:szCs w:val="28"/>
          <w:lang w:val="es-ES_tradnl"/>
        </w:rPr>
        <w:t xml:space="preserve"> (M.P. Fabio Morón Díaz), la Corte sostuvo</w:t>
      </w:r>
      <w:r w:rsidR="006F5D34" w:rsidRPr="0078289D">
        <w:rPr>
          <w:rFonts w:eastAsia="Times New Roman"/>
          <w:iCs/>
          <w:sz w:val="28"/>
          <w:szCs w:val="28"/>
          <w:lang w:val="es-ES_tradnl"/>
        </w:rPr>
        <w:t xml:space="preserve"> que:</w:t>
      </w:r>
    </w:p>
    <w:p w:rsidR="006F5D34" w:rsidRPr="0078289D" w:rsidRDefault="006F5D34"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212C2C" w:rsidRPr="0078289D" w:rsidRDefault="00212C2C"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CO"/>
        </w:rPr>
      </w:pPr>
      <w:r w:rsidRPr="0078289D">
        <w:rPr>
          <w:rFonts w:eastAsia="Times New Roman"/>
          <w:iCs/>
          <w:sz w:val="28"/>
          <w:szCs w:val="28"/>
          <w:lang w:val="es-CO"/>
        </w:rPr>
        <w:t>“</w:t>
      </w:r>
      <w:r w:rsidRPr="0078289D">
        <w:rPr>
          <w:rFonts w:eastAsia="Times New Roman"/>
          <w:i/>
          <w:iCs/>
          <w:sz w:val="28"/>
          <w:szCs w:val="28"/>
          <w:lang w:val="es-CO"/>
        </w:rPr>
        <w:t xml:space="preserve">Las corporaciones autónomas regionales son entidades administrativas del orden nacional que pueden representar a la Nación dentro del régimen de autonomía que les garantiza el numeral 7o. de la Constitución, y </w:t>
      </w:r>
      <w:r w:rsidRPr="0078289D">
        <w:rPr>
          <w:rFonts w:eastAsia="Times New Roman"/>
          <w:b/>
          <w:i/>
          <w:iCs/>
          <w:sz w:val="28"/>
          <w:szCs w:val="28"/>
          <w:lang w:val="es-CO"/>
        </w:rPr>
        <w:t>están concebidas por el Constituyente para la atención y el cumplimiento autónomo de muy precisos fines asignados por la Constitución misma o por la ley, sin que estén adscritas ni vinculadas a ningún ministerio o departamento administrativo; además, y en la medida definida por el legislador, respetando su autonomía financiera, patrimonial, administrativa y política</w:t>
      </w:r>
      <w:r w:rsidRPr="0078289D">
        <w:rPr>
          <w:rFonts w:eastAsia="Times New Roman"/>
          <w:i/>
          <w:iCs/>
          <w:sz w:val="28"/>
          <w:szCs w:val="28"/>
          <w:lang w:val="es-CO"/>
        </w:rPr>
        <w:t>, pueden ser agentes del Gobierno Nacional, para cumplir determinadas funciones autónomas en los casos señalados por la ley. Aquellas entidades, son organismos administrativos intermedios entre la Nación y las entidades territoriales, y entre la administración central nacional y la descentralizada por servicios y territorialmente, que están encargados, principalmente, aun cuando no exclusivamente, de funciones policivas, de control, de fomento, reglamentarias y ejecutivas relacionadas con la preservación del ambiente y con el aprovechamiento de los recursos naturales renovables, lo cual, y dentro del marco de lo dispuesto por el inciso segundo del artículo 339 de la Carta Política, las autoriza para participar, en los casos señalados en la ley, como agentes del Gobierno Nacional, en los procesos de elaboración y adopción concertada de los planes de desarrollo de las entidades territoriales, y en la armonización de políticas y de normas regulatorias que se dicten por las distintas autoridades competentes, como en el caso del numeral 7o. del artículo 313 de la Carta Política, con el objeto de asegurar el uso eficiente de sus recursos y el desempeño adecuado de las funciones que les hayan sido asignadas.</w:t>
      </w:r>
      <w:r w:rsidRPr="0078289D">
        <w:rPr>
          <w:rFonts w:eastAsia="Times New Roman"/>
          <w:iCs/>
          <w:sz w:val="28"/>
          <w:szCs w:val="28"/>
          <w:lang w:val="es-CO"/>
        </w:rPr>
        <w:t>”</w:t>
      </w:r>
    </w:p>
    <w:p w:rsidR="006F5D34" w:rsidRPr="0078289D" w:rsidRDefault="006F5D34"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AE10D7" w:rsidRPr="0078289D" w:rsidRDefault="00AE10D7"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sz w:val="28"/>
          <w:szCs w:val="28"/>
          <w:bdr w:val="none" w:sz="0" w:space="0" w:color="auto" w:frame="1"/>
          <w:lang w:val="es-CO" w:eastAsia="es-ES"/>
        </w:rPr>
      </w:pPr>
      <w:r w:rsidRPr="0078289D">
        <w:rPr>
          <w:rFonts w:eastAsia="Times New Roman"/>
          <w:iCs/>
          <w:sz w:val="28"/>
          <w:szCs w:val="28"/>
          <w:lang w:val="es-ES_tradnl"/>
        </w:rPr>
        <w:t xml:space="preserve">Así mismo, en una Sentencia posterior, la Corte sostuvo nuevamente el régimen de su autonomía a pesar de su adscripción formal al orden territorial. Así, </w:t>
      </w:r>
      <w:r w:rsidR="00B61DE8" w:rsidRPr="0078289D">
        <w:rPr>
          <w:rFonts w:eastAsia="Times New Roman"/>
          <w:iCs/>
          <w:sz w:val="28"/>
          <w:szCs w:val="28"/>
          <w:lang w:val="es-ES_tradnl"/>
        </w:rPr>
        <w:t>en</w:t>
      </w:r>
      <w:r w:rsidR="00E74ED4" w:rsidRPr="0078289D">
        <w:rPr>
          <w:rFonts w:eastAsia="Times New Roman"/>
          <w:iCs/>
          <w:sz w:val="28"/>
          <w:szCs w:val="28"/>
          <w:lang w:val="es-ES_tradnl"/>
        </w:rPr>
        <w:t xml:space="preserve"> la </w:t>
      </w:r>
      <w:r w:rsidRPr="0078289D">
        <w:rPr>
          <w:rFonts w:eastAsia="Times New Roman"/>
          <w:iCs/>
          <w:sz w:val="28"/>
          <w:szCs w:val="28"/>
          <w:lang w:val="es-ES_tradnl"/>
        </w:rPr>
        <w:t xml:space="preserve"> </w:t>
      </w:r>
      <w:r w:rsidR="00B61DE8" w:rsidRPr="0078289D">
        <w:rPr>
          <w:rFonts w:eastAsia="Times New Roman"/>
          <w:b/>
          <w:sz w:val="28"/>
          <w:szCs w:val="28"/>
          <w:bdr w:val="none" w:sz="0" w:space="0" w:color="auto" w:frame="1"/>
          <w:lang w:val="es-CO" w:eastAsia="es-ES"/>
        </w:rPr>
        <w:t>Sentencia C-275 de 19</w:t>
      </w:r>
      <w:r w:rsidRPr="0078289D">
        <w:rPr>
          <w:rFonts w:eastAsia="Times New Roman"/>
          <w:b/>
          <w:sz w:val="28"/>
          <w:szCs w:val="28"/>
          <w:bdr w:val="none" w:sz="0" w:space="0" w:color="auto" w:frame="1"/>
          <w:lang w:val="es-CO" w:eastAsia="es-ES"/>
        </w:rPr>
        <w:t xml:space="preserve">98 </w:t>
      </w:r>
      <w:r w:rsidRPr="0078289D">
        <w:rPr>
          <w:rFonts w:eastAsia="Times New Roman"/>
          <w:sz w:val="28"/>
          <w:szCs w:val="28"/>
          <w:bdr w:val="none" w:sz="0" w:space="0" w:color="auto" w:frame="1"/>
          <w:lang w:val="es-CO" w:eastAsia="es-ES"/>
        </w:rPr>
        <w:t xml:space="preserve">(M.P. Carmenza Isaza </w:t>
      </w:r>
      <w:r w:rsidR="00B61DE8" w:rsidRPr="0078289D">
        <w:rPr>
          <w:rFonts w:eastAsia="Times New Roman"/>
          <w:sz w:val="28"/>
          <w:szCs w:val="28"/>
          <w:bdr w:val="none" w:sz="0" w:space="0" w:color="auto" w:frame="1"/>
          <w:lang w:val="es-CO" w:eastAsia="es-ES"/>
        </w:rPr>
        <w:t>d</w:t>
      </w:r>
      <w:r w:rsidRPr="0078289D">
        <w:rPr>
          <w:rFonts w:eastAsia="Times New Roman"/>
          <w:sz w:val="28"/>
          <w:szCs w:val="28"/>
          <w:bdr w:val="none" w:sz="0" w:space="0" w:color="auto" w:frame="1"/>
          <w:lang w:val="es-CO" w:eastAsia="es-ES"/>
        </w:rPr>
        <w:t>e Gómez)</w:t>
      </w:r>
      <w:r w:rsidR="00B61DE8" w:rsidRPr="0078289D">
        <w:rPr>
          <w:rFonts w:eastAsia="Times New Roman"/>
          <w:sz w:val="28"/>
          <w:szCs w:val="28"/>
          <w:bdr w:val="none" w:sz="0" w:space="0" w:color="auto" w:frame="1"/>
          <w:lang w:val="es-CO" w:eastAsia="es-ES"/>
        </w:rPr>
        <w:t>, sostuvo:</w:t>
      </w:r>
    </w:p>
    <w:p w:rsidR="00AE10D7" w:rsidRPr="0078289D" w:rsidRDefault="00AE10D7" w:rsidP="0078289D">
      <w:pPr>
        <w:pBdr>
          <w:top w:val="none" w:sz="0" w:space="0" w:color="auto"/>
          <w:left w:val="none" w:sz="0" w:space="0" w:color="auto"/>
          <w:bottom w:val="none" w:sz="0" w:space="0" w:color="auto"/>
          <w:right w:val="none" w:sz="0" w:space="0" w:color="auto"/>
        </w:pBdr>
        <w:shd w:val="clear" w:color="auto" w:fill="FFFFFF"/>
        <w:ind w:firstLine="708"/>
        <w:jc w:val="both"/>
        <w:textAlignment w:val="baseline"/>
        <w:rPr>
          <w:rFonts w:eastAsia="Times New Roman"/>
          <w:b/>
          <w:sz w:val="28"/>
          <w:szCs w:val="28"/>
          <w:bdr w:val="none" w:sz="0" w:space="0" w:color="auto" w:frame="1"/>
          <w:lang w:val="es-CO" w:eastAsia="es-ES"/>
        </w:rPr>
      </w:pPr>
    </w:p>
    <w:p w:rsidR="00AE10D7" w:rsidRPr="0078289D" w:rsidRDefault="00B61DE8" w:rsidP="0078289D">
      <w:pPr>
        <w:pBdr>
          <w:top w:val="none" w:sz="0" w:space="0" w:color="auto"/>
          <w:left w:val="none" w:sz="0" w:space="0" w:color="auto"/>
          <w:bottom w:val="none" w:sz="0" w:space="0" w:color="auto"/>
          <w:right w:val="none" w:sz="0" w:space="0" w:color="auto"/>
        </w:pBdr>
        <w:shd w:val="clear" w:color="auto" w:fill="FFFFFF"/>
        <w:ind w:left="567"/>
        <w:jc w:val="both"/>
        <w:textAlignment w:val="baseline"/>
        <w:rPr>
          <w:rFonts w:eastAsia="Times New Roman"/>
          <w:sz w:val="28"/>
          <w:szCs w:val="28"/>
          <w:bdr w:val="none" w:sz="0" w:space="0" w:color="auto" w:frame="1"/>
          <w:lang w:val="es-CO" w:eastAsia="es-ES"/>
        </w:rPr>
      </w:pPr>
      <w:r w:rsidRPr="0078289D">
        <w:rPr>
          <w:rFonts w:eastAsia="Times New Roman"/>
          <w:sz w:val="28"/>
          <w:szCs w:val="28"/>
          <w:bdr w:val="none" w:sz="0" w:space="0" w:color="auto" w:frame="1"/>
          <w:lang w:val="es-CO" w:eastAsia="es-ES"/>
        </w:rPr>
        <w:t>“</w:t>
      </w:r>
      <w:r w:rsidR="00AE10D7" w:rsidRPr="0078289D">
        <w:rPr>
          <w:rFonts w:eastAsia="Times New Roman"/>
          <w:i/>
          <w:sz w:val="28"/>
          <w:szCs w:val="28"/>
          <w:bdr w:val="none" w:sz="0" w:space="0" w:color="auto" w:frame="1"/>
          <w:lang w:val="es-CO" w:eastAsia="es-ES"/>
        </w:rPr>
        <w:t>Es pues, claro, que en relación con esta materia, la Corte ha manifestado que las Corporaciones son personas jurídicas públicas del orden nacional, que cumplen cometidos públicos de interés del Estado y que con la promulgación de Constitución de 1991, gozan de un régimen de autonomía.</w:t>
      </w:r>
      <w:r w:rsidRPr="0078289D">
        <w:rPr>
          <w:rFonts w:eastAsia="Times New Roman"/>
          <w:sz w:val="28"/>
          <w:szCs w:val="28"/>
          <w:bdr w:val="none" w:sz="0" w:space="0" w:color="auto" w:frame="1"/>
          <w:lang w:val="es-CO" w:eastAsia="es-ES"/>
        </w:rPr>
        <w:t>”</w:t>
      </w:r>
    </w:p>
    <w:p w:rsidR="00AE10D7" w:rsidRPr="0078289D" w:rsidRDefault="00AE10D7"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566E5F" w:rsidRPr="0078289D" w:rsidRDefault="005179B2"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Ahora bien, como</w:t>
      </w:r>
      <w:r w:rsidR="00AF7DD3" w:rsidRPr="0078289D">
        <w:rPr>
          <w:rFonts w:eastAsia="Times New Roman"/>
          <w:iCs/>
          <w:sz w:val="28"/>
          <w:szCs w:val="28"/>
          <w:lang w:val="es-ES_tradnl"/>
        </w:rPr>
        <w:t xml:space="preserve"> s</w:t>
      </w:r>
      <w:r w:rsidRPr="0078289D">
        <w:rPr>
          <w:rFonts w:eastAsia="Times New Roman"/>
          <w:iCs/>
          <w:sz w:val="28"/>
          <w:szCs w:val="28"/>
          <w:lang w:val="es-ES_tradnl"/>
        </w:rPr>
        <w:t xml:space="preserve">e observa, </w:t>
      </w:r>
      <w:r w:rsidR="00AF7DD3" w:rsidRPr="0078289D">
        <w:rPr>
          <w:rFonts w:eastAsia="Times New Roman"/>
          <w:iCs/>
          <w:sz w:val="28"/>
          <w:szCs w:val="28"/>
          <w:lang w:val="es-ES_tradnl"/>
        </w:rPr>
        <w:t xml:space="preserve">para algunos propósitos </w:t>
      </w:r>
      <w:r w:rsidRPr="0078289D">
        <w:rPr>
          <w:rFonts w:eastAsia="Times New Roman"/>
          <w:iCs/>
          <w:sz w:val="28"/>
          <w:szCs w:val="28"/>
          <w:lang w:val="es-ES_tradnl"/>
        </w:rPr>
        <w:t>estas entidades hacen parte de la administración na</w:t>
      </w:r>
      <w:r w:rsidR="00693A57" w:rsidRPr="0078289D">
        <w:rPr>
          <w:rFonts w:eastAsia="Times New Roman"/>
          <w:iCs/>
          <w:sz w:val="28"/>
          <w:szCs w:val="28"/>
          <w:lang w:val="es-ES_tradnl"/>
        </w:rPr>
        <w:t xml:space="preserve">cional, incluso para efectos de actuar como agentes del gobierno nacional. Sin embargo, es claro que no están sujetas </w:t>
      </w:r>
      <w:r w:rsidR="00C4141D" w:rsidRPr="0078289D">
        <w:rPr>
          <w:rFonts w:eastAsia="Times New Roman"/>
          <w:iCs/>
          <w:sz w:val="28"/>
          <w:szCs w:val="28"/>
          <w:lang w:val="es-ES_tradnl"/>
        </w:rPr>
        <w:t xml:space="preserve">a un control jerárquico por parte del gobierno nacional. La </w:t>
      </w:r>
      <w:r w:rsidR="00E35CD0" w:rsidRPr="0078289D">
        <w:rPr>
          <w:rFonts w:eastAsia="Times New Roman"/>
          <w:iCs/>
          <w:sz w:val="28"/>
          <w:szCs w:val="28"/>
          <w:lang w:val="es-ES_tradnl"/>
        </w:rPr>
        <w:t xml:space="preserve">Corte ha sostenido en reiteradas ocasiones que la </w:t>
      </w:r>
      <w:r w:rsidR="00C4141D" w:rsidRPr="0078289D">
        <w:rPr>
          <w:rFonts w:eastAsia="Times New Roman"/>
          <w:iCs/>
          <w:sz w:val="28"/>
          <w:szCs w:val="28"/>
          <w:lang w:val="es-ES_tradnl"/>
        </w:rPr>
        <w:t xml:space="preserve">relación entre las CAR y el gobierno nacional debe entenderse a partir de una interpretación </w:t>
      </w:r>
      <w:r w:rsidR="00E35CD0" w:rsidRPr="0078289D">
        <w:rPr>
          <w:rFonts w:eastAsia="Times New Roman"/>
          <w:iCs/>
          <w:sz w:val="28"/>
          <w:szCs w:val="28"/>
          <w:lang w:val="es-ES_tradnl"/>
        </w:rPr>
        <w:t xml:space="preserve">sistemática y teleológica de la Constitución, y en particular, a partir de la voluntad del Constituyente de darle mayor injerencia a </w:t>
      </w:r>
      <w:r w:rsidR="00290EA3" w:rsidRPr="0078289D">
        <w:rPr>
          <w:rFonts w:eastAsia="Times New Roman"/>
          <w:iCs/>
          <w:sz w:val="28"/>
          <w:szCs w:val="28"/>
          <w:lang w:val="es-ES_tradnl"/>
        </w:rPr>
        <w:t xml:space="preserve">las entidades del orden regional en la gestión de sus intereses. En la </w:t>
      </w:r>
      <w:r w:rsidR="00290EA3" w:rsidRPr="0078289D">
        <w:rPr>
          <w:rFonts w:eastAsia="Times New Roman"/>
          <w:b/>
          <w:iCs/>
          <w:sz w:val="28"/>
          <w:szCs w:val="28"/>
          <w:lang w:val="es-ES_tradnl"/>
        </w:rPr>
        <w:t>Sentencia C-994 de 2000</w:t>
      </w:r>
      <w:r w:rsidR="00290EA3" w:rsidRPr="0078289D">
        <w:rPr>
          <w:rFonts w:eastAsia="Times New Roman"/>
          <w:iCs/>
          <w:sz w:val="28"/>
          <w:szCs w:val="28"/>
          <w:lang w:val="es-ES_tradnl"/>
        </w:rPr>
        <w:t xml:space="preserve"> (M.P. Alejandro Martínez Caballero), la Corte sostuvo:</w:t>
      </w:r>
    </w:p>
    <w:p w:rsidR="00E35CD0" w:rsidRPr="0078289D" w:rsidRDefault="00E35CD0"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E35CD0" w:rsidRPr="0078289D" w:rsidRDefault="002A1550"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_tradnl"/>
        </w:rPr>
      </w:pPr>
      <w:r w:rsidRPr="0078289D">
        <w:rPr>
          <w:rFonts w:eastAsia="Times New Roman"/>
          <w:iCs/>
          <w:sz w:val="28"/>
          <w:szCs w:val="28"/>
          <w:lang w:val="es-CO"/>
        </w:rPr>
        <w:t>“</w:t>
      </w:r>
      <w:r w:rsidR="00E35CD0" w:rsidRPr="0078289D">
        <w:rPr>
          <w:rFonts w:eastAsia="Times New Roman"/>
          <w:i/>
          <w:iCs/>
          <w:sz w:val="28"/>
          <w:szCs w:val="28"/>
          <w:lang w:val="es-CO"/>
        </w:rPr>
        <w:t>En varias oportunidades, esta Corte ha analizado la naturaleza jurídica de las CARs y ha concluido que éstas, si bien “son personas jurídicas públicas del orden nacional, que cumplen cometidos públicos de interés del Estado”, es igualmente cierto que “con la promulgación de Constitución de 1991, gozan de un régimen de autonomía”</w:t>
      </w:r>
      <w:r w:rsidR="00290EA3" w:rsidRPr="0078289D">
        <w:rPr>
          <w:rFonts w:eastAsia="Times New Roman"/>
          <w:i/>
          <w:iCs/>
          <w:sz w:val="28"/>
          <w:szCs w:val="28"/>
          <w:lang w:val="es-CO"/>
        </w:rPr>
        <w:t>.</w:t>
      </w:r>
      <w:r w:rsidR="00E35CD0" w:rsidRPr="0078289D">
        <w:rPr>
          <w:rFonts w:eastAsia="Times New Roman"/>
          <w:i/>
          <w:iCs/>
          <w:sz w:val="28"/>
          <w:szCs w:val="28"/>
          <w:lang w:val="es-CO"/>
        </w:rPr>
        <w:t xml:space="preserve"> Este régimen especial de las CARs (CP art. 150 ord 7º) </w:t>
      </w:r>
      <w:r w:rsidR="00E35CD0" w:rsidRPr="0078289D">
        <w:rPr>
          <w:rFonts w:eastAsia="Times New Roman"/>
          <w:b/>
          <w:i/>
          <w:iCs/>
          <w:sz w:val="28"/>
          <w:szCs w:val="28"/>
          <w:lang w:val="es-CO"/>
        </w:rPr>
        <w:t>se explica porque la Carta, en desarrollo del principio constitucional de autonomía (CP art. 1º), quiso conferir a las regiones un papel más dinámico en la gestión de sus intereses, incluso de los ambientales.</w:t>
      </w:r>
      <w:r w:rsidRPr="0078289D">
        <w:rPr>
          <w:rFonts w:eastAsia="Times New Roman"/>
          <w:iCs/>
          <w:sz w:val="28"/>
          <w:szCs w:val="28"/>
          <w:lang w:val="es-CO"/>
        </w:rPr>
        <w:t>”</w:t>
      </w:r>
    </w:p>
    <w:p w:rsidR="00E35CD0" w:rsidRPr="0078289D" w:rsidRDefault="00E35CD0"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64490F" w:rsidRPr="0078289D" w:rsidRDefault="00D222BF"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M</w:t>
      </w:r>
      <w:r w:rsidR="0064490F" w:rsidRPr="0078289D">
        <w:rPr>
          <w:rFonts w:eastAsia="Times New Roman"/>
          <w:iCs/>
          <w:sz w:val="28"/>
          <w:szCs w:val="28"/>
          <w:lang w:val="es-ES_tradnl"/>
        </w:rPr>
        <w:t>ás adelante</w:t>
      </w:r>
      <w:r w:rsidRPr="0078289D">
        <w:rPr>
          <w:rFonts w:eastAsia="Times New Roman"/>
          <w:iCs/>
          <w:sz w:val="28"/>
          <w:szCs w:val="28"/>
          <w:lang w:val="es-ES_tradnl"/>
        </w:rPr>
        <w:t xml:space="preserve"> agregó</w:t>
      </w:r>
      <w:r w:rsidR="0064490F" w:rsidRPr="0078289D">
        <w:rPr>
          <w:rFonts w:eastAsia="Times New Roman"/>
          <w:iCs/>
          <w:sz w:val="28"/>
          <w:szCs w:val="28"/>
          <w:lang w:val="es-ES_tradnl"/>
        </w:rPr>
        <w:t>:</w:t>
      </w:r>
    </w:p>
    <w:p w:rsidR="0064490F" w:rsidRPr="0078289D" w:rsidRDefault="0064490F"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64490F" w:rsidRPr="0078289D" w:rsidRDefault="0064490F"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_tradnl"/>
        </w:rPr>
      </w:pPr>
      <w:r w:rsidRPr="0078289D">
        <w:rPr>
          <w:rFonts w:eastAsia="Times New Roman"/>
          <w:i/>
          <w:iCs/>
          <w:sz w:val="28"/>
          <w:szCs w:val="28"/>
          <w:lang w:val="es-ES_tradnl"/>
        </w:rPr>
        <w:t>“(…) el mandato de coordinación entre las distintas autoridades ambientales no puede traducirse en una subordinación orgánica de las CARs a las autoridades nacionales, que anule el contenido de autonomía de las CARs. Y es que no se puede olvidar que el texto constitucional es claro en este punto: corresponde a la ley reglamentar la creación y funcionamiento de las CARS pero “dentro de un régimen de autonomía” (CP art. 150 ord. 7º)</w:t>
      </w:r>
      <w:r w:rsidRPr="0078289D">
        <w:rPr>
          <w:rFonts w:eastAsia="Times New Roman"/>
          <w:iCs/>
          <w:sz w:val="28"/>
          <w:szCs w:val="28"/>
          <w:lang w:val="es-ES_tradnl"/>
        </w:rPr>
        <w:t>”</w:t>
      </w:r>
    </w:p>
    <w:p w:rsidR="0064490F" w:rsidRPr="0078289D" w:rsidRDefault="0064490F"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BE4E8F" w:rsidRPr="0078289D" w:rsidRDefault="00BE4E8F"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 xml:space="preserve">Ahora bien, si ello es así, </w:t>
      </w:r>
      <w:r w:rsidR="00992605" w:rsidRPr="0078289D">
        <w:rPr>
          <w:rFonts w:eastAsia="Times New Roman"/>
          <w:iCs/>
          <w:sz w:val="28"/>
          <w:szCs w:val="28"/>
          <w:lang w:val="es-ES_tradnl"/>
        </w:rPr>
        <w:t xml:space="preserve">si el propósito del constituyente </w:t>
      </w:r>
      <w:r w:rsidR="003F739F" w:rsidRPr="0078289D">
        <w:rPr>
          <w:rFonts w:eastAsia="Times New Roman"/>
          <w:iCs/>
          <w:sz w:val="28"/>
          <w:szCs w:val="28"/>
          <w:lang w:val="es-ES_tradnl"/>
        </w:rPr>
        <w:t xml:space="preserve">al </w:t>
      </w:r>
      <w:r w:rsidR="00D806A7" w:rsidRPr="0078289D">
        <w:rPr>
          <w:rFonts w:eastAsia="Times New Roman"/>
          <w:iCs/>
          <w:sz w:val="28"/>
          <w:szCs w:val="28"/>
          <w:lang w:val="es-ES_tradnl"/>
        </w:rPr>
        <w:t xml:space="preserve">establecer que </w:t>
      </w:r>
      <w:r w:rsidR="00D6195A" w:rsidRPr="0078289D">
        <w:rPr>
          <w:rFonts w:eastAsia="Times New Roman"/>
          <w:iCs/>
          <w:sz w:val="28"/>
          <w:szCs w:val="28"/>
          <w:lang w:val="es-ES_tradnl"/>
        </w:rPr>
        <w:t>el Congreso debe reglamentar la “</w:t>
      </w:r>
      <w:r w:rsidR="00D6195A" w:rsidRPr="0078289D">
        <w:rPr>
          <w:rFonts w:eastAsia="Times New Roman"/>
          <w:i/>
          <w:iCs/>
          <w:sz w:val="28"/>
          <w:szCs w:val="28"/>
          <w:lang w:val="es-ES_tradnl"/>
        </w:rPr>
        <w:t>creación y funcionamiento</w:t>
      </w:r>
      <w:r w:rsidR="00D6195A" w:rsidRPr="0078289D">
        <w:rPr>
          <w:rFonts w:eastAsia="Times New Roman"/>
          <w:iCs/>
          <w:sz w:val="28"/>
          <w:szCs w:val="28"/>
          <w:lang w:val="es-ES_tradnl"/>
        </w:rPr>
        <w:t>”</w:t>
      </w:r>
      <w:r w:rsidR="003F739F" w:rsidRPr="0078289D">
        <w:rPr>
          <w:rFonts w:eastAsia="Times New Roman"/>
          <w:iCs/>
          <w:sz w:val="28"/>
          <w:szCs w:val="28"/>
          <w:lang w:val="es-ES_tradnl"/>
        </w:rPr>
        <w:t xml:space="preserve"> </w:t>
      </w:r>
      <w:r w:rsidR="00D6195A" w:rsidRPr="0078289D">
        <w:rPr>
          <w:rFonts w:eastAsia="Times New Roman"/>
          <w:iCs/>
          <w:sz w:val="28"/>
          <w:szCs w:val="28"/>
          <w:lang w:val="es-ES_tradnl"/>
        </w:rPr>
        <w:t xml:space="preserve">de </w:t>
      </w:r>
      <w:r w:rsidR="003F739F" w:rsidRPr="0078289D">
        <w:rPr>
          <w:rFonts w:eastAsia="Times New Roman"/>
          <w:iCs/>
          <w:sz w:val="28"/>
          <w:szCs w:val="28"/>
          <w:lang w:val="es-ES_tradnl"/>
        </w:rPr>
        <w:t xml:space="preserve">las CAR </w:t>
      </w:r>
      <w:r w:rsidR="00D6195A" w:rsidRPr="0078289D">
        <w:rPr>
          <w:rFonts w:eastAsia="Times New Roman"/>
          <w:iCs/>
          <w:sz w:val="28"/>
          <w:szCs w:val="28"/>
          <w:lang w:val="es-ES_tradnl"/>
        </w:rPr>
        <w:t xml:space="preserve">dentro de un régimen de autonomía </w:t>
      </w:r>
      <w:r w:rsidR="00992605" w:rsidRPr="0078289D">
        <w:rPr>
          <w:rFonts w:eastAsia="Times New Roman"/>
          <w:iCs/>
          <w:sz w:val="28"/>
          <w:szCs w:val="28"/>
          <w:lang w:val="es-ES_tradnl"/>
        </w:rPr>
        <w:t xml:space="preserve">es precisamente </w:t>
      </w:r>
      <w:r w:rsidR="00D806A7" w:rsidRPr="0078289D">
        <w:rPr>
          <w:rFonts w:eastAsia="Times New Roman"/>
          <w:iCs/>
          <w:sz w:val="28"/>
          <w:szCs w:val="28"/>
          <w:lang w:val="es-ES_tradnl"/>
        </w:rPr>
        <w:t xml:space="preserve">garantizar que las regiones tengan mayor injerencia sobre </w:t>
      </w:r>
      <w:r w:rsidR="0065522D" w:rsidRPr="0078289D">
        <w:rPr>
          <w:rFonts w:eastAsia="Times New Roman"/>
          <w:iCs/>
          <w:sz w:val="28"/>
          <w:szCs w:val="28"/>
          <w:lang w:val="es-ES_tradnl"/>
        </w:rPr>
        <w:t xml:space="preserve">sus intereses ambientales, es necesario concluir que dichas entidades gozan de autonomía funcional. </w:t>
      </w:r>
      <w:r w:rsidR="00F11E64" w:rsidRPr="0078289D">
        <w:rPr>
          <w:rFonts w:eastAsia="Times New Roman"/>
          <w:iCs/>
          <w:sz w:val="28"/>
          <w:szCs w:val="28"/>
          <w:lang w:val="es-ES_tradnl"/>
        </w:rPr>
        <w:t xml:space="preserve">Al respecto la jurisprudencia ha adoptado </w:t>
      </w:r>
      <w:r w:rsidR="00932CB9" w:rsidRPr="0078289D">
        <w:rPr>
          <w:rFonts w:eastAsia="Times New Roman"/>
          <w:iCs/>
          <w:sz w:val="28"/>
          <w:szCs w:val="28"/>
          <w:lang w:val="es-ES_tradnl"/>
        </w:rPr>
        <w:t>y aplicado en reiteradas ocasiones un criterio</w:t>
      </w:r>
      <w:r w:rsidR="00F11E64" w:rsidRPr="0078289D">
        <w:rPr>
          <w:rFonts w:eastAsia="Times New Roman"/>
          <w:iCs/>
          <w:sz w:val="28"/>
          <w:szCs w:val="28"/>
          <w:lang w:val="es-ES_tradnl"/>
        </w:rPr>
        <w:t xml:space="preserve"> b</w:t>
      </w:r>
      <w:r w:rsidR="00932CB9" w:rsidRPr="0078289D">
        <w:rPr>
          <w:rFonts w:eastAsia="Times New Roman"/>
          <w:iCs/>
          <w:sz w:val="28"/>
          <w:szCs w:val="28"/>
          <w:lang w:val="es-ES_tradnl"/>
        </w:rPr>
        <w:t>ásico</w:t>
      </w:r>
      <w:r w:rsidR="00F11E64" w:rsidRPr="0078289D">
        <w:rPr>
          <w:rFonts w:eastAsia="Times New Roman"/>
          <w:iCs/>
          <w:sz w:val="28"/>
          <w:szCs w:val="28"/>
          <w:lang w:val="es-ES_tradnl"/>
        </w:rPr>
        <w:t xml:space="preserve">: el principio de </w:t>
      </w:r>
      <w:r w:rsidR="00CD12D5" w:rsidRPr="0078289D">
        <w:rPr>
          <w:rFonts w:eastAsia="Times New Roman"/>
          <w:iCs/>
          <w:sz w:val="28"/>
          <w:szCs w:val="28"/>
          <w:lang w:val="es-ES_tradnl"/>
        </w:rPr>
        <w:t xml:space="preserve">rigor subsidiario, que prohíbe atribuirle a una entidad del orden nacional una competencia propia </w:t>
      </w:r>
      <w:r w:rsidR="0062292C" w:rsidRPr="0078289D">
        <w:rPr>
          <w:rFonts w:eastAsia="Times New Roman"/>
          <w:iCs/>
          <w:sz w:val="28"/>
          <w:szCs w:val="28"/>
          <w:lang w:val="es-ES_tradnl"/>
        </w:rPr>
        <w:t xml:space="preserve">del orden regional, departamental o municipal, a menos que </w:t>
      </w:r>
      <w:r w:rsidR="00664B0D" w:rsidRPr="0078289D">
        <w:rPr>
          <w:rFonts w:eastAsia="Times New Roman"/>
          <w:iCs/>
          <w:sz w:val="28"/>
          <w:szCs w:val="28"/>
          <w:lang w:val="es-ES_tradnl"/>
        </w:rPr>
        <w:t xml:space="preserve">ello esté justificado en la necesidad de garantizar un bien jurídico que desborda el ámbito de competencia de la entidad a la cual le corresponde. </w:t>
      </w:r>
      <w:r w:rsidR="00D33947" w:rsidRPr="0078289D">
        <w:rPr>
          <w:rFonts w:eastAsia="Times New Roman"/>
          <w:iCs/>
          <w:sz w:val="28"/>
          <w:szCs w:val="28"/>
          <w:lang w:val="es-ES_tradnl"/>
        </w:rPr>
        <w:t>El criterio adoptado en la Sentencia C-593 de 1995</w:t>
      </w:r>
      <w:r w:rsidR="00D47B4E" w:rsidRPr="0078289D">
        <w:rPr>
          <w:rFonts w:eastAsia="Times New Roman"/>
          <w:iCs/>
          <w:sz w:val="28"/>
          <w:szCs w:val="28"/>
          <w:lang w:val="es-ES_tradnl"/>
        </w:rPr>
        <w:t xml:space="preserve"> mencionada anteriormente fue reiterado en la </w:t>
      </w:r>
      <w:r w:rsidR="00052DEB" w:rsidRPr="0078289D">
        <w:rPr>
          <w:rFonts w:eastAsia="Times New Roman"/>
          <w:b/>
          <w:iCs/>
          <w:sz w:val="28"/>
          <w:szCs w:val="28"/>
          <w:lang w:val="es-ES_tradnl"/>
        </w:rPr>
        <w:t xml:space="preserve">Sentencia </w:t>
      </w:r>
      <w:r w:rsidR="00D47B4E" w:rsidRPr="0078289D">
        <w:rPr>
          <w:rFonts w:eastAsia="Times New Roman"/>
          <w:b/>
          <w:iCs/>
          <w:sz w:val="28"/>
          <w:szCs w:val="28"/>
          <w:lang w:val="es-ES_tradnl"/>
        </w:rPr>
        <w:t>C-462 de 2008</w:t>
      </w:r>
      <w:r w:rsidR="00D47B4E" w:rsidRPr="0078289D">
        <w:rPr>
          <w:rFonts w:eastAsia="Times New Roman"/>
          <w:iCs/>
          <w:sz w:val="28"/>
          <w:szCs w:val="28"/>
          <w:lang w:val="es-ES_tradnl"/>
        </w:rPr>
        <w:t xml:space="preserve"> (M.P. Marco Gerardo Monroy Cabra), que sostuvo:</w:t>
      </w:r>
    </w:p>
    <w:p w:rsidR="00932CB9" w:rsidRPr="0078289D" w:rsidRDefault="00932CB9"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932CB9" w:rsidRPr="0078289D" w:rsidRDefault="00932CB9"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
        </w:rPr>
      </w:pPr>
      <w:r w:rsidRPr="0078289D">
        <w:rPr>
          <w:rFonts w:eastAsia="Times New Roman"/>
          <w:iCs/>
          <w:sz w:val="28"/>
          <w:szCs w:val="28"/>
          <w:lang w:val="es-ES"/>
        </w:rPr>
        <w:lastRenderedPageBreak/>
        <w:t>“</w:t>
      </w:r>
      <w:r w:rsidRPr="0078289D">
        <w:rPr>
          <w:rFonts w:eastAsia="Times New Roman"/>
          <w:i/>
          <w:iCs/>
          <w:sz w:val="28"/>
          <w:szCs w:val="28"/>
          <w:lang w:val="es-ES"/>
        </w:rPr>
        <w:t>En primer lugar, debe tenerse presente que, según Sentencia C-593 de 1995, la autonomía de las Corporaciones Autónomas Regionales es financiera, patrimonial y administrativa.</w:t>
      </w:r>
    </w:p>
    <w:p w:rsidR="00932CB9" w:rsidRPr="0078289D" w:rsidRDefault="00932CB9"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
        </w:rPr>
      </w:pPr>
    </w:p>
    <w:p w:rsidR="00932CB9" w:rsidRPr="0078289D" w:rsidRDefault="00932CB9"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
          <w:iCs/>
          <w:sz w:val="28"/>
          <w:szCs w:val="28"/>
          <w:lang w:val="es-ES"/>
        </w:rPr>
      </w:pPr>
      <w:r w:rsidRPr="0078289D">
        <w:rPr>
          <w:rFonts w:eastAsia="Times New Roman"/>
          <w:iCs/>
          <w:sz w:val="28"/>
          <w:szCs w:val="28"/>
          <w:lang w:val="es-ES"/>
        </w:rPr>
        <w:t>“</w:t>
      </w:r>
      <w:r w:rsidRPr="0078289D">
        <w:rPr>
          <w:rFonts w:eastAsia="Times New Roman"/>
          <w:i/>
          <w:iCs/>
          <w:sz w:val="28"/>
          <w:szCs w:val="28"/>
          <w:lang w:val="es-ES"/>
        </w:rPr>
        <w:t>En segundo lugar, la Corte precisó que el impacto del bien jurídico sobre el que se ejerce la función administrativa determina el nivel de autonomía de la entidad. </w:t>
      </w:r>
      <w:r w:rsidR="00D33947" w:rsidRPr="0078289D">
        <w:rPr>
          <w:rFonts w:eastAsia="Times New Roman"/>
          <w:i/>
          <w:iCs/>
          <w:sz w:val="28"/>
          <w:szCs w:val="28"/>
          <w:lang w:val="es-ES"/>
        </w:rPr>
        <w:t>‘</w:t>
      </w:r>
      <w:r w:rsidRPr="0078289D">
        <w:rPr>
          <w:rFonts w:eastAsia="Times New Roman"/>
          <w:iCs/>
          <w:sz w:val="28"/>
          <w:szCs w:val="28"/>
          <w:lang w:val="es-ES"/>
        </w:rPr>
        <w:t xml:space="preserve">La autonomía de una entidad está limitada por la incidencia que tengan sus funciones sobre otros bienes jurídico - constitucionales, más allá de los cometidos encargados a ellas. En esa medida, el legislador puede limitar su autonomía, </w:t>
      </w:r>
      <w:r w:rsidRPr="0078289D">
        <w:rPr>
          <w:rFonts w:eastAsia="Times New Roman"/>
          <w:b/>
          <w:iCs/>
          <w:sz w:val="28"/>
          <w:szCs w:val="28"/>
          <w:lang w:val="es-ES"/>
        </w:rPr>
        <w:t>en la medida en que alguna de sus funciones repercutan significativamente sobre intereses o bienes jurídicos cuya protección supere el ámbito de su competencia</w:t>
      </w:r>
      <w:r w:rsidR="00D33947" w:rsidRPr="0078289D">
        <w:rPr>
          <w:rFonts w:eastAsia="Times New Roman"/>
          <w:i/>
          <w:iCs/>
          <w:sz w:val="28"/>
          <w:szCs w:val="28"/>
          <w:lang w:val="es-ES"/>
        </w:rPr>
        <w:t>’</w:t>
      </w:r>
    </w:p>
    <w:p w:rsidR="00932CB9" w:rsidRPr="0078289D" w:rsidRDefault="00932CB9"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CO"/>
        </w:rPr>
      </w:pPr>
    </w:p>
    <w:p w:rsidR="00932CB9" w:rsidRPr="0078289D" w:rsidRDefault="00D33947"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_tradnl"/>
        </w:rPr>
      </w:pPr>
      <w:r w:rsidRPr="0078289D">
        <w:rPr>
          <w:rFonts w:eastAsia="Times New Roman"/>
          <w:iCs/>
          <w:sz w:val="28"/>
          <w:szCs w:val="28"/>
          <w:lang w:val="es-CO"/>
        </w:rPr>
        <w:t>“</w:t>
      </w:r>
      <w:r w:rsidR="00932CB9" w:rsidRPr="0078289D">
        <w:rPr>
          <w:rFonts w:eastAsia="Times New Roman"/>
          <w:i/>
          <w:iCs/>
          <w:sz w:val="28"/>
          <w:szCs w:val="28"/>
          <w:lang w:val="es-CO"/>
        </w:rPr>
        <w:t>De lo todo lo dicho se tiene entonces que las Corporaciones Autónomas Regionales, tal como lo ordena la Carta, deben contar con un régimen de autonomía.</w:t>
      </w:r>
      <w:r w:rsidR="00932CB9" w:rsidRPr="0078289D">
        <w:rPr>
          <w:rFonts w:eastAsia="Times New Roman"/>
          <w:iCs/>
          <w:sz w:val="28"/>
          <w:szCs w:val="28"/>
          <w:lang w:val="es-CO"/>
        </w:rPr>
        <w:t>”</w:t>
      </w:r>
      <w:r w:rsidR="00052DEB" w:rsidRPr="0078289D">
        <w:rPr>
          <w:rFonts w:eastAsia="Times New Roman"/>
          <w:iCs/>
          <w:sz w:val="28"/>
          <w:szCs w:val="28"/>
          <w:lang w:val="es-CO"/>
        </w:rPr>
        <w:t xml:space="preserve"> (resaltado fuera de texto original)</w:t>
      </w:r>
    </w:p>
    <w:p w:rsidR="0064490F" w:rsidRPr="0078289D" w:rsidRDefault="0064490F"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574B40" w:rsidRPr="0078289D" w:rsidRDefault="00574B40"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r w:rsidRPr="0078289D">
        <w:rPr>
          <w:rFonts w:eastAsia="Times New Roman"/>
          <w:iCs/>
          <w:sz w:val="28"/>
          <w:szCs w:val="28"/>
          <w:lang w:val="es-ES_tradnl"/>
        </w:rPr>
        <w:t xml:space="preserve">Posteriormente </w:t>
      </w:r>
      <w:r w:rsidR="007A0CCD" w:rsidRPr="0078289D">
        <w:rPr>
          <w:rFonts w:eastAsia="Times New Roman"/>
          <w:iCs/>
          <w:sz w:val="28"/>
          <w:szCs w:val="28"/>
          <w:lang w:val="es-ES_tradnl"/>
        </w:rPr>
        <w:t>reiteró</w:t>
      </w:r>
      <w:r w:rsidRPr="0078289D">
        <w:rPr>
          <w:rFonts w:eastAsia="Times New Roman"/>
          <w:iCs/>
          <w:sz w:val="28"/>
          <w:szCs w:val="28"/>
          <w:lang w:val="es-ES_tradnl"/>
        </w:rPr>
        <w:t xml:space="preserve"> dicha Sentencia que</w:t>
      </w:r>
      <w:r w:rsidR="00E66C0D" w:rsidRPr="0078289D">
        <w:rPr>
          <w:rFonts w:eastAsia="Times New Roman"/>
          <w:iCs/>
          <w:sz w:val="28"/>
          <w:szCs w:val="28"/>
          <w:lang w:val="es-ES_tradnl"/>
        </w:rPr>
        <w:t xml:space="preserve"> aunque es posible limitar la autonomía </w:t>
      </w:r>
      <w:r w:rsidR="004B6010" w:rsidRPr="0078289D">
        <w:rPr>
          <w:rFonts w:eastAsia="Times New Roman"/>
          <w:iCs/>
          <w:sz w:val="28"/>
          <w:szCs w:val="28"/>
          <w:lang w:val="es-ES_tradnl"/>
        </w:rPr>
        <w:t>de las CAR,</w:t>
      </w:r>
      <w:r w:rsidR="00E66C0D" w:rsidRPr="0078289D">
        <w:rPr>
          <w:rFonts w:eastAsia="Times New Roman"/>
          <w:iCs/>
          <w:sz w:val="28"/>
          <w:szCs w:val="28"/>
          <w:lang w:val="es-ES_tradnl"/>
        </w:rPr>
        <w:t xml:space="preserve"> </w:t>
      </w:r>
      <w:r w:rsidR="004B6010" w:rsidRPr="0078289D">
        <w:rPr>
          <w:rFonts w:eastAsia="Times New Roman"/>
          <w:iCs/>
          <w:sz w:val="28"/>
          <w:szCs w:val="28"/>
          <w:lang w:val="es-ES_tradnl"/>
        </w:rPr>
        <w:t>el</w:t>
      </w:r>
      <w:r w:rsidR="00E66C0D" w:rsidRPr="0078289D">
        <w:rPr>
          <w:rFonts w:eastAsia="Times New Roman"/>
          <w:iCs/>
          <w:sz w:val="28"/>
          <w:szCs w:val="28"/>
          <w:lang w:val="es-ES_tradnl"/>
        </w:rPr>
        <w:t xml:space="preserve"> principio </w:t>
      </w:r>
      <w:r w:rsidR="004B6010" w:rsidRPr="0078289D">
        <w:rPr>
          <w:rFonts w:eastAsia="Times New Roman"/>
          <w:iCs/>
          <w:sz w:val="28"/>
          <w:szCs w:val="28"/>
          <w:lang w:val="es-ES_tradnl"/>
        </w:rPr>
        <w:t xml:space="preserve">de rigor subsidiario </w:t>
      </w:r>
      <w:r w:rsidR="00E66C0D" w:rsidRPr="0078289D">
        <w:rPr>
          <w:rFonts w:eastAsia="Times New Roman"/>
          <w:iCs/>
          <w:sz w:val="28"/>
          <w:szCs w:val="28"/>
          <w:lang w:val="es-ES_tradnl"/>
        </w:rPr>
        <w:t xml:space="preserve">tiene repercusiones en </w:t>
      </w:r>
      <w:r w:rsidR="004B6010" w:rsidRPr="0078289D">
        <w:rPr>
          <w:rFonts w:eastAsia="Times New Roman"/>
          <w:iCs/>
          <w:sz w:val="28"/>
          <w:szCs w:val="28"/>
          <w:lang w:val="es-ES_tradnl"/>
        </w:rPr>
        <w:t>relación con las funciones de dichas entidades</w:t>
      </w:r>
      <w:r w:rsidR="00E66C0D" w:rsidRPr="0078289D">
        <w:rPr>
          <w:rFonts w:eastAsia="Times New Roman"/>
          <w:iCs/>
          <w:sz w:val="28"/>
          <w:szCs w:val="28"/>
          <w:lang w:val="es-ES_tradnl"/>
        </w:rPr>
        <w:t>. Al respecto dijo la Corte</w:t>
      </w:r>
      <w:r w:rsidRPr="0078289D">
        <w:rPr>
          <w:rFonts w:eastAsia="Times New Roman"/>
          <w:iCs/>
          <w:sz w:val="28"/>
          <w:szCs w:val="28"/>
          <w:lang w:val="es-ES_tradnl"/>
        </w:rPr>
        <w:t>:</w:t>
      </w:r>
    </w:p>
    <w:p w:rsidR="00574B40" w:rsidRPr="0078289D" w:rsidRDefault="00574B40" w:rsidP="0078289D">
      <w:pPr>
        <w:pBdr>
          <w:top w:val="none" w:sz="0" w:space="0" w:color="auto"/>
          <w:left w:val="none" w:sz="0" w:space="0" w:color="auto"/>
          <w:bottom w:val="none" w:sz="0" w:space="0" w:color="auto"/>
          <w:right w:val="none" w:sz="0" w:space="0" w:color="auto"/>
        </w:pBdr>
        <w:tabs>
          <w:tab w:val="left" w:pos="5529"/>
          <w:tab w:val="left" w:pos="8222"/>
        </w:tabs>
        <w:contextualSpacing/>
        <w:jc w:val="both"/>
        <w:rPr>
          <w:rFonts w:eastAsia="Times New Roman"/>
          <w:iCs/>
          <w:sz w:val="28"/>
          <w:szCs w:val="28"/>
          <w:lang w:val="es-ES_tradnl"/>
        </w:rPr>
      </w:pPr>
    </w:p>
    <w:p w:rsidR="00992605" w:rsidRPr="0078289D" w:rsidRDefault="00574B40"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_tradnl"/>
        </w:rPr>
      </w:pPr>
      <w:r w:rsidRPr="0078289D">
        <w:rPr>
          <w:rFonts w:eastAsia="Times New Roman"/>
          <w:iCs/>
          <w:sz w:val="28"/>
          <w:szCs w:val="28"/>
          <w:lang w:val="es-CO"/>
        </w:rPr>
        <w:t>“</w:t>
      </w:r>
      <w:r w:rsidRPr="0078289D">
        <w:rPr>
          <w:rFonts w:eastAsia="Times New Roman"/>
          <w:i/>
          <w:iCs/>
          <w:sz w:val="28"/>
          <w:szCs w:val="28"/>
          <w:lang w:val="es-CO"/>
        </w:rPr>
        <w:t xml:space="preserve">Con todo, </w:t>
      </w:r>
      <w:r w:rsidRPr="0078289D">
        <w:rPr>
          <w:rFonts w:eastAsia="Times New Roman"/>
          <w:b/>
          <w:i/>
          <w:iCs/>
          <w:sz w:val="28"/>
          <w:szCs w:val="28"/>
          <w:lang w:val="es-CO"/>
        </w:rPr>
        <w:t>la posibilidad de limitar el ámbito de su autonomía no puede llegar al punto de impedir que las CAR ejerzan plenamente sus funciones</w:t>
      </w:r>
      <w:r w:rsidRPr="0078289D">
        <w:rPr>
          <w:rFonts w:eastAsia="Times New Roman"/>
          <w:i/>
          <w:iCs/>
          <w:sz w:val="28"/>
          <w:szCs w:val="28"/>
          <w:lang w:val="es-CO"/>
        </w:rPr>
        <w:t>, así como tampoco puede invadir los aspectos funcionales que se refieran a asuntos meramente locales.</w:t>
      </w:r>
      <w:r w:rsidRPr="0078289D">
        <w:rPr>
          <w:rFonts w:eastAsia="Times New Roman"/>
          <w:iCs/>
          <w:sz w:val="28"/>
          <w:szCs w:val="28"/>
          <w:lang w:val="es-CO"/>
        </w:rPr>
        <w:t>”</w:t>
      </w:r>
      <w:r w:rsidR="004B6010" w:rsidRPr="0078289D">
        <w:rPr>
          <w:rFonts w:eastAsia="Times New Roman"/>
          <w:iCs/>
          <w:sz w:val="28"/>
          <w:szCs w:val="28"/>
          <w:lang w:val="es-CO"/>
        </w:rPr>
        <w:t xml:space="preserve"> (resaltado fuera de texto original)</w:t>
      </w:r>
    </w:p>
    <w:p w:rsidR="00C46F19" w:rsidRPr="0078289D" w:rsidRDefault="00C46F19" w:rsidP="0078289D">
      <w:pPr>
        <w:pBdr>
          <w:top w:val="none" w:sz="0" w:space="0" w:color="auto"/>
          <w:left w:val="none" w:sz="0" w:space="0" w:color="auto"/>
          <w:bottom w:val="none" w:sz="0" w:space="0" w:color="auto"/>
          <w:right w:val="none" w:sz="0" w:space="0" w:color="auto"/>
        </w:pBdr>
        <w:tabs>
          <w:tab w:val="left" w:pos="5529"/>
          <w:tab w:val="left" w:pos="8222"/>
        </w:tabs>
        <w:ind w:left="567"/>
        <w:contextualSpacing/>
        <w:jc w:val="both"/>
        <w:rPr>
          <w:rFonts w:eastAsia="Times New Roman"/>
          <w:iCs/>
          <w:sz w:val="28"/>
          <w:szCs w:val="28"/>
          <w:lang w:val="es-ES_tradnl"/>
        </w:rPr>
      </w:pPr>
    </w:p>
    <w:p w:rsidR="00840465" w:rsidRDefault="007A0CAE"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100. </w:t>
      </w:r>
      <w:r w:rsidR="00C46F19" w:rsidRPr="0078289D">
        <w:rPr>
          <w:rFonts w:eastAsia="Times New Roman"/>
          <w:sz w:val="28"/>
          <w:szCs w:val="28"/>
          <w:lang w:val="es-ES_tradnl" w:eastAsia="es-ES"/>
        </w:rPr>
        <w:t>En virtud del anterior recuento jurisprudencial, l</w:t>
      </w:r>
      <w:r w:rsidR="00840465" w:rsidRPr="0078289D">
        <w:rPr>
          <w:rFonts w:eastAsia="Times New Roman"/>
          <w:sz w:val="28"/>
          <w:szCs w:val="28"/>
          <w:lang w:val="es-ES_tradnl" w:eastAsia="es-ES"/>
        </w:rPr>
        <w:t xml:space="preserve">a Sala advierte que si bien la figura de las Corporaciones Autónomas Regionales fue consagrada en el artículo 150 de la Constitución Política, no existe una norma superior que establezca las funciones de dichas entidades, </w:t>
      </w:r>
      <w:r w:rsidR="00602B08" w:rsidRPr="0078289D">
        <w:rPr>
          <w:rFonts w:eastAsia="Times New Roman"/>
          <w:sz w:val="28"/>
          <w:szCs w:val="28"/>
          <w:lang w:val="es-ES_tradnl" w:eastAsia="es-ES"/>
        </w:rPr>
        <w:t>que deben</w:t>
      </w:r>
      <w:r w:rsidR="00840465" w:rsidRPr="0078289D">
        <w:rPr>
          <w:rFonts w:eastAsia="Times New Roman"/>
          <w:sz w:val="28"/>
          <w:szCs w:val="28"/>
          <w:lang w:val="es-ES_tradnl" w:eastAsia="es-ES"/>
        </w:rPr>
        <w:t xml:space="preserve"> </w:t>
      </w:r>
      <w:r w:rsidR="00602B08" w:rsidRPr="0078289D">
        <w:rPr>
          <w:rFonts w:eastAsia="Times New Roman"/>
          <w:sz w:val="28"/>
          <w:szCs w:val="28"/>
          <w:lang w:val="es-ES_tradnl" w:eastAsia="es-ES"/>
        </w:rPr>
        <w:t>ser</w:t>
      </w:r>
      <w:r w:rsidR="00840465" w:rsidRPr="0078289D">
        <w:rPr>
          <w:rFonts w:eastAsia="Times New Roman"/>
          <w:sz w:val="28"/>
          <w:szCs w:val="28"/>
          <w:lang w:val="es-ES_tradnl" w:eastAsia="es-ES"/>
        </w:rPr>
        <w:t xml:space="preserve"> desarrolladas por normas legales. No obstante, la jurisprudencia de la Corte Constitucional ha reconocid</w:t>
      </w:r>
      <w:r w:rsidR="00A97DD1" w:rsidRPr="0078289D">
        <w:rPr>
          <w:rFonts w:eastAsia="Times New Roman"/>
          <w:sz w:val="28"/>
          <w:szCs w:val="28"/>
          <w:lang w:val="es-ES_tradnl" w:eastAsia="es-ES"/>
        </w:rPr>
        <w:t>o que la configuración legal de las funciones de las</w:t>
      </w:r>
      <w:r w:rsidR="00840465" w:rsidRPr="0078289D">
        <w:rPr>
          <w:rFonts w:eastAsia="Times New Roman"/>
          <w:sz w:val="28"/>
          <w:szCs w:val="28"/>
          <w:lang w:val="es-ES_tradnl" w:eastAsia="es-ES"/>
        </w:rPr>
        <w:t xml:space="preserve"> CAR </w:t>
      </w:r>
      <w:r w:rsidR="00A97DD1" w:rsidRPr="0078289D">
        <w:rPr>
          <w:rFonts w:eastAsia="Times New Roman"/>
          <w:sz w:val="28"/>
          <w:szCs w:val="28"/>
          <w:lang w:val="es-ES_tradnl" w:eastAsia="es-ES"/>
        </w:rPr>
        <w:t xml:space="preserve">debe </w:t>
      </w:r>
      <w:r w:rsidR="001F43C0" w:rsidRPr="0078289D">
        <w:rPr>
          <w:rFonts w:eastAsia="Times New Roman"/>
          <w:sz w:val="28"/>
          <w:szCs w:val="28"/>
          <w:lang w:val="es-ES_tradnl" w:eastAsia="es-ES"/>
        </w:rPr>
        <w:t>reconocer ese régimen</w:t>
      </w:r>
      <w:r w:rsidR="00840465" w:rsidRPr="0078289D">
        <w:rPr>
          <w:rFonts w:eastAsia="Times New Roman"/>
          <w:sz w:val="28"/>
          <w:szCs w:val="28"/>
          <w:lang w:val="es-ES_tradnl" w:eastAsia="es-ES"/>
        </w:rPr>
        <w:t xml:space="preserve"> </w:t>
      </w:r>
      <w:r w:rsidR="001F43C0" w:rsidRPr="0078289D">
        <w:rPr>
          <w:rFonts w:eastAsia="Times New Roman"/>
          <w:sz w:val="28"/>
          <w:szCs w:val="28"/>
          <w:lang w:val="es-ES_tradnl" w:eastAsia="es-ES"/>
        </w:rPr>
        <w:t xml:space="preserve">mínimo </w:t>
      </w:r>
      <w:r w:rsidR="00840465" w:rsidRPr="0078289D">
        <w:rPr>
          <w:rFonts w:eastAsia="Times New Roman"/>
          <w:sz w:val="28"/>
          <w:szCs w:val="28"/>
          <w:lang w:val="es-ES_tradnl" w:eastAsia="es-ES"/>
        </w:rPr>
        <w:t xml:space="preserve">de autonomía que debe ser protegido por el juez constitucional. </w:t>
      </w:r>
    </w:p>
    <w:p w:rsidR="00735180" w:rsidRPr="0078289D" w:rsidRDefault="00735180" w:rsidP="0078289D">
      <w:pPr>
        <w:pBdr>
          <w:top w:val="none" w:sz="0" w:space="0" w:color="auto"/>
          <w:left w:val="none" w:sz="0" w:space="0" w:color="auto"/>
          <w:bottom w:val="none" w:sz="0" w:space="0" w:color="auto"/>
          <w:right w:val="none" w:sz="0" w:space="0" w:color="auto"/>
        </w:pBdr>
        <w:tabs>
          <w:tab w:val="left" w:pos="8222"/>
        </w:tabs>
        <w:contextualSpacing/>
        <w:jc w:val="both"/>
        <w:rPr>
          <w:rFonts w:eastAsia="Times New Roman"/>
          <w:sz w:val="28"/>
          <w:szCs w:val="28"/>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tabs>
          <w:tab w:val="left" w:pos="8222"/>
        </w:tabs>
        <w:contextualSpacing/>
        <w:jc w:val="both"/>
        <w:rPr>
          <w:rFonts w:eastAsia="Times New Roman"/>
          <w:sz w:val="28"/>
          <w:szCs w:val="28"/>
          <w:lang w:val="es-ES_tradnl" w:eastAsia="es-ES"/>
        </w:rPr>
      </w:pPr>
      <w:r w:rsidRPr="0078289D">
        <w:rPr>
          <w:rFonts w:eastAsia="Times New Roman"/>
          <w:sz w:val="28"/>
          <w:szCs w:val="28"/>
          <w:lang w:val="es-ES_tradnl" w:eastAsia="es-ES"/>
        </w:rPr>
        <w:t xml:space="preserve">Por lo tanto, para resolver el planteamiento de los demandantes es necesario establecer la manera en que está estructurada la distribución de competencias en materia medio ambiental. En este sentido, la Corte debe identificar el alcance de la autonomía de las Corporaciones Autónomas Regionales a partir de los postulados constitucionales, de la jurisprudencia de la Corte Constitucional y del régimen jurídico de dichas entidades.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b/>
          <w:sz w:val="28"/>
          <w:szCs w:val="28"/>
          <w:lang w:val="es-ES_tradnl"/>
        </w:rPr>
      </w:pPr>
    </w:p>
    <w:p w:rsidR="00840465" w:rsidRPr="0078289D" w:rsidRDefault="007A0CAE" w:rsidP="0078289D">
      <w:pPr>
        <w:pBdr>
          <w:top w:val="none" w:sz="0" w:space="0" w:color="auto"/>
          <w:left w:val="none" w:sz="0" w:space="0" w:color="auto"/>
          <w:bottom w:val="none" w:sz="0" w:space="0" w:color="auto"/>
          <w:right w:val="none" w:sz="0" w:space="0" w:color="auto"/>
        </w:pBdr>
        <w:tabs>
          <w:tab w:val="left" w:pos="8222"/>
        </w:tabs>
        <w:contextualSpacing/>
        <w:jc w:val="both"/>
        <w:rPr>
          <w:sz w:val="28"/>
          <w:szCs w:val="28"/>
          <w:lang w:val="es-ES_tradnl"/>
        </w:rPr>
      </w:pPr>
      <w:r w:rsidRPr="0078289D">
        <w:rPr>
          <w:sz w:val="28"/>
          <w:szCs w:val="28"/>
          <w:lang w:val="es-ES_tradnl"/>
        </w:rPr>
        <w:t xml:space="preserve">101. </w:t>
      </w:r>
      <w:r w:rsidR="00840465" w:rsidRPr="0078289D">
        <w:rPr>
          <w:sz w:val="28"/>
          <w:szCs w:val="28"/>
          <w:lang w:val="es-ES_tradnl"/>
        </w:rPr>
        <w:t xml:space="preserve">En consecuencia, la Sala deberá </w:t>
      </w:r>
      <w:r w:rsidR="00857E51" w:rsidRPr="0078289D">
        <w:rPr>
          <w:sz w:val="28"/>
          <w:szCs w:val="28"/>
          <w:lang w:val="es-ES_tradnl"/>
        </w:rPr>
        <w:t>resolver</w:t>
      </w:r>
      <w:r w:rsidR="00840465" w:rsidRPr="0078289D">
        <w:rPr>
          <w:sz w:val="28"/>
          <w:szCs w:val="28"/>
          <w:lang w:val="es-ES_tradnl"/>
        </w:rPr>
        <w:t xml:space="preserve"> el siguiente problema jurídico:</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sz w:val="28"/>
          <w:szCs w:val="28"/>
          <w:lang w:val="es-ES_tradnl"/>
        </w:rPr>
      </w:pPr>
      <w:r w:rsidRPr="0078289D">
        <w:rPr>
          <w:sz w:val="28"/>
          <w:szCs w:val="28"/>
          <w:lang w:val="es-ES_tradnl"/>
        </w:rPr>
        <w:t xml:space="preserve">¿Una ley que faculta a la autoridad nacional ambiental a tramitar, de manera exclusiva, los permisos y licencias ambientales </w:t>
      </w:r>
      <w:r w:rsidR="009A335F" w:rsidRPr="0078289D">
        <w:rPr>
          <w:sz w:val="28"/>
          <w:szCs w:val="28"/>
          <w:lang w:val="es-ES_tradnl"/>
        </w:rPr>
        <w:t>en relación con</w:t>
      </w:r>
      <w:r w:rsidRPr="0078289D">
        <w:rPr>
          <w:sz w:val="28"/>
          <w:szCs w:val="28"/>
          <w:lang w:val="es-ES_tradnl"/>
        </w:rPr>
        <w:t xml:space="preserve"> los proyectos </w:t>
      </w:r>
      <w:r w:rsidRPr="0078289D">
        <w:rPr>
          <w:sz w:val="28"/>
          <w:szCs w:val="28"/>
          <w:lang w:val="es-ES_tradnl"/>
        </w:rPr>
        <w:lastRenderedPageBreak/>
        <w:t xml:space="preserve">de interés estratégico </w:t>
      </w:r>
      <w:r w:rsidR="009A335F" w:rsidRPr="0078289D">
        <w:rPr>
          <w:sz w:val="28"/>
          <w:szCs w:val="28"/>
          <w:lang w:val="es-ES_tradnl"/>
        </w:rPr>
        <w:t>y nacional</w:t>
      </w:r>
      <w:r w:rsidRPr="0078289D">
        <w:rPr>
          <w:sz w:val="28"/>
          <w:szCs w:val="28"/>
          <w:lang w:val="es-ES_tradnl"/>
        </w:rPr>
        <w:t xml:space="preserve"> vulnera </w:t>
      </w:r>
      <w:r w:rsidR="009A335F" w:rsidRPr="0078289D">
        <w:rPr>
          <w:sz w:val="28"/>
          <w:szCs w:val="28"/>
          <w:lang w:val="es-ES_tradnl"/>
        </w:rPr>
        <w:t xml:space="preserve">la </w:t>
      </w:r>
      <w:r w:rsidRPr="0078289D">
        <w:rPr>
          <w:sz w:val="28"/>
          <w:szCs w:val="28"/>
          <w:lang w:val="es-ES_tradnl"/>
        </w:rPr>
        <w:t xml:space="preserve">autonomía </w:t>
      </w:r>
      <w:r w:rsidR="00857E51" w:rsidRPr="0078289D">
        <w:rPr>
          <w:sz w:val="28"/>
          <w:szCs w:val="28"/>
          <w:lang w:val="es-ES_tradnl"/>
        </w:rPr>
        <w:t xml:space="preserve">que el </w:t>
      </w:r>
      <w:r w:rsidR="009A335F" w:rsidRPr="0078289D">
        <w:rPr>
          <w:sz w:val="28"/>
          <w:szCs w:val="28"/>
          <w:lang w:val="es-ES_tradnl"/>
        </w:rPr>
        <w:t>Congreso</w:t>
      </w:r>
      <w:r w:rsidR="00857E51" w:rsidRPr="0078289D">
        <w:rPr>
          <w:sz w:val="28"/>
          <w:szCs w:val="28"/>
          <w:lang w:val="es-ES_tradnl"/>
        </w:rPr>
        <w:t xml:space="preserve"> debe reconocerle a</w:t>
      </w:r>
      <w:r w:rsidRPr="0078289D">
        <w:rPr>
          <w:sz w:val="28"/>
          <w:szCs w:val="28"/>
          <w:lang w:val="es-ES_tradnl"/>
        </w:rPr>
        <w:t xml:space="preserve"> las Corporaciones Autónomas Regionales</w:t>
      </w:r>
      <w:r w:rsidR="00857E51" w:rsidRPr="0078289D">
        <w:rPr>
          <w:sz w:val="28"/>
          <w:szCs w:val="28"/>
          <w:lang w:val="es-ES_tradnl"/>
        </w:rPr>
        <w:t xml:space="preserve"> en general,</w:t>
      </w:r>
      <w:r w:rsidRPr="0078289D">
        <w:rPr>
          <w:sz w:val="28"/>
          <w:szCs w:val="28"/>
          <w:lang w:val="es-ES_tradnl"/>
        </w:rPr>
        <w:t xml:space="preserve"> y </w:t>
      </w:r>
      <w:r w:rsidR="00AA1F6E" w:rsidRPr="0078289D">
        <w:rPr>
          <w:sz w:val="28"/>
          <w:szCs w:val="28"/>
          <w:lang w:val="es-ES_tradnl"/>
        </w:rPr>
        <w:t xml:space="preserve">específicamente </w:t>
      </w:r>
      <w:r w:rsidR="00857E51" w:rsidRPr="0078289D">
        <w:rPr>
          <w:sz w:val="28"/>
          <w:szCs w:val="28"/>
          <w:lang w:val="es-ES_tradnl"/>
        </w:rPr>
        <w:t>a</w:t>
      </w:r>
      <w:r w:rsidRPr="0078289D">
        <w:rPr>
          <w:sz w:val="28"/>
          <w:szCs w:val="28"/>
          <w:lang w:val="es-ES_tradnl"/>
        </w:rPr>
        <w:t xml:space="preserve"> la </w:t>
      </w:r>
      <w:r w:rsidRPr="0078289D">
        <w:rPr>
          <w:rFonts w:eastAsia="Times New Roman"/>
          <w:sz w:val="28"/>
          <w:szCs w:val="28"/>
          <w:lang w:val="es-ES_tradnl" w:eastAsia="es-ES"/>
        </w:rPr>
        <w:t>Corporación Autónoma del Río Grande de la Magdalena</w:t>
      </w:r>
      <w:r w:rsidRPr="0078289D">
        <w:rPr>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tabs>
          <w:tab w:val="left" w:pos="8222"/>
        </w:tabs>
        <w:contextualSpacing/>
        <w:jc w:val="both"/>
        <w:rPr>
          <w:sz w:val="28"/>
          <w:szCs w:val="28"/>
          <w:lang w:val="es-ES_tradnl"/>
        </w:rPr>
      </w:pPr>
      <w:r w:rsidRPr="0078289D">
        <w:rPr>
          <w:sz w:val="28"/>
          <w:szCs w:val="28"/>
          <w:lang w:val="es-ES_tradnl"/>
        </w:rPr>
        <w:t xml:space="preserve">Para responder el anterior problema jurídico, la presente </w:t>
      </w:r>
      <w:r w:rsidR="00AA1F6E" w:rsidRPr="0078289D">
        <w:rPr>
          <w:sz w:val="28"/>
          <w:szCs w:val="28"/>
          <w:lang w:val="es-ES_tradnl"/>
        </w:rPr>
        <w:t>sentencia</w:t>
      </w:r>
      <w:r w:rsidRPr="0078289D">
        <w:rPr>
          <w:sz w:val="28"/>
          <w:szCs w:val="28"/>
          <w:lang w:val="es-ES_tradnl"/>
        </w:rPr>
        <w:t xml:space="preserve"> abordará los siguientes temas:</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5C1CCF" w:rsidP="0078289D">
      <w:pPr>
        <w:pStyle w:val="Prrafodelista"/>
        <w:numPr>
          <w:ilvl w:val="0"/>
          <w:numId w:val="16"/>
        </w:numPr>
        <w:pBdr>
          <w:top w:val="none" w:sz="0" w:space="0" w:color="auto"/>
          <w:left w:val="none" w:sz="0" w:space="0" w:color="auto"/>
          <w:bottom w:val="none" w:sz="0" w:space="0" w:color="auto"/>
          <w:right w:val="none" w:sz="0" w:space="0" w:color="auto"/>
        </w:pBdr>
        <w:contextualSpacing/>
        <w:jc w:val="both"/>
        <w:rPr>
          <w:rFonts w:hAnsi="Times New Roman" w:cs="Times New Roman"/>
          <w:sz w:val="28"/>
          <w:szCs w:val="28"/>
        </w:rPr>
      </w:pPr>
      <w:r w:rsidRPr="0078289D">
        <w:rPr>
          <w:rFonts w:hAnsi="Times New Roman" w:cs="Times New Roman"/>
          <w:sz w:val="28"/>
          <w:szCs w:val="28"/>
        </w:rPr>
        <w:t>La d</w:t>
      </w:r>
      <w:r w:rsidR="00840465" w:rsidRPr="0078289D">
        <w:rPr>
          <w:rFonts w:hAnsi="Times New Roman" w:cs="Times New Roman"/>
          <w:sz w:val="28"/>
          <w:szCs w:val="28"/>
        </w:rPr>
        <w:t xml:space="preserve">istribución de competencias en materia medio ambiental entre las entidades del orden nacional y territorial. </w:t>
      </w:r>
    </w:p>
    <w:p w:rsidR="007A0CAE" w:rsidRPr="0078289D" w:rsidRDefault="007A0CAE" w:rsidP="0078289D">
      <w:pPr>
        <w:pBdr>
          <w:top w:val="none" w:sz="0" w:space="0" w:color="auto"/>
          <w:left w:val="none" w:sz="0" w:space="0" w:color="auto"/>
          <w:bottom w:val="none" w:sz="0" w:space="0" w:color="auto"/>
          <w:right w:val="none" w:sz="0" w:space="0" w:color="auto"/>
        </w:pBdr>
        <w:contextualSpacing/>
        <w:jc w:val="both"/>
        <w:rPr>
          <w:sz w:val="28"/>
          <w:szCs w:val="28"/>
          <w:u w:color="000000"/>
          <w:lang w:val="es-ES_tradnl" w:eastAsia="es-ES"/>
        </w:rPr>
      </w:pPr>
    </w:p>
    <w:p w:rsidR="00840465" w:rsidRPr="0078289D" w:rsidRDefault="00840465" w:rsidP="0078289D">
      <w:pPr>
        <w:pStyle w:val="Prrafodelista"/>
        <w:numPr>
          <w:ilvl w:val="0"/>
          <w:numId w:val="16"/>
        </w:numPr>
        <w:pBdr>
          <w:top w:val="none" w:sz="0" w:space="0" w:color="auto"/>
          <w:left w:val="none" w:sz="0" w:space="0" w:color="auto"/>
          <w:bottom w:val="none" w:sz="0" w:space="0" w:color="auto"/>
          <w:right w:val="none" w:sz="0" w:space="0" w:color="auto"/>
        </w:pBdr>
        <w:contextualSpacing/>
        <w:jc w:val="both"/>
        <w:rPr>
          <w:rFonts w:hAnsi="Times New Roman" w:cs="Times New Roman"/>
          <w:sz w:val="28"/>
          <w:szCs w:val="28"/>
        </w:rPr>
      </w:pPr>
      <w:r w:rsidRPr="0078289D">
        <w:rPr>
          <w:rFonts w:hAnsi="Times New Roman" w:cs="Times New Roman"/>
          <w:sz w:val="28"/>
          <w:szCs w:val="28"/>
        </w:rPr>
        <w:t xml:space="preserve">Los principios de coordinación y rigor subsidiario como elementos de armonización entre los principios de Estado unitario y autonomía de las entidades territoriales.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5C1CCF" w:rsidP="0078289D">
      <w:pPr>
        <w:pBdr>
          <w:top w:val="none" w:sz="0" w:space="0" w:color="auto"/>
          <w:left w:val="none" w:sz="0" w:space="0" w:color="auto"/>
          <w:bottom w:val="none" w:sz="0" w:space="0" w:color="auto"/>
          <w:right w:val="none" w:sz="0" w:space="0" w:color="auto"/>
        </w:pBdr>
        <w:contextualSpacing/>
        <w:jc w:val="both"/>
        <w:rPr>
          <w:i/>
          <w:sz w:val="28"/>
          <w:szCs w:val="28"/>
          <w:lang w:val="es-ES_tradnl"/>
        </w:rPr>
      </w:pPr>
      <w:r w:rsidRPr="0078289D">
        <w:rPr>
          <w:b/>
          <w:i/>
          <w:sz w:val="28"/>
          <w:szCs w:val="28"/>
          <w:lang w:val="es-ES_tradnl"/>
        </w:rPr>
        <w:t>La d</w:t>
      </w:r>
      <w:r w:rsidR="00840465" w:rsidRPr="0078289D">
        <w:rPr>
          <w:b/>
          <w:i/>
          <w:sz w:val="28"/>
          <w:szCs w:val="28"/>
          <w:lang w:val="es-ES_tradnl"/>
        </w:rPr>
        <w:t>istribución de competencias en materia medio ambiental entre las entidades del orden nacional y territorial.</w:t>
      </w:r>
      <w:r w:rsidR="00840465" w:rsidRPr="0078289D">
        <w:rPr>
          <w:i/>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b/>
          <w:sz w:val="28"/>
          <w:szCs w:val="28"/>
          <w:lang w:val="es-ES_tradnl"/>
        </w:rPr>
      </w:pPr>
    </w:p>
    <w:p w:rsidR="00840465" w:rsidRPr="0078289D" w:rsidRDefault="005C1CCF"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 xml:space="preserve">102. </w:t>
      </w:r>
      <w:r w:rsidR="00840465" w:rsidRPr="0078289D">
        <w:rPr>
          <w:sz w:val="28"/>
          <w:szCs w:val="28"/>
          <w:lang w:val="es-ES_tradnl"/>
        </w:rPr>
        <w:t xml:space="preserve">Tal y como se ha indicado, el Constituyente reconoció la continuación de la figura de las Corporaciones Autónomas Regionales en un régimen de autonomía. A su vez, la Ley 99 de 1993 reguló lo atinente a las entidades encargadas de ejecutar las políticas públicas en material ambiental. Así,  realizó un reparto de competencias entre las entidades del sector central, como es el caso del Ministerio de Ambiente, y a su vez, </w:t>
      </w:r>
      <w:r w:rsidR="009A24AB" w:rsidRPr="0078289D">
        <w:rPr>
          <w:sz w:val="28"/>
          <w:szCs w:val="28"/>
          <w:lang w:val="es-ES_tradnl"/>
        </w:rPr>
        <w:t>definió</w:t>
      </w:r>
      <w:r w:rsidR="00840465" w:rsidRPr="0078289D">
        <w:rPr>
          <w:sz w:val="28"/>
          <w:szCs w:val="28"/>
          <w:lang w:val="es-ES_tradnl"/>
        </w:rPr>
        <w:t xml:space="preserve"> las funciones que le corresponden a las CAR. En particular, una de las funci</w:t>
      </w:r>
      <w:r w:rsidR="009A24AB" w:rsidRPr="0078289D">
        <w:rPr>
          <w:sz w:val="28"/>
          <w:szCs w:val="28"/>
          <w:lang w:val="es-ES_tradnl"/>
        </w:rPr>
        <w:t>ones que le fue asignada a dicha</w:t>
      </w:r>
      <w:r w:rsidR="00840465" w:rsidRPr="0078289D">
        <w:rPr>
          <w:sz w:val="28"/>
          <w:szCs w:val="28"/>
          <w:lang w:val="es-ES_tradnl"/>
        </w:rPr>
        <w:t xml:space="preserve">s </w:t>
      </w:r>
      <w:r w:rsidR="009A24AB" w:rsidRPr="0078289D">
        <w:rPr>
          <w:sz w:val="28"/>
          <w:szCs w:val="28"/>
          <w:lang w:val="es-ES_tradnl"/>
        </w:rPr>
        <w:t>corporaciones</w:t>
      </w:r>
      <w:r w:rsidR="00840465" w:rsidRPr="0078289D">
        <w:rPr>
          <w:sz w:val="28"/>
          <w:szCs w:val="28"/>
          <w:lang w:val="es-ES_tradnl"/>
        </w:rPr>
        <w:t xml:space="preserve"> está relacionada con la expedición de licencias ambientales. Así, el artículo 31 de la Ley 99 de 1993 establece en su numeral 9º que dichas entidades están facultadas para otorgar concesiones, permisos, autorizaciones y </w:t>
      </w:r>
      <w:r w:rsidR="00840465" w:rsidRPr="0078289D">
        <w:rPr>
          <w:b/>
          <w:sz w:val="28"/>
          <w:szCs w:val="28"/>
          <w:lang w:val="es-ES_tradnl"/>
        </w:rPr>
        <w:t xml:space="preserve">licencias ambientales </w:t>
      </w:r>
      <w:r w:rsidR="00840465" w:rsidRPr="0078289D">
        <w:rPr>
          <w:sz w:val="28"/>
          <w:szCs w:val="28"/>
          <w:lang w:val="es-ES_tradnl"/>
        </w:rPr>
        <w:t>para el aprovechamiento de los recursos naturales renovables y otro tipo de actividades que generen u</w:t>
      </w:r>
      <w:r w:rsidR="00842767" w:rsidRPr="0078289D">
        <w:rPr>
          <w:sz w:val="28"/>
          <w:szCs w:val="28"/>
          <w:lang w:val="es-ES_tradnl"/>
        </w:rPr>
        <w:t>na afectación al medio ambiente</w:t>
      </w:r>
      <w:r w:rsidR="008701C4" w:rsidRPr="0078289D">
        <w:rPr>
          <w:sz w:val="28"/>
          <w:szCs w:val="28"/>
          <w:lang w:val="es-ES_tradnl"/>
        </w:rPr>
        <w:t>, así</w:t>
      </w:r>
      <w:r w:rsidR="00840465" w:rsidRPr="0078289D">
        <w:rPr>
          <w:sz w:val="28"/>
          <w:szCs w:val="28"/>
          <w:lang w:val="es-ES_tradnl"/>
        </w:rPr>
        <w:t>:</w:t>
      </w:r>
    </w:p>
    <w:p w:rsidR="008701C4" w:rsidRPr="0078289D" w:rsidRDefault="00842767"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r w:rsidRPr="0078289D">
        <w:rPr>
          <w:sz w:val="28"/>
          <w:szCs w:val="28"/>
          <w:lang w:val="es-ES_tradnl"/>
        </w:rPr>
        <w:tab/>
      </w:r>
    </w:p>
    <w:p w:rsidR="008701C4" w:rsidRPr="0078289D" w:rsidRDefault="008701C4" w:rsidP="0078289D">
      <w:pPr>
        <w:pBdr>
          <w:top w:val="none" w:sz="0" w:space="0" w:color="auto"/>
          <w:left w:val="none" w:sz="0" w:space="0" w:color="auto"/>
          <w:bottom w:val="none" w:sz="0" w:space="0" w:color="auto"/>
          <w:right w:val="none" w:sz="0" w:space="0" w:color="auto"/>
        </w:pBdr>
        <w:ind w:left="567"/>
        <w:contextualSpacing/>
        <w:jc w:val="both"/>
        <w:rPr>
          <w:i/>
          <w:sz w:val="28"/>
          <w:szCs w:val="28"/>
          <w:lang w:val="es-ES"/>
        </w:rPr>
      </w:pPr>
      <w:r w:rsidRPr="0078289D">
        <w:rPr>
          <w:sz w:val="28"/>
          <w:szCs w:val="28"/>
          <w:lang w:val="es-ES"/>
        </w:rPr>
        <w:t>“</w:t>
      </w:r>
      <w:r w:rsidRPr="0078289D">
        <w:rPr>
          <w:i/>
          <w:sz w:val="28"/>
          <w:szCs w:val="28"/>
          <w:lang w:val="es-ES"/>
        </w:rPr>
        <w:t>ARTICULO 31. Funciones. Las Corporaciones Autónomas Regionales ejercerán las siguientes funciones:</w:t>
      </w:r>
    </w:p>
    <w:p w:rsidR="00840465" w:rsidRPr="0078289D" w:rsidRDefault="00842767" w:rsidP="0078289D">
      <w:pPr>
        <w:pBdr>
          <w:top w:val="none" w:sz="0" w:space="0" w:color="auto"/>
          <w:left w:val="none" w:sz="0" w:space="0" w:color="auto"/>
          <w:bottom w:val="none" w:sz="0" w:space="0" w:color="auto"/>
          <w:right w:val="none" w:sz="0" w:space="0" w:color="auto"/>
        </w:pBdr>
        <w:ind w:firstLine="567"/>
        <w:contextualSpacing/>
        <w:jc w:val="both"/>
        <w:rPr>
          <w:sz w:val="28"/>
          <w:szCs w:val="28"/>
          <w:lang w:val="es-ES_tradnl"/>
        </w:rPr>
      </w:pPr>
      <w:r w:rsidRPr="0078289D">
        <w:rPr>
          <w:sz w:val="28"/>
          <w:szCs w:val="28"/>
          <w:lang w:val="es-ES_tradnl"/>
        </w:rPr>
        <w:t>…</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220"/>
          <w:tab w:val="left" w:pos="720"/>
        </w:tabs>
        <w:autoSpaceDE w:val="0"/>
        <w:autoSpaceDN w:val="0"/>
        <w:adjustRightInd w:val="0"/>
        <w:ind w:left="567"/>
        <w:jc w:val="both"/>
        <w:rPr>
          <w:rFonts w:eastAsia="Times New Roman"/>
          <w:i/>
          <w:sz w:val="28"/>
          <w:szCs w:val="28"/>
          <w:lang w:val="es-ES_tradnl"/>
        </w:rPr>
      </w:pPr>
      <w:r w:rsidRPr="0078289D">
        <w:rPr>
          <w:rFonts w:eastAsia="Times New Roman"/>
          <w:i/>
          <w:sz w:val="28"/>
          <w:szCs w:val="28"/>
          <w:lang w:val="es-ES_tradnl"/>
        </w:rPr>
        <w:t>“</w:t>
      </w:r>
      <w:r w:rsidR="008701C4" w:rsidRPr="0078289D">
        <w:rPr>
          <w:rFonts w:eastAsia="Times New Roman"/>
          <w:i/>
          <w:sz w:val="28"/>
          <w:szCs w:val="28"/>
          <w:lang w:val="es-ES_tradnl"/>
        </w:rPr>
        <w:t>9)</w:t>
      </w:r>
      <w:r w:rsidR="00842767" w:rsidRPr="0078289D">
        <w:rPr>
          <w:rFonts w:eastAsia="Times New Roman"/>
          <w:i/>
          <w:sz w:val="28"/>
          <w:szCs w:val="28"/>
          <w:lang w:val="es-ES_tradnl"/>
        </w:rPr>
        <w:tab/>
      </w:r>
      <w:r w:rsidRPr="0078289D">
        <w:rPr>
          <w:rFonts w:eastAsia="Times New Roman"/>
          <w:i/>
          <w:sz w:val="28"/>
          <w:szCs w:val="28"/>
          <w:lang w:val="es-ES_tradnl"/>
        </w:rPr>
        <w:t xml:space="preserve">Otorgar concesiones, permisos, autorizaciones y licencias ambientales requeridas por la ley para el uso, aprovechamiento o movilización de los recursos naturales renovables o para el desarrollo de actividades que afecten o puedan afectar el medio ambiente. Otorgar permisos y concesiones para aprovechamientos forestales, concesiones para el uso de aguas superficiales y subterráneas y establecer vedas para la caza y pesca deportiva”.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sz w:val="28"/>
          <w:szCs w:val="28"/>
          <w:lang w:val="es-ES_tradnl"/>
        </w:rPr>
      </w:pPr>
    </w:p>
    <w:p w:rsidR="00840465" w:rsidRPr="0078289D" w:rsidRDefault="005C1CCF"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r w:rsidRPr="0078289D">
        <w:rPr>
          <w:sz w:val="28"/>
          <w:szCs w:val="28"/>
          <w:lang w:val="es-ES_tradnl"/>
        </w:rPr>
        <w:t xml:space="preserve">103. </w:t>
      </w:r>
      <w:r w:rsidR="00EE3A54" w:rsidRPr="0078289D">
        <w:rPr>
          <w:sz w:val="28"/>
          <w:szCs w:val="28"/>
          <w:lang w:val="es-ES_tradnl"/>
        </w:rPr>
        <w:t>Así mismo</w:t>
      </w:r>
      <w:r w:rsidR="00840465" w:rsidRPr="0078289D">
        <w:rPr>
          <w:sz w:val="28"/>
          <w:szCs w:val="28"/>
          <w:lang w:val="es-ES_tradnl"/>
        </w:rPr>
        <w:t xml:space="preserve">, el numeral 14 del artículo 31 de la Ley 99 de 1993 </w:t>
      </w:r>
      <w:r w:rsidR="00840465" w:rsidRPr="0078289D">
        <w:rPr>
          <w:rFonts w:eastAsia="Times New Roman"/>
          <w:sz w:val="28"/>
          <w:szCs w:val="28"/>
          <w:lang w:val="es-ES_tradnl"/>
        </w:rPr>
        <w:t xml:space="preserve">prevé que las Corporaciones Autónomas Regionales estarán a cargo de expedir los permisos, licencias y salvoconductos para la movilización de </w:t>
      </w:r>
      <w:r w:rsidR="000712DB" w:rsidRPr="0078289D">
        <w:rPr>
          <w:rFonts w:eastAsia="Times New Roman"/>
          <w:sz w:val="28"/>
          <w:szCs w:val="28"/>
          <w:lang w:val="es-ES_tradnl"/>
        </w:rPr>
        <w:t>recursos naturales renovables. P</w:t>
      </w:r>
      <w:r w:rsidR="00840465" w:rsidRPr="0078289D">
        <w:rPr>
          <w:sz w:val="28"/>
          <w:szCs w:val="28"/>
          <w:lang w:val="es-ES_tradnl"/>
        </w:rPr>
        <w:t xml:space="preserve">or su parte, el numeral 12 del mismo artículo prescribe que las Corporaciones Autónomas Regionales tienen la función de evaluación, </w:t>
      </w:r>
      <w:r w:rsidR="00840465" w:rsidRPr="0078289D">
        <w:rPr>
          <w:sz w:val="28"/>
          <w:szCs w:val="28"/>
          <w:lang w:val="es-ES_tradnl"/>
        </w:rPr>
        <w:lastRenderedPageBreak/>
        <w:t xml:space="preserve">seguimiento ambiental y control de los recursos naturales, lo que implica también la expedición de licencias ambientales. La norma señala: </w:t>
      </w: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ind w:left="567"/>
        <w:contextualSpacing/>
        <w:jc w:val="both"/>
        <w:rPr>
          <w:i/>
          <w:sz w:val="28"/>
          <w:szCs w:val="28"/>
          <w:lang w:val="es-ES_tradnl"/>
        </w:rPr>
      </w:pPr>
      <w:r w:rsidRPr="0078289D">
        <w:rPr>
          <w:i/>
          <w:sz w:val="28"/>
          <w:szCs w:val="28"/>
          <w:lang w:val="es-ES_tradnl"/>
        </w:rPr>
        <w:t>“</w:t>
      </w:r>
      <w:r w:rsidRPr="0078289D">
        <w:rPr>
          <w:rFonts w:eastAsia="Times New Roman"/>
          <w:b/>
          <w:i/>
          <w:sz w:val="28"/>
          <w:szCs w:val="28"/>
          <w:u w:val="single"/>
          <w:lang w:val="es-ES_tradnl"/>
        </w:rPr>
        <w:t>Ejercer las  funciones de evaluación, control y seguimiento ambiental de los usos del agua, el suelo, el aire y los demás recursos naturales renovables</w:t>
      </w:r>
      <w:r w:rsidRPr="0078289D">
        <w:rPr>
          <w:rFonts w:eastAsia="Times New Roman"/>
          <w:i/>
          <w:sz w:val="28"/>
          <w:szCs w:val="28"/>
          <w:lang w:val="es-ES_tradnl"/>
        </w:rPr>
        <w:t xml:space="preserve">, lo cual comprenderá el vertimiento, emisión o incorporación de sustancias o residuos líquidos, sólidos y gaseosos, a las aguas a cualquiera de sus formas, al aire o a los suelos, así como los vertimientos o emisiones que puedan causar daño o poner en peligro el normal desarrollo sostenible de los recursos naturales renovables o impedir u obstaculizar su empleo para otros usos. </w:t>
      </w:r>
      <w:r w:rsidRPr="0078289D">
        <w:rPr>
          <w:rFonts w:eastAsia="Times New Roman"/>
          <w:b/>
          <w:i/>
          <w:sz w:val="28"/>
          <w:szCs w:val="28"/>
          <w:u w:val="single"/>
          <w:lang w:val="es-ES_tradnl"/>
        </w:rPr>
        <w:t>Estas funciones comprenden la expedición de las respectivas licencias ambientales, permisos, concesiones, autorizaciones y salvoconductos</w:t>
      </w:r>
      <w:r w:rsidRPr="0078289D">
        <w:rPr>
          <w:rFonts w:eastAsia="Times New Roman"/>
          <w:i/>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840465" w:rsidRPr="0078289D" w:rsidRDefault="005C1CCF"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r w:rsidRPr="0078289D">
        <w:rPr>
          <w:rFonts w:eastAsia="Times New Roman"/>
          <w:sz w:val="28"/>
          <w:szCs w:val="28"/>
          <w:lang w:val="es-ES_tradnl"/>
        </w:rPr>
        <w:t xml:space="preserve">104. </w:t>
      </w:r>
      <w:r w:rsidR="00840465" w:rsidRPr="0078289D">
        <w:rPr>
          <w:rFonts w:eastAsia="Times New Roman"/>
          <w:sz w:val="28"/>
          <w:szCs w:val="28"/>
          <w:lang w:val="es-ES_tradnl"/>
        </w:rPr>
        <w:t xml:space="preserve">No obstante, </w:t>
      </w:r>
      <w:r w:rsidR="009020BE" w:rsidRPr="0078289D">
        <w:rPr>
          <w:rFonts w:eastAsia="Times New Roman"/>
          <w:sz w:val="28"/>
          <w:szCs w:val="28"/>
          <w:lang w:val="es-ES_tradnl"/>
        </w:rPr>
        <w:t xml:space="preserve">el artículo 51 de la Ley 99 de 1993, </w:t>
      </w:r>
      <w:r w:rsidR="00464408" w:rsidRPr="0078289D">
        <w:rPr>
          <w:rFonts w:eastAsia="Times New Roman"/>
          <w:sz w:val="28"/>
          <w:szCs w:val="28"/>
          <w:lang w:val="es-ES_tradnl"/>
        </w:rPr>
        <w:t xml:space="preserve">modificado por </w:t>
      </w:r>
      <w:r w:rsidR="00840465" w:rsidRPr="0078289D">
        <w:rPr>
          <w:rFonts w:eastAsia="Times New Roman"/>
          <w:sz w:val="28"/>
          <w:szCs w:val="28"/>
          <w:lang w:val="es-ES_tradnl"/>
        </w:rPr>
        <w:t xml:space="preserve">el </w:t>
      </w:r>
      <w:r w:rsidR="00464408" w:rsidRPr="0078289D">
        <w:rPr>
          <w:rFonts w:eastAsia="Times New Roman"/>
          <w:sz w:val="28"/>
          <w:szCs w:val="28"/>
          <w:lang w:val="es-ES_tradnl"/>
        </w:rPr>
        <w:t xml:space="preserve">artículo </w:t>
      </w:r>
      <w:r w:rsidR="00AE78D5" w:rsidRPr="0078289D">
        <w:rPr>
          <w:rFonts w:eastAsia="Times New Roman"/>
          <w:sz w:val="28"/>
          <w:szCs w:val="28"/>
          <w:lang w:val="es-ES_tradnl"/>
        </w:rPr>
        <w:t>3º</w:t>
      </w:r>
      <w:r w:rsidR="00780398" w:rsidRPr="0078289D">
        <w:rPr>
          <w:rFonts w:eastAsia="Times New Roman"/>
          <w:sz w:val="28"/>
          <w:szCs w:val="28"/>
          <w:lang w:val="es-ES_tradnl"/>
        </w:rPr>
        <w:t xml:space="preserve"> del Decreto </w:t>
      </w:r>
      <w:r w:rsidR="009020BE" w:rsidRPr="0078289D">
        <w:rPr>
          <w:rFonts w:eastAsia="Times New Roman"/>
          <w:sz w:val="28"/>
          <w:szCs w:val="28"/>
          <w:lang w:val="es-ES_tradnl"/>
        </w:rPr>
        <w:t xml:space="preserve">3573 de 2011, </w:t>
      </w:r>
      <w:r w:rsidR="00840465" w:rsidRPr="0078289D">
        <w:rPr>
          <w:rFonts w:eastAsia="Times New Roman"/>
          <w:sz w:val="28"/>
          <w:szCs w:val="28"/>
          <w:lang w:val="es-ES_tradnl"/>
        </w:rPr>
        <w:t xml:space="preserve">faculta </w:t>
      </w:r>
      <w:r w:rsidR="00C54832" w:rsidRPr="0078289D">
        <w:rPr>
          <w:rFonts w:eastAsia="Times New Roman"/>
          <w:sz w:val="28"/>
          <w:szCs w:val="28"/>
          <w:lang w:val="es-ES_tradnl"/>
        </w:rPr>
        <w:t xml:space="preserve">tanto a las Corporaciones Autónomas Regionales como </w:t>
      </w:r>
      <w:r w:rsidR="00840465" w:rsidRPr="0078289D">
        <w:rPr>
          <w:rFonts w:eastAsia="Times New Roman"/>
          <w:sz w:val="28"/>
          <w:szCs w:val="28"/>
          <w:lang w:val="es-ES_tradnl"/>
        </w:rPr>
        <w:t xml:space="preserve">al Ministerio de Ambiente, y a algunos municipios y distritos, a expedir licencias ambientales, así: </w:t>
      </w:r>
    </w:p>
    <w:p w:rsidR="00D037F1" w:rsidRPr="0078289D" w:rsidRDefault="00D037F1"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D037F1" w:rsidRPr="0078289D" w:rsidRDefault="006118A2"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720"/>
        <w:jc w:val="both"/>
        <w:rPr>
          <w:rFonts w:eastAsia="Times New Roman"/>
          <w:sz w:val="28"/>
          <w:szCs w:val="28"/>
          <w:lang w:val="es-ES"/>
        </w:rPr>
      </w:pPr>
      <w:r w:rsidRPr="0078289D">
        <w:rPr>
          <w:rFonts w:eastAsia="Times New Roman"/>
          <w:color w:val="1A1A1A"/>
          <w:sz w:val="28"/>
          <w:szCs w:val="28"/>
          <w:lang w:val="es-ES"/>
        </w:rPr>
        <w:t>“</w:t>
      </w:r>
      <w:r w:rsidR="00D037F1" w:rsidRPr="0078289D">
        <w:rPr>
          <w:rFonts w:eastAsia="Times New Roman"/>
          <w:i/>
          <w:color w:val="1A1A1A"/>
          <w:sz w:val="28"/>
          <w:szCs w:val="28"/>
          <w:lang w:val="es-ES"/>
        </w:rPr>
        <w:t>Artículo 51. Competencia. Las Licencias Ambientales serán otorgadas por el Ministerio del Medio Ambiente, las Corporaciones Autónomas Regionales y algunos municipios y distritos, de conformidad con lo previsto en esta Ley.</w:t>
      </w:r>
      <w:r w:rsidRPr="0078289D">
        <w:rPr>
          <w:rFonts w:eastAsia="Times New Roman"/>
          <w:color w:val="1A1A1A"/>
          <w:sz w:val="28"/>
          <w:szCs w:val="28"/>
          <w:lang w:val="es-ES"/>
        </w:rPr>
        <w:t>”</w:t>
      </w:r>
      <w:r w:rsidR="009954E2" w:rsidRPr="0078289D">
        <w:rPr>
          <w:rStyle w:val="Refdenotaalpie"/>
          <w:rFonts w:eastAsia="Times New Roman"/>
          <w:color w:val="1A1A1A"/>
          <w:sz w:val="28"/>
          <w:szCs w:val="28"/>
          <w:lang w:val="es-ES"/>
        </w:rPr>
        <w:footnoteReference w:id="77"/>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jc w:val="both"/>
        <w:rPr>
          <w:rFonts w:eastAsia="Times New Roman"/>
          <w:sz w:val="28"/>
          <w:szCs w:val="28"/>
          <w:lang w:val="es-ES_tradnl"/>
        </w:rPr>
      </w:pPr>
      <w:r w:rsidRPr="0078289D">
        <w:rPr>
          <w:rFonts w:eastAsia="Times New Roman"/>
          <w:sz w:val="28"/>
          <w:szCs w:val="28"/>
          <w:lang w:val="es-ES_tradnl"/>
        </w:rPr>
        <w:t>A su vez, el artículo 52 de la Ley 99 de 1993 reseña los casos en que la competencia para la expedición de licencias ambientales recae exclusivamente, y de forma privativa en el Ministerio de Ambiente</w:t>
      </w:r>
      <w:r w:rsidR="00F3773D" w:rsidRPr="0078289D">
        <w:rPr>
          <w:rFonts w:eastAsia="Times New Roman"/>
          <w:sz w:val="28"/>
          <w:szCs w:val="28"/>
          <w:lang w:val="es-ES_tradnl"/>
        </w:rPr>
        <w:t>, y actualmente de la ANLA</w:t>
      </w:r>
      <w:r w:rsidRPr="0078289D">
        <w:rPr>
          <w:rFonts w:eastAsia="Times New Roman"/>
          <w:sz w:val="28"/>
          <w:szCs w:val="28"/>
          <w:lang w:val="es-ES_tradnl"/>
        </w:rPr>
        <w:t>. Así, entre estos se encuentran la ejecución de obras y actividades de exploración, explotación, transporte, conducción y depósito de hidrocarburos, y construcción de refinerías, la ejecución de proyectos de gran minería, la construcción de represas, o embalses de gran capacidad, la construcción o ampliación de puertos marítimos de gran calado y la construcción de aeropuertos internacionales, entre otros.</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840465" w:rsidRPr="0078289D" w:rsidRDefault="00F32368"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 xml:space="preserve">105. </w:t>
      </w:r>
      <w:r w:rsidR="00840465" w:rsidRPr="0078289D">
        <w:rPr>
          <w:rFonts w:eastAsia="Times New Roman"/>
          <w:sz w:val="28"/>
          <w:szCs w:val="28"/>
          <w:lang w:val="es-ES_tradnl"/>
        </w:rPr>
        <w:t>Sin embargo, la Corte advierte que la Ley 99 de 1993 no distribuye exhaustivamente las competencias que le corresponden a las entidades del sector central y a las CAR en materia de licenciamiento ambiental. En este sentido, cuando se restringe la competencia de las CAR para expedir licencias ambie</w:t>
      </w:r>
      <w:r w:rsidR="00095813" w:rsidRPr="0078289D">
        <w:rPr>
          <w:rFonts w:eastAsia="Times New Roman"/>
          <w:sz w:val="28"/>
          <w:szCs w:val="28"/>
          <w:lang w:val="es-ES_tradnl"/>
        </w:rPr>
        <w:t>ntales, y</w:t>
      </w:r>
      <w:r w:rsidR="00840465" w:rsidRPr="0078289D">
        <w:rPr>
          <w:rFonts w:eastAsia="Times New Roman"/>
          <w:sz w:val="28"/>
          <w:szCs w:val="28"/>
          <w:lang w:val="es-ES_tradnl"/>
        </w:rPr>
        <w:t xml:space="preserve"> se</w:t>
      </w:r>
      <w:r w:rsidR="00095813" w:rsidRPr="0078289D">
        <w:rPr>
          <w:rFonts w:eastAsia="Times New Roman"/>
          <w:sz w:val="28"/>
          <w:szCs w:val="28"/>
          <w:lang w:val="es-ES_tradnl"/>
        </w:rPr>
        <w:t xml:space="preserve"> le</w:t>
      </w:r>
      <w:r w:rsidR="00840465" w:rsidRPr="0078289D">
        <w:rPr>
          <w:rFonts w:eastAsia="Times New Roman"/>
          <w:sz w:val="28"/>
          <w:szCs w:val="28"/>
          <w:lang w:val="es-ES_tradnl"/>
        </w:rPr>
        <w:t xml:space="preserve"> asigna exclusivamente a una entidad del orden nacional, como es el caso de la ANLA, implica un conflicto o tensión </w:t>
      </w:r>
      <w:r w:rsidR="00EB3160" w:rsidRPr="0078289D">
        <w:rPr>
          <w:rFonts w:eastAsia="Times New Roman"/>
          <w:sz w:val="28"/>
          <w:szCs w:val="28"/>
          <w:lang w:val="es-ES_tradnl"/>
        </w:rPr>
        <w:t>entre el</w:t>
      </w:r>
      <w:r w:rsidR="00840465" w:rsidRPr="0078289D">
        <w:rPr>
          <w:rFonts w:eastAsia="Times New Roman"/>
          <w:sz w:val="28"/>
          <w:szCs w:val="28"/>
          <w:lang w:val="es-ES_tradnl"/>
        </w:rPr>
        <w:t xml:space="preserve"> </w:t>
      </w:r>
      <w:r w:rsidR="00EB3160" w:rsidRPr="0078289D">
        <w:rPr>
          <w:rFonts w:eastAsia="Times New Roman"/>
          <w:sz w:val="28"/>
          <w:szCs w:val="28"/>
          <w:lang w:val="es-ES_tradnl"/>
        </w:rPr>
        <w:t>carácter unitario</w:t>
      </w:r>
      <w:r w:rsidR="00095813" w:rsidRPr="0078289D">
        <w:rPr>
          <w:rFonts w:eastAsia="Times New Roman"/>
          <w:sz w:val="28"/>
          <w:szCs w:val="28"/>
          <w:lang w:val="es-ES_tradnl"/>
        </w:rPr>
        <w:t xml:space="preserve"> del </w:t>
      </w:r>
      <w:r w:rsidR="00EB3160" w:rsidRPr="0078289D">
        <w:rPr>
          <w:rFonts w:eastAsia="Times New Roman"/>
          <w:sz w:val="28"/>
          <w:szCs w:val="28"/>
          <w:lang w:val="es-ES_tradnl"/>
        </w:rPr>
        <w:t xml:space="preserve">Estado y </w:t>
      </w:r>
      <w:r w:rsidR="00840465" w:rsidRPr="0078289D">
        <w:rPr>
          <w:rFonts w:eastAsia="Times New Roman"/>
          <w:sz w:val="28"/>
          <w:szCs w:val="28"/>
          <w:lang w:val="es-ES_tradnl"/>
        </w:rPr>
        <w:t>los principios de descentralización, participación y autonomía. Particularmente, la norma impide que las CA</w:t>
      </w:r>
      <w:r w:rsidR="00227740" w:rsidRPr="0078289D">
        <w:rPr>
          <w:rFonts w:eastAsia="Times New Roman"/>
          <w:sz w:val="28"/>
          <w:szCs w:val="28"/>
          <w:lang w:val="es-ES_tradnl"/>
        </w:rPr>
        <w:t xml:space="preserve">R adopten decisiones </w:t>
      </w:r>
      <w:r w:rsidR="00227740" w:rsidRPr="0078289D">
        <w:rPr>
          <w:rFonts w:eastAsia="Times New Roman"/>
          <w:sz w:val="28"/>
          <w:szCs w:val="28"/>
          <w:lang w:val="es-ES_tradnl"/>
        </w:rPr>
        <w:lastRenderedPageBreak/>
        <w:t>en materia</w:t>
      </w:r>
      <w:r w:rsidR="00840465" w:rsidRPr="0078289D">
        <w:rPr>
          <w:rFonts w:eastAsia="Times New Roman"/>
          <w:sz w:val="28"/>
          <w:szCs w:val="28"/>
          <w:lang w:val="es-ES_tradnl"/>
        </w:rPr>
        <w:t xml:space="preserve"> de licenciamiento, pese a que éstas sean los organismos más próximos al ciudadano, y </w:t>
      </w:r>
      <w:r w:rsidR="00EB3160" w:rsidRPr="0078289D">
        <w:rPr>
          <w:rFonts w:eastAsia="Times New Roman"/>
          <w:sz w:val="28"/>
          <w:szCs w:val="28"/>
          <w:lang w:val="es-ES_tradnl"/>
        </w:rPr>
        <w:t>con mayor capacidad, pues son las entidades</w:t>
      </w:r>
      <w:r w:rsidR="00840465" w:rsidRPr="0078289D">
        <w:rPr>
          <w:rFonts w:eastAsia="Times New Roman"/>
          <w:sz w:val="28"/>
          <w:szCs w:val="28"/>
          <w:lang w:val="es-ES_tradnl"/>
        </w:rPr>
        <w:t xml:space="preserve"> que </w:t>
      </w:r>
      <w:r w:rsidR="00AB7BDE" w:rsidRPr="0078289D">
        <w:rPr>
          <w:rFonts w:eastAsia="Times New Roman"/>
          <w:sz w:val="28"/>
          <w:szCs w:val="28"/>
          <w:lang w:val="es-ES_tradnl"/>
        </w:rPr>
        <w:t xml:space="preserve">conocen más de cerca las </w:t>
      </w:r>
      <w:r w:rsidR="00840465" w:rsidRPr="0078289D">
        <w:rPr>
          <w:rFonts w:eastAsia="Times New Roman"/>
          <w:sz w:val="28"/>
          <w:szCs w:val="28"/>
          <w:lang w:val="es-ES_tradnl"/>
        </w:rPr>
        <w:t>área</w:t>
      </w:r>
      <w:r w:rsidR="00AB7BDE" w:rsidRPr="0078289D">
        <w:rPr>
          <w:rFonts w:eastAsia="Times New Roman"/>
          <w:sz w:val="28"/>
          <w:szCs w:val="28"/>
          <w:lang w:val="es-ES_tradnl"/>
        </w:rPr>
        <w:t>s</w:t>
      </w:r>
      <w:r w:rsidR="00840465" w:rsidRPr="0078289D">
        <w:rPr>
          <w:rFonts w:eastAsia="Times New Roman"/>
          <w:sz w:val="28"/>
          <w:szCs w:val="28"/>
          <w:lang w:val="es-ES_tradnl"/>
        </w:rPr>
        <w:t xml:space="preserve"> </w:t>
      </w:r>
      <w:r w:rsidR="00AB7BDE" w:rsidRPr="0078289D">
        <w:rPr>
          <w:rFonts w:eastAsia="Times New Roman"/>
          <w:sz w:val="28"/>
          <w:szCs w:val="28"/>
          <w:lang w:val="es-ES_tradnl"/>
        </w:rPr>
        <w:t>y</w:t>
      </w:r>
      <w:r w:rsidR="005747FF" w:rsidRPr="0078289D">
        <w:rPr>
          <w:rFonts w:eastAsia="Times New Roman"/>
          <w:sz w:val="28"/>
          <w:szCs w:val="28"/>
          <w:lang w:val="es-ES_tradnl"/>
        </w:rPr>
        <w:t xml:space="preserve"> ecosistema</w:t>
      </w:r>
      <w:r w:rsidR="00AB7BDE" w:rsidRPr="0078289D">
        <w:rPr>
          <w:rFonts w:eastAsia="Times New Roman"/>
          <w:sz w:val="28"/>
          <w:szCs w:val="28"/>
          <w:lang w:val="es-ES_tradnl"/>
        </w:rPr>
        <w:t>s</w:t>
      </w:r>
      <w:r w:rsidR="005747FF" w:rsidRPr="0078289D">
        <w:rPr>
          <w:rFonts w:eastAsia="Times New Roman"/>
          <w:sz w:val="28"/>
          <w:szCs w:val="28"/>
          <w:lang w:val="es-ES_tradnl"/>
        </w:rPr>
        <w:t xml:space="preserve"> </w:t>
      </w:r>
      <w:r w:rsidR="00840465" w:rsidRPr="0078289D">
        <w:rPr>
          <w:rFonts w:eastAsia="Times New Roman"/>
          <w:sz w:val="28"/>
          <w:szCs w:val="28"/>
          <w:lang w:val="es-ES_tradnl"/>
        </w:rPr>
        <w:t xml:space="preserve">donde se producen los </w:t>
      </w:r>
      <w:r w:rsidR="005747FF" w:rsidRPr="0078289D">
        <w:rPr>
          <w:rFonts w:eastAsia="Times New Roman"/>
          <w:sz w:val="28"/>
          <w:szCs w:val="28"/>
          <w:lang w:val="es-ES_tradnl"/>
        </w:rPr>
        <w:t>impactos</w:t>
      </w:r>
      <w:r w:rsidR="00840465" w:rsidRPr="0078289D">
        <w:rPr>
          <w:rFonts w:eastAsia="Times New Roman"/>
          <w:sz w:val="28"/>
          <w:szCs w:val="28"/>
          <w:lang w:val="es-ES_tradnl"/>
        </w:rPr>
        <w:t xml:space="preserve"> ambientales.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b/>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contextualSpacing/>
        <w:jc w:val="both"/>
        <w:rPr>
          <w:b/>
          <w:i/>
          <w:sz w:val="28"/>
          <w:szCs w:val="28"/>
          <w:lang w:val="es-ES_tradnl"/>
        </w:rPr>
      </w:pPr>
      <w:r w:rsidRPr="0078289D">
        <w:rPr>
          <w:b/>
          <w:i/>
          <w:sz w:val="28"/>
          <w:szCs w:val="28"/>
          <w:lang w:val="es-ES_tradnl"/>
        </w:rPr>
        <w:t>Los principios de coordinación y rigor subsidiario como elementos de armonización entre los principios de Estado unitario y autonomía de las entidades territoriales</w:t>
      </w:r>
      <w:r w:rsidR="000863B8" w:rsidRPr="0078289D">
        <w:rPr>
          <w:b/>
          <w:i/>
          <w:sz w:val="28"/>
          <w:szCs w:val="28"/>
          <w:lang w:val="es-ES_tradnl"/>
        </w:rPr>
        <w:t xml:space="preserve"> para la expedición de Licencias Ambientales</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840465" w:rsidRPr="0078289D" w:rsidRDefault="00F32368"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r w:rsidRPr="0078289D">
        <w:rPr>
          <w:rFonts w:eastAsia="Times New Roman"/>
          <w:sz w:val="28"/>
          <w:szCs w:val="28"/>
          <w:lang w:val="es-ES_tradnl"/>
        </w:rPr>
        <w:t xml:space="preserve">106. </w:t>
      </w:r>
      <w:r w:rsidR="005747FF" w:rsidRPr="0078289D">
        <w:rPr>
          <w:rFonts w:eastAsia="Times New Roman"/>
          <w:sz w:val="28"/>
          <w:szCs w:val="28"/>
          <w:lang w:val="es-ES_tradnl"/>
        </w:rPr>
        <w:t>L</w:t>
      </w:r>
      <w:r w:rsidR="00840465" w:rsidRPr="0078289D">
        <w:rPr>
          <w:rFonts w:eastAsia="Times New Roman"/>
          <w:sz w:val="28"/>
          <w:szCs w:val="28"/>
          <w:lang w:val="es-ES_tradnl"/>
        </w:rPr>
        <w:t xml:space="preserve">a jurisprudencia de la Corte Constitucional se ha encargado de armonizar dichos principios en tensión, a saber, los principios de Estado unitario y de descentralización en materia de licenciamiento ambiental. Así, en </w:t>
      </w:r>
      <w:r w:rsidR="00227740" w:rsidRPr="0078289D">
        <w:rPr>
          <w:rFonts w:eastAsia="Times New Roman"/>
          <w:sz w:val="28"/>
          <w:szCs w:val="28"/>
          <w:lang w:val="es-ES_tradnl"/>
        </w:rPr>
        <w:t>primer lugar, ha reconocido que</w:t>
      </w:r>
      <w:r w:rsidR="00840465" w:rsidRPr="0078289D">
        <w:rPr>
          <w:rFonts w:eastAsia="Times New Roman"/>
          <w:sz w:val="28"/>
          <w:szCs w:val="28"/>
          <w:lang w:val="es-ES_tradnl"/>
        </w:rPr>
        <w:t xml:space="preserve"> la competencia para la expedición de licencias ambientales es concurrente con las facultades que tienen las entidades del sector central y las Corporaciones Autónomas Regionales</w:t>
      </w:r>
      <w:r w:rsidR="00840465" w:rsidRPr="0078289D">
        <w:rPr>
          <w:rFonts w:eastAsia="Times New Roman"/>
          <w:sz w:val="28"/>
          <w:szCs w:val="28"/>
          <w:vertAlign w:val="superscript"/>
          <w:lang w:val="es-ES_tradnl"/>
        </w:rPr>
        <w:footnoteReference w:id="78"/>
      </w:r>
      <w:r w:rsidR="00840465" w:rsidRPr="0078289D">
        <w:rPr>
          <w:rFonts w:eastAsia="Times New Roman"/>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p>
    <w:p w:rsidR="00840465" w:rsidRPr="0078289D" w:rsidRDefault="00F32368"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r w:rsidRPr="0078289D">
        <w:rPr>
          <w:rFonts w:eastAsia="Times New Roman"/>
          <w:sz w:val="28"/>
          <w:szCs w:val="28"/>
          <w:lang w:val="es-ES_tradnl"/>
        </w:rPr>
        <w:t xml:space="preserve">107. </w:t>
      </w:r>
      <w:r w:rsidR="00840465" w:rsidRPr="0078289D">
        <w:rPr>
          <w:rFonts w:eastAsia="Times New Roman"/>
          <w:sz w:val="28"/>
          <w:szCs w:val="28"/>
          <w:lang w:val="es-ES_tradnl"/>
        </w:rPr>
        <w:t xml:space="preserve">En segundo lugar, la jurisprudencia de la Corte Constitucional ha reconocido que el Gobierno Nacional, en principio, tiene la competencia de limitar válidamente la facultad de expedición de licencias ambientales que corresponde a las CAR, siempre y cuando i) se trate de un proyecto de incidencia nacional y no puramente local o regional, y ii) no se vulnere el núcleo de la autonomía de las CAR. Así, la Corte ha señalado que las CAR, y en general, todas las autoridades públicas, deben someterse a las normas jurídicas superiores en virtud del principio de rigor subsidiario o gradación normativa. Sobre el particular, la Corte se pronunció en la </w:t>
      </w:r>
      <w:r w:rsidR="00840465" w:rsidRPr="0078289D">
        <w:rPr>
          <w:rFonts w:eastAsia="Times New Roman"/>
          <w:b/>
          <w:sz w:val="28"/>
          <w:szCs w:val="28"/>
          <w:lang w:val="es-ES_tradnl"/>
        </w:rPr>
        <w:t>Sentencia C-554 de 2007</w:t>
      </w:r>
      <w:r w:rsidR="00840465" w:rsidRPr="0078289D">
        <w:rPr>
          <w:rFonts w:eastAsia="Times New Roman"/>
          <w:sz w:val="28"/>
          <w:szCs w:val="28"/>
          <w:lang w:val="es-ES_tradnl"/>
        </w:rPr>
        <w:t xml:space="preserve"> así:</w:t>
      </w: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i/>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u w:color="410108"/>
          <w:lang w:val="es-ES_tradnl"/>
        </w:rPr>
      </w:pPr>
      <w:r w:rsidRPr="0078289D">
        <w:rPr>
          <w:rFonts w:eastAsia="Times New Roman"/>
          <w:i/>
          <w:sz w:val="28"/>
          <w:szCs w:val="28"/>
          <w:lang w:val="es-ES_tradnl"/>
        </w:rPr>
        <w:t xml:space="preserve">“Con base en este reparto de competencias, es claro que las corporaciones autónomas regionales y las entidades territoriales al dictar normas y adoptar  decisiones deben acatar las normas y las decisiones de superior jerarquía, en primer lugar las disposiciones contenidas en la Constitución Política y en la ley, por exigirlo así en forma general la estructura jerárquica del ordenamiento jurídico colombiano, como presupuesto de validez de las mismas, y exigirlo también en forma específica el componente jurídico del Sistema Nacional Ambiental. </w:t>
      </w: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i/>
          <w:sz w:val="28"/>
          <w:szCs w:val="28"/>
          <w:u w:color="41010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jc w:val="both"/>
        <w:rPr>
          <w:rFonts w:eastAsia="Times New Roman"/>
          <w:sz w:val="28"/>
          <w:szCs w:val="28"/>
          <w:u w:color="410108"/>
          <w:lang w:val="es-ES_tradnl"/>
        </w:rPr>
      </w:pPr>
      <w:r w:rsidRPr="0078289D">
        <w:rPr>
          <w:rFonts w:eastAsia="Times New Roman"/>
          <w:b/>
          <w:i/>
          <w:sz w:val="28"/>
          <w:szCs w:val="28"/>
          <w:u w:val="single"/>
          <w:lang w:val="es-ES_tradnl"/>
        </w:rPr>
        <w:t>Este sometimiento a las normas y decisiones de superior jerarquía, que es primordial en un Estado Social de Derecho como el colombiano, se concreta en materia ambiental mediante el principio de gradación normativa contemplado en un aparte no demandado del mismo Art. 63 de la Ley 99 de 1993 en relación con el ejercicio de las funciones correspondientes  por parte de las entidades territoriales</w:t>
      </w:r>
      <w:r w:rsidRPr="0078289D">
        <w:rPr>
          <w:rFonts w:eastAsia="Times New Roman"/>
          <w:i/>
          <w:sz w:val="28"/>
          <w:szCs w:val="28"/>
          <w:u w:color="410108"/>
          <w:lang w:val="es-ES_tradnl"/>
        </w:rPr>
        <w:t xml:space="preserve">”. </w:t>
      </w:r>
      <w:r w:rsidRPr="0078289D">
        <w:rPr>
          <w:rFonts w:eastAsia="Times New Roman"/>
          <w:sz w:val="28"/>
          <w:szCs w:val="28"/>
          <w:u w:color="410108"/>
          <w:lang w:val="es-ES_tradnl"/>
        </w:rPr>
        <w:t>(Subraya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tabs>
          <w:tab w:val="left" w:pos="2638"/>
        </w:tabs>
        <w:contextualSpacing/>
        <w:jc w:val="both"/>
        <w:rPr>
          <w:rFonts w:eastAsia="Times New Roman"/>
          <w:sz w:val="28"/>
          <w:szCs w:val="28"/>
          <w:lang w:val="es-ES_tradnl"/>
        </w:rPr>
      </w:pPr>
      <w:r w:rsidRPr="0078289D">
        <w:rPr>
          <w:rFonts w:eastAsia="Times New Roman"/>
          <w:sz w:val="28"/>
          <w:szCs w:val="28"/>
          <w:lang w:val="es-ES_tradnl"/>
        </w:rPr>
        <w:lastRenderedPageBreak/>
        <w:t xml:space="preserve">En la </w:t>
      </w:r>
      <w:r w:rsidRPr="0078289D">
        <w:rPr>
          <w:rFonts w:eastAsia="Times New Roman"/>
          <w:b/>
          <w:sz w:val="28"/>
          <w:szCs w:val="28"/>
          <w:lang w:val="es-ES_tradnl"/>
        </w:rPr>
        <w:t>Sentencia C-894 de 2003</w:t>
      </w:r>
      <w:r w:rsidR="00227740" w:rsidRPr="0078289D">
        <w:rPr>
          <w:rFonts w:eastAsia="Times New Roman"/>
          <w:sz w:val="28"/>
          <w:szCs w:val="28"/>
          <w:lang w:val="es-ES_tradnl"/>
        </w:rPr>
        <w:t xml:space="preserve"> (M.P. Rodrigo Escobar Gil)</w:t>
      </w:r>
      <w:r w:rsidRPr="0078289D">
        <w:rPr>
          <w:rFonts w:eastAsia="Times New Roman"/>
          <w:sz w:val="28"/>
          <w:szCs w:val="28"/>
          <w:lang w:val="es-ES_tradnl"/>
        </w:rPr>
        <w:t xml:space="preserve"> la Corte se pronunció sobre la constitucionalidad de una norma que consagraba que la entidad del orden nacional, a saber, el Ministerio de Medio Ambiente, podía revisar la legalidad de las decisiones que las CAR adoptasen en materia de licenciamiento ambiental en primera instancia, e incluso revocarlas. En dicha oportunidad, la Corte indicó que la norma no resultaba ajustada a la Constitución Política, toda vez que</w:t>
      </w:r>
      <w:r w:rsidR="00F707B9" w:rsidRPr="0078289D">
        <w:rPr>
          <w:rFonts w:eastAsia="Times New Roman"/>
          <w:sz w:val="28"/>
          <w:szCs w:val="28"/>
          <w:lang w:val="es-ES_tradnl"/>
        </w:rPr>
        <w:t>:</w:t>
      </w:r>
      <w:r w:rsidRPr="0078289D">
        <w:rPr>
          <w:rFonts w:eastAsia="Times New Roman"/>
          <w:sz w:val="28"/>
          <w:szCs w:val="28"/>
          <w:lang w:val="es-ES_tradnl"/>
        </w:rPr>
        <w:t xml:space="preserve"> i) lesionaba la autonomía de las CAR, ii) sin repercutir en </w:t>
      </w:r>
      <w:r w:rsidR="003D1879" w:rsidRPr="0078289D">
        <w:rPr>
          <w:rFonts w:eastAsia="Times New Roman"/>
          <w:sz w:val="28"/>
          <w:szCs w:val="28"/>
          <w:lang w:val="es-ES_tradnl"/>
        </w:rPr>
        <w:t>una protección más efectiva de los bienes jurídicos potencialmente afectados</w:t>
      </w:r>
      <w:r w:rsidRPr="0078289D">
        <w:rPr>
          <w:rFonts w:eastAsia="Times New Roman"/>
          <w:sz w:val="28"/>
          <w:szCs w:val="28"/>
          <w:lang w:val="es-ES_tradnl"/>
        </w:rPr>
        <w:t xml:space="preserve">. La Corte señaló que en </w:t>
      </w:r>
      <w:r w:rsidR="008D1783" w:rsidRPr="0078289D">
        <w:rPr>
          <w:rFonts w:eastAsia="Times New Roman"/>
          <w:sz w:val="28"/>
          <w:szCs w:val="28"/>
          <w:lang w:val="es-ES_tradnl"/>
        </w:rPr>
        <w:t>la medida en que</w:t>
      </w:r>
      <w:r w:rsidRPr="0078289D">
        <w:rPr>
          <w:rFonts w:eastAsia="Times New Roman"/>
          <w:sz w:val="28"/>
          <w:szCs w:val="28"/>
          <w:lang w:val="es-ES_tradnl"/>
        </w:rPr>
        <w:t xml:space="preserve"> para el otorgamiento de las licencias era necesario el cumplimiento de los parámetros impuestos por el Gobierno Nacional en materia ambiental, en virtud del </w:t>
      </w:r>
      <w:r w:rsidRPr="0078289D">
        <w:rPr>
          <w:rFonts w:eastAsia="Times New Roman"/>
          <w:b/>
          <w:sz w:val="28"/>
          <w:szCs w:val="28"/>
          <w:lang w:val="es-ES_tradnl"/>
        </w:rPr>
        <w:t>principio de rigor subsidiario</w:t>
      </w:r>
      <w:r w:rsidRPr="0078289D">
        <w:rPr>
          <w:rFonts w:eastAsia="Times New Roman"/>
          <w:sz w:val="28"/>
          <w:szCs w:val="28"/>
          <w:lang w:val="es-ES_tradnl"/>
        </w:rPr>
        <w:t>, dicha decisión podía ser adoptada por las CAR. Así, esta Corporación manifestó:</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i/>
          <w:sz w:val="28"/>
          <w:szCs w:val="28"/>
          <w:u w:val="single" w:color="000000"/>
          <w:lang w:val="es-ES_tradnl" w:eastAsia="es-ES"/>
        </w:rPr>
      </w:pPr>
      <w:r w:rsidRPr="0078289D">
        <w:rPr>
          <w:rFonts w:eastAsia="Times New Roman"/>
          <w:i/>
          <w:sz w:val="28"/>
          <w:szCs w:val="28"/>
          <w:u w:val="single" w:color="000000"/>
          <w:lang w:val="es-ES_tradnl" w:eastAsia="es-ES"/>
        </w:rPr>
        <w:t>“Para establecer si la disposición demandada es razonable, es necesario partir de los principios y objetivos constitucionales involucrados en el presente caso. En particular, esta Corporación debe determinar si la disposición es necesaria para garantizar el carácter unitario del sistema constitucional de protección del medio ambiente, y en segunda medida, si realmente contribuye a fortalecer su protección.</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i/>
          <w:sz w:val="28"/>
          <w:szCs w:val="28"/>
          <w:u w:color="000000"/>
          <w:lang w:val="es-ES_tradnl" w:eastAsia="es-ES"/>
        </w:rPr>
      </w:pP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ind w:left="567"/>
        <w:contextualSpacing/>
        <w:jc w:val="both"/>
        <w:rPr>
          <w:rFonts w:eastAsia="Times New Roman"/>
          <w:sz w:val="28"/>
          <w:szCs w:val="28"/>
          <w:u w:color="000000"/>
          <w:lang w:val="es-ES_tradnl" w:eastAsia="es-ES"/>
        </w:rPr>
      </w:pPr>
      <w:r w:rsidRPr="0078289D">
        <w:rPr>
          <w:rFonts w:eastAsia="Times New Roman"/>
          <w:i/>
          <w:sz w:val="28"/>
          <w:szCs w:val="28"/>
          <w:u w:val="single" w:color="000000"/>
          <w:lang w:val="es-ES_tradnl" w:eastAsia="es-ES"/>
        </w:rPr>
        <w:t>(…) la Corte observa que tanto la protección del ambiente, como la aplicación uniforme de un estándar mínimo de protección nacional, se encuentran suficientemente garantizadas sin necesidad de limitar la autonomía de las corporaciones autónomas regionales para decidir definitivamente sobre las licencias que estas entidades expiden</w:t>
      </w:r>
      <w:r w:rsidRPr="0078289D">
        <w:rPr>
          <w:rFonts w:eastAsia="Times New Roman"/>
          <w:i/>
          <w:sz w:val="28"/>
          <w:szCs w:val="28"/>
          <w:u w:color="000000"/>
          <w:lang w:val="es-ES_tradnl" w:eastAsia="es-ES"/>
        </w:rPr>
        <w:t xml:space="preserve">. En esa medida, no encuentra la Corte una razón de índole constitucional que justifique que el legislador haya otorgado la apelación sobre las licencias ambientales que corresponden a las corporaciones autónomas al Ministerio de Ambiente. Por lo tanto, declarará la inconstitucionalidad de la disposición demandada”. </w:t>
      </w:r>
      <w:r w:rsidRPr="0078289D">
        <w:rPr>
          <w:rFonts w:eastAsia="Times New Roman"/>
          <w:sz w:val="28"/>
          <w:szCs w:val="28"/>
          <w:u w:color="000000"/>
          <w:lang w:val="es-ES_tradnl" w:eastAsia="es-ES"/>
        </w:rPr>
        <w:t>(Subraya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F32368"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 xml:space="preserve">108. </w:t>
      </w:r>
      <w:r w:rsidR="00840465" w:rsidRPr="0078289D">
        <w:rPr>
          <w:rFonts w:eastAsia="Times New Roman"/>
          <w:sz w:val="28"/>
          <w:szCs w:val="28"/>
          <w:lang w:val="es-ES_tradnl"/>
        </w:rPr>
        <w:t xml:space="preserve">De esta manera, para efectos de preservar el núcleo de la autonomía de las CAR, es necesario que el Legislador garantice que las entidades puedan ejercer sus competencias para la gestión de sus intereses, y en consecuencia, </w:t>
      </w:r>
      <w:r w:rsidR="00E04E58" w:rsidRPr="0078289D">
        <w:rPr>
          <w:rFonts w:eastAsia="Times New Roman"/>
          <w:sz w:val="28"/>
          <w:szCs w:val="28"/>
          <w:lang w:val="es-ES_tradnl"/>
        </w:rPr>
        <w:t>debe aplicar el principio de rigor subsidiario</w:t>
      </w:r>
      <w:r w:rsidR="00B0403A" w:rsidRPr="0078289D">
        <w:rPr>
          <w:rFonts w:eastAsia="Times New Roman"/>
          <w:sz w:val="28"/>
          <w:szCs w:val="28"/>
          <w:lang w:val="es-ES_tradnl"/>
        </w:rPr>
        <w:t>.</w:t>
      </w:r>
      <w:r w:rsidR="000D726B" w:rsidRPr="0078289D">
        <w:rPr>
          <w:rFonts w:eastAsia="Times New Roman"/>
          <w:sz w:val="28"/>
          <w:szCs w:val="28"/>
          <w:lang w:val="es-ES_tradnl"/>
        </w:rPr>
        <w:t xml:space="preserve"> </w:t>
      </w:r>
      <w:r w:rsidR="00840465" w:rsidRPr="0078289D">
        <w:rPr>
          <w:rFonts w:eastAsia="Times New Roman"/>
          <w:sz w:val="28"/>
          <w:szCs w:val="28"/>
          <w:lang w:val="es-ES_tradnl"/>
        </w:rPr>
        <w:t xml:space="preserve">Por ejemplo, en la </w:t>
      </w:r>
      <w:r w:rsidR="00840465" w:rsidRPr="0078289D">
        <w:rPr>
          <w:rFonts w:eastAsia="Times New Roman"/>
          <w:b/>
          <w:sz w:val="28"/>
          <w:szCs w:val="28"/>
          <w:lang w:val="es-ES_tradnl"/>
        </w:rPr>
        <w:t>Sentencia C-535 de 1996</w:t>
      </w:r>
      <w:r w:rsidR="00AB6FFA" w:rsidRPr="0078289D">
        <w:rPr>
          <w:rFonts w:eastAsia="Times New Roman"/>
          <w:sz w:val="28"/>
          <w:szCs w:val="28"/>
          <w:lang w:val="es-ES_tradnl"/>
        </w:rPr>
        <w:t xml:space="preserve"> (M.P. Alejandro Martínez Caballero)</w:t>
      </w:r>
      <w:r w:rsidR="00840465" w:rsidRPr="0078289D">
        <w:rPr>
          <w:rFonts w:eastAsia="Times New Roman"/>
          <w:sz w:val="28"/>
          <w:szCs w:val="28"/>
          <w:lang w:val="es-ES_tradnl"/>
        </w:rPr>
        <w:t xml:space="preserve">, la Corte constitucional declaró la constitucionalidad condicionada de varios de los artículos de la Ley 99 de 1993, bajo el entendido de que las autoridades nacionales no podían vaciar a las autoridades regionales de la función de regular la publicidad exterior, toda vez que los efectos de este tipo de actividades son soportados directamente por las entidades territoriales. Al respecto, la Corte Constitucional </w:t>
      </w:r>
      <w:r w:rsidR="00AB6FFA" w:rsidRPr="0078289D">
        <w:rPr>
          <w:rFonts w:eastAsia="Times New Roman"/>
          <w:sz w:val="28"/>
          <w:szCs w:val="28"/>
          <w:lang w:val="es-ES_tradnl"/>
        </w:rPr>
        <w:t>manifestó</w:t>
      </w:r>
      <w:r w:rsidR="00840465" w:rsidRPr="0078289D">
        <w:rPr>
          <w:rFonts w:eastAsia="Times New Roman"/>
          <w:sz w:val="28"/>
          <w:szCs w:val="28"/>
          <w:lang w:val="es-ES_tradnl"/>
        </w:rPr>
        <w:t>:</w:t>
      </w:r>
    </w:p>
    <w:p w:rsidR="00A94385" w:rsidRPr="0078289D" w:rsidRDefault="00A9438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autoSpaceDE w:val="0"/>
        <w:autoSpaceDN w:val="0"/>
        <w:adjustRightInd w:val="0"/>
        <w:ind w:left="567"/>
        <w:contextualSpacing/>
        <w:jc w:val="both"/>
        <w:rPr>
          <w:rFonts w:eastAsia="Times New Roman"/>
          <w:sz w:val="28"/>
          <w:szCs w:val="28"/>
          <w:lang w:val="es-ES"/>
        </w:rPr>
      </w:pPr>
      <w:r w:rsidRPr="0078289D">
        <w:rPr>
          <w:rFonts w:eastAsia="Times New Roman"/>
          <w:i/>
          <w:sz w:val="28"/>
          <w:szCs w:val="28"/>
          <w:lang w:val="es-ES"/>
        </w:rPr>
        <w:t xml:space="preserve">“Con todo, el anterior parámetro no significa que el legislador no pueda entrar a regular directamente, en ningún caso, asuntos de carácter regional o municipal.  La autonomía actúa como un principio jurídico en </w:t>
      </w:r>
      <w:r w:rsidRPr="0078289D">
        <w:rPr>
          <w:rFonts w:eastAsia="Times New Roman"/>
          <w:i/>
          <w:sz w:val="28"/>
          <w:szCs w:val="28"/>
          <w:lang w:val="es-ES"/>
        </w:rPr>
        <w:lastRenderedPageBreak/>
        <w:t xml:space="preserve">materia de organización competencial, lo que significa que se debe realizar en la mayor medida posible, teniendo en cuenta la importancia de los bienes jurídicos que justifiquen su limitación en cada caso concreto. </w:t>
      </w:r>
      <w:r w:rsidRPr="0078289D">
        <w:rPr>
          <w:rFonts w:eastAsia="Times New Roman"/>
          <w:b/>
          <w:i/>
          <w:sz w:val="28"/>
          <w:szCs w:val="28"/>
          <w:u w:val="single"/>
          <w:lang w:val="es-ES"/>
        </w:rPr>
        <w:t>De tal modo, lo que le está vedado al Congreso es sujetar por completo a las entidades que gozan de autonomía, a los imperativos y determinaciones adoptados desde el centro. De tal modo, la Sentencia C-535/96 declaró la constitucionalidad condicionada de diversos artículos de la Ley 99 de 1993, con fundamento en que las autoridades nacionales no podían vaciar de contenido la regulación de la publicidad exterior visual de los municipios, pues éste es un asunto que concierne principalmente a las entidades de ese orden</w:t>
      </w:r>
      <w:r w:rsidRPr="0078289D">
        <w:rPr>
          <w:rFonts w:eastAsia="Times New Roman"/>
          <w:i/>
          <w:sz w:val="28"/>
          <w:szCs w:val="28"/>
          <w:lang w:val="es-ES"/>
        </w:rPr>
        <w:t>”</w:t>
      </w:r>
      <w:r w:rsidRPr="0078289D">
        <w:rPr>
          <w:rFonts w:eastAsia="Times New Roman"/>
          <w:sz w:val="28"/>
          <w:szCs w:val="28"/>
          <w:vertAlign w:val="superscript"/>
          <w:lang w:val="es-ES"/>
        </w:rPr>
        <w:footnoteReference w:id="79"/>
      </w:r>
      <w:r w:rsidRPr="0078289D">
        <w:rPr>
          <w:rFonts w:eastAsia="Times New Roman"/>
          <w:i/>
          <w:sz w:val="28"/>
          <w:szCs w:val="28"/>
          <w:lang w:val="es-ES"/>
        </w:rPr>
        <w:t xml:space="preserve">. </w:t>
      </w:r>
      <w:r w:rsidRPr="0078289D">
        <w:rPr>
          <w:rFonts w:eastAsia="Times New Roman"/>
          <w:sz w:val="28"/>
          <w:szCs w:val="28"/>
          <w:lang w:val="es-ES"/>
        </w:rPr>
        <w:t>(Subraya y negrilla fuera del texto)</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47783D"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 xml:space="preserve">109. </w:t>
      </w:r>
      <w:r w:rsidR="00840465" w:rsidRPr="0078289D">
        <w:rPr>
          <w:rFonts w:eastAsia="Times New Roman"/>
          <w:sz w:val="28"/>
          <w:szCs w:val="28"/>
          <w:lang w:val="es-ES_tradnl"/>
        </w:rPr>
        <w:t xml:space="preserve">De la jurisprudencia anteriormente reseñada se concluye que si bien la autonomía de las Corporaciones Autónomas Regionales no es absoluta, lo cierto es que el Legislador no está facultado para </w:t>
      </w:r>
      <w:r w:rsidR="00A7244E" w:rsidRPr="0078289D">
        <w:rPr>
          <w:rFonts w:eastAsia="Times New Roman"/>
          <w:sz w:val="28"/>
          <w:szCs w:val="28"/>
          <w:lang w:val="es-ES_tradnl"/>
        </w:rPr>
        <w:t xml:space="preserve">limitar el ejercicio de funciones que </w:t>
      </w:r>
      <w:r w:rsidR="00D72451" w:rsidRPr="0078289D">
        <w:rPr>
          <w:rFonts w:eastAsia="Times New Roman"/>
          <w:sz w:val="28"/>
          <w:szCs w:val="28"/>
          <w:lang w:val="es-ES_tradnl"/>
        </w:rPr>
        <w:t xml:space="preserve">tienden a aumentar la incidencia de las entidades del </w:t>
      </w:r>
      <w:r w:rsidR="00A7244E" w:rsidRPr="0078289D">
        <w:rPr>
          <w:rFonts w:eastAsia="Times New Roman"/>
          <w:sz w:val="28"/>
          <w:szCs w:val="28"/>
          <w:lang w:val="es-ES_tradnl"/>
        </w:rPr>
        <w:t>ámbito regional</w:t>
      </w:r>
      <w:r w:rsidR="00D72451" w:rsidRPr="0078289D">
        <w:rPr>
          <w:rFonts w:eastAsia="Times New Roman"/>
          <w:sz w:val="28"/>
          <w:szCs w:val="28"/>
          <w:lang w:val="es-ES_tradnl"/>
        </w:rPr>
        <w:t xml:space="preserve"> sobre el manejo de sus asuntos</w:t>
      </w:r>
      <w:r w:rsidR="00334E62" w:rsidRPr="0078289D">
        <w:rPr>
          <w:rFonts w:eastAsia="Times New Roman"/>
          <w:sz w:val="28"/>
          <w:szCs w:val="28"/>
          <w:lang w:val="es-ES_tradnl"/>
        </w:rPr>
        <w:t xml:space="preserve">. </w:t>
      </w:r>
      <w:r w:rsidR="00331C0B" w:rsidRPr="0078289D">
        <w:rPr>
          <w:rFonts w:eastAsia="Times New Roman"/>
          <w:sz w:val="28"/>
          <w:szCs w:val="28"/>
          <w:lang w:val="es-ES_tradnl"/>
        </w:rPr>
        <w:t xml:space="preserve">Más aun, la relevancia de este principio en el presente caso </w:t>
      </w:r>
      <w:r w:rsidR="007A65C9" w:rsidRPr="0078289D">
        <w:rPr>
          <w:rFonts w:eastAsia="Times New Roman"/>
          <w:sz w:val="28"/>
          <w:szCs w:val="28"/>
          <w:lang w:val="es-ES_tradnl"/>
        </w:rPr>
        <w:t xml:space="preserve">es mayor teniendo en cuenta que las CAR no sólo están más cerca del ciudadano que las entidades del orden nacional, sino que tienen </w:t>
      </w:r>
      <w:r w:rsidR="00864BB9" w:rsidRPr="0078289D">
        <w:rPr>
          <w:rFonts w:eastAsia="Times New Roman"/>
          <w:sz w:val="28"/>
          <w:szCs w:val="28"/>
          <w:lang w:val="es-ES_tradnl"/>
        </w:rPr>
        <w:t>mayor conocimiento de los ecosistemas que pueden verse afectados por los impactos ambientales de los proyectos en cuestión.</w:t>
      </w:r>
      <w:r w:rsidR="00331C0B" w:rsidRPr="0078289D">
        <w:rPr>
          <w:rFonts w:eastAsia="Times New Roman"/>
          <w:sz w:val="28"/>
          <w:szCs w:val="28"/>
          <w:lang w:val="es-ES_tradnl"/>
        </w:rPr>
        <w:t xml:space="preserve"> </w:t>
      </w:r>
      <w:r w:rsidR="00334E62" w:rsidRPr="0078289D">
        <w:rPr>
          <w:rFonts w:eastAsia="Times New Roman"/>
          <w:sz w:val="28"/>
          <w:szCs w:val="28"/>
          <w:lang w:val="es-ES_tradnl"/>
        </w:rPr>
        <w:t>En particular, cuando se trata de funciones que permiten prevenir la ocurrencia de impactos ambientales,</w:t>
      </w:r>
      <w:r w:rsidR="00840465" w:rsidRPr="0078289D">
        <w:rPr>
          <w:rFonts w:eastAsia="Times New Roman"/>
          <w:sz w:val="28"/>
          <w:szCs w:val="28"/>
          <w:lang w:val="es-ES_tradnl"/>
        </w:rPr>
        <w:t xml:space="preserve"> como es el caso de la expedición de licencias ambientales. En este sentido, al Legislador le está vedado </w:t>
      </w:r>
      <w:r w:rsidR="00390C69" w:rsidRPr="0078289D">
        <w:rPr>
          <w:rFonts w:eastAsia="Times New Roman"/>
          <w:sz w:val="28"/>
          <w:szCs w:val="28"/>
          <w:lang w:val="es-ES_tradnl"/>
        </w:rPr>
        <w:t>trasladar una</w:t>
      </w:r>
      <w:r w:rsidR="00840465" w:rsidRPr="0078289D">
        <w:rPr>
          <w:rFonts w:eastAsia="Times New Roman"/>
          <w:sz w:val="28"/>
          <w:szCs w:val="28"/>
          <w:lang w:val="es-ES_tradnl"/>
        </w:rPr>
        <w:t xml:space="preserve"> competencia a un órgano </w:t>
      </w:r>
      <w:r w:rsidR="00390C69" w:rsidRPr="0078289D">
        <w:rPr>
          <w:rFonts w:eastAsia="Times New Roman"/>
          <w:sz w:val="28"/>
          <w:szCs w:val="28"/>
          <w:lang w:val="es-ES_tradnl"/>
        </w:rPr>
        <w:t xml:space="preserve">de carácter nacional, a menos que esté plenamente justificado por la necesidad de prevenir </w:t>
      </w:r>
      <w:r w:rsidR="00080031" w:rsidRPr="0078289D">
        <w:rPr>
          <w:rFonts w:eastAsia="Times New Roman"/>
          <w:sz w:val="28"/>
          <w:szCs w:val="28"/>
          <w:lang w:val="es-ES_tradnl"/>
        </w:rPr>
        <w:t>impactos ambientales a una escala que desborde la capacidad de las CAR</w:t>
      </w:r>
      <w:r w:rsidR="00840465" w:rsidRPr="0078289D">
        <w:rPr>
          <w:rFonts w:eastAsia="Times New Roman"/>
          <w:sz w:val="28"/>
          <w:szCs w:val="28"/>
          <w:lang w:val="es-ES_tradnl"/>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47783D"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rFonts w:eastAsia="Times New Roman"/>
          <w:sz w:val="28"/>
          <w:szCs w:val="28"/>
          <w:lang w:val="es-ES_tradnl"/>
        </w:rPr>
        <w:t xml:space="preserve">110. </w:t>
      </w:r>
      <w:r w:rsidR="00840465" w:rsidRPr="0078289D">
        <w:rPr>
          <w:rFonts w:eastAsia="Times New Roman"/>
          <w:sz w:val="28"/>
          <w:szCs w:val="28"/>
          <w:lang w:val="es-ES_tradnl"/>
        </w:rPr>
        <w:t>En efecto, el Constituyente mantuvo la figura de las CAR en la Carta Política de 1991, y adicionalmente, la Ley 99 de 1993 asig</w:t>
      </w:r>
      <w:r w:rsidR="00D222BF" w:rsidRPr="0078289D">
        <w:rPr>
          <w:rFonts w:eastAsia="Times New Roman"/>
          <w:sz w:val="28"/>
          <w:szCs w:val="28"/>
          <w:lang w:val="es-ES_tradnl"/>
        </w:rPr>
        <w:t>nó unas competencias en materia</w:t>
      </w:r>
      <w:r w:rsidR="00840465" w:rsidRPr="0078289D">
        <w:rPr>
          <w:rFonts w:eastAsia="Times New Roman"/>
          <w:sz w:val="28"/>
          <w:szCs w:val="28"/>
          <w:lang w:val="es-ES_tradnl"/>
        </w:rPr>
        <w:t xml:space="preserve"> de expedición de licencias ambientales a estas entidades. </w:t>
      </w:r>
      <w:r w:rsidR="00487987" w:rsidRPr="0078289D">
        <w:rPr>
          <w:rFonts w:eastAsia="Times New Roman"/>
          <w:sz w:val="28"/>
          <w:szCs w:val="28"/>
          <w:lang w:val="es-ES_tradnl"/>
        </w:rPr>
        <w:t>Como se mencionó anteriormente, e</w:t>
      </w:r>
      <w:r w:rsidR="00840465" w:rsidRPr="0078289D">
        <w:rPr>
          <w:rFonts w:eastAsia="Times New Roman"/>
          <w:sz w:val="28"/>
          <w:szCs w:val="28"/>
          <w:lang w:val="es-ES_tradnl"/>
        </w:rPr>
        <w:t xml:space="preserve">sta situación obedece a un criterio de razonabilidad: en principio, el hecho de que una entidad con competencias sobre una jurisdicción específica expida licencias ambientales, permite un control más próximo al ciudadano frente a los proyectos que, eventualmente, pueden deteriorar los ecosistemas. </w:t>
      </w:r>
      <w:r w:rsidR="00EE3A54" w:rsidRPr="0078289D">
        <w:rPr>
          <w:rFonts w:eastAsia="Times New Roman"/>
          <w:sz w:val="28"/>
          <w:szCs w:val="28"/>
          <w:lang w:val="es-ES_tradnl"/>
        </w:rPr>
        <w:t>Así mismo</w:t>
      </w:r>
      <w:r w:rsidR="00840465" w:rsidRPr="0078289D">
        <w:rPr>
          <w:rFonts w:eastAsia="Times New Roman"/>
          <w:sz w:val="28"/>
          <w:szCs w:val="28"/>
          <w:lang w:val="es-ES_tradnl"/>
        </w:rPr>
        <w:t xml:space="preserve">, permite que las decisiones de trascendencia regional sean adoptadas por entidades especializadas, las cuales tienen acceso inmediato al análisis de los proyectos y de las evidencias de daños ambientales.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Pr="0078289D" w:rsidRDefault="00E07518"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t xml:space="preserve">111. </w:t>
      </w:r>
      <w:r w:rsidR="00840465" w:rsidRPr="0078289D">
        <w:rPr>
          <w:rFonts w:eastAsia="Times New Roman"/>
          <w:sz w:val="28"/>
          <w:szCs w:val="28"/>
          <w:u w:color="410108"/>
          <w:lang w:val="es-ES"/>
        </w:rPr>
        <w:t>La Corte debe anotar que si bien la Constitución Política no realizó una distribución de competencias en materia de licenciamiento ambiental, lo cierto es que ésta es una de las funciones más importantes a cargo de las autoridades ambientales</w:t>
      </w:r>
      <w:r w:rsidR="00C5608F" w:rsidRPr="0078289D">
        <w:rPr>
          <w:rFonts w:eastAsia="Times New Roman"/>
          <w:sz w:val="28"/>
          <w:szCs w:val="28"/>
          <w:u w:color="410108"/>
          <w:lang w:val="es-ES"/>
        </w:rPr>
        <w:t>, pues como ya se dijo, constituye el instrumento más eficiente para darle aplicación al principio de prevención en materia ambiental</w:t>
      </w:r>
      <w:r w:rsidR="00840465" w:rsidRPr="0078289D">
        <w:rPr>
          <w:rFonts w:eastAsia="Times New Roman"/>
          <w:sz w:val="28"/>
          <w:szCs w:val="28"/>
          <w:u w:color="410108"/>
          <w:lang w:val="es-ES"/>
        </w:rPr>
        <w:t xml:space="preserve">. Así, </w:t>
      </w:r>
      <w:r w:rsidR="00840465" w:rsidRPr="0078289D">
        <w:rPr>
          <w:rFonts w:eastAsia="Times New Roman"/>
          <w:sz w:val="28"/>
          <w:szCs w:val="28"/>
          <w:u w:color="410108"/>
          <w:lang w:val="es-ES"/>
        </w:rPr>
        <w:lastRenderedPageBreak/>
        <w:t>para la Corte es claro que las entidades ambientales locales y regionales mantienen la competencia para otorgar o denegar licencias ambientales en aquellos casos en que el ámbito de</w:t>
      </w:r>
      <w:r w:rsidR="004771F5" w:rsidRPr="0078289D">
        <w:rPr>
          <w:rFonts w:eastAsia="Times New Roman"/>
          <w:sz w:val="28"/>
          <w:szCs w:val="28"/>
          <w:u w:color="410108"/>
          <w:lang w:val="es-ES"/>
        </w:rPr>
        <w:t>l impacto</w:t>
      </w:r>
      <w:r w:rsidR="00840465" w:rsidRPr="0078289D">
        <w:rPr>
          <w:rFonts w:eastAsia="Times New Roman"/>
          <w:sz w:val="28"/>
          <w:szCs w:val="28"/>
          <w:u w:color="410108"/>
          <w:lang w:val="es-ES"/>
        </w:rPr>
        <w:t xml:space="preserve"> </w:t>
      </w:r>
      <w:r w:rsidR="004771F5" w:rsidRPr="0078289D">
        <w:rPr>
          <w:rFonts w:eastAsia="Times New Roman"/>
          <w:sz w:val="28"/>
          <w:szCs w:val="28"/>
          <w:u w:color="410108"/>
          <w:lang w:val="es-ES"/>
        </w:rPr>
        <w:t>de los proyectos sea local o regional, respectivamente</w:t>
      </w:r>
      <w:r w:rsidR="00840465" w:rsidRPr="0078289D">
        <w:rPr>
          <w:rFonts w:eastAsia="Times New Roman"/>
          <w:sz w:val="28"/>
          <w:szCs w:val="28"/>
          <w:u w:color="410108"/>
          <w:lang w:val="es-ES"/>
        </w:rPr>
        <w:t xml:space="preserve">.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t>De esta manera, si bien la importancia del proyecto</w:t>
      </w:r>
      <w:r w:rsidR="001F3D8F" w:rsidRPr="0078289D">
        <w:rPr>
          <w:rFonts w:eastAsia="Times New Roman"/>
          <w:sz w:val="28"/>
          <w:szCs w:val="28"/>
          <w:u w:color="410108"/>
          <w:lang w:val="es-ES"/>
        </w:rPr>
        <w:t xml:space="preserve"> para la nación</w:t>
      </w:r>
      <w:r w:rsidRPr="0078289D">
        <w:rPr>
          <w:rFonts w:eastAsia="Times New Roman"/>
          <w:sz w:val="28"/>
          <w:szCs w:val="28"/>
          <w:u w:color="410108"/>
          <w:lang w:val="es-ES"/>
        </w:rPr>
        <w:t xml:space="preserve"> es un criterio válido para determinar si la autoridad ambiental nacional o regional debe efectuar el otorgamiento de licencias, no puede ser el único</w:t>
      </w:r>
      <w:r w:rsidR="00921726" w:rsidRPr="0078289D">
        <w:rPr>
          <w:rFonts w:eastAsia="Times New Roman"/>
          <w:sz w:val="28"/>
          <w:szCs w:val="28"/>
          <w:u w:color="410108"/>
          <w:lang w:val="es-ES"/>
        </w:rPr>
        <w:t>, toda vez que ello conllevaría</w:t>
      </w:r>
      <w:r w:rsidRPr="0078289D">
        <w:rPr>
          <w:rFonts w:eastAsia="Times New Roman"/>
          <w:sz w:val="28"/>
          <w:szCs w:val="28"/>
          <w:u w:color="410108"/>
          <w:lang w:val="es-ES"/>
        </w:rPr>
        <w:t xml:space="preserve"> </w:t>
      </w:r>
      <w:r w:rsidR="005974AF" w:rsidRPr="0078289D">
        <w:rPr>
          <w:rFonts w:eastAsia="Times New Roman"/>
          <w:sz w:val="28"/>
          <w:szCs w:val="28"/>
          <w:u w:color="410108"/>
          <w:lang w:val="es-ES"/>
        </w:rPr>
        <w:t xml:space="preserve">un desconocimiento del </w:t>
      </w:r>
      <w:r w:rsidR="00B11F81" w:rsidRPr="0078289D">
        <w:rPr>
          <w:rFonts w:eastAsia="Times New Roman"/>
          <w:sz w:val="28"/>
          <w:szCs w:val="28"/>
          <w:u w:color="410108"/>
          <w:lang w:val="es-ES"/>
        </w:rPr>
        <w:t xml:space="preserve">principio de rigor subsidiario, pues </w:t>
      </w:r>
      <w:r w:rsidR="00921726" w:rsidRPr="0078289D">
        <w:rPr>
          <w:rFonts w:eastAsia="Times New Roman"/>
          <w:sz w:val="28"/>
          <w:szCs w:val="28"/>
          <w:u w:color="410108"/>
          <w:lang w:val="es-ES"/>
        </w:rPr>
        <w:t xml:space="preserve">en el presente caso </w:t>
      </w:r>
      <w:r w:rsidR="00B11F81" w:rsidRPr="0078289D">
        <w:rPr>
          <w:rFonts w:eastAsia="Times New Roman"/>
          <w:sz w:val="28"/>
          <w:szCs w:val="28"/>
          <w:u w:color="410108"/>
          <w:lang w:val="es-ES"/>
        </w:rPr>
        <w:t>no existe un principio de razón suficiente que justifique</w:t>
      </w:r>
      <w:r w:rsidR="00921726" w:rsidRPr="0078289D">
        <w:rPr>
          <w:rFonts w:eastAsia="Times New Roman"/>
          <w:sz w:val="28"/>
          <w:szCs w:val="28"/>
          <w:u w:color="410108"/>
          <w:lang w:val="es-ES"/>
        </w:rPr>
        <w:t xml:space="preserve"> una limitación del</w:t>
      </w:r>
      <w:r w:rsidR="00B11F81" w:rsidRPr="0078289D">
        <w:rPr>
          <w:rFonts w:eastAsia="Times New Roman"/>
          <w:sz w:val="28"/>
          <w:szCs w:val="28"/>
          <w:u w:color="410108"/>
          <w:lang w:val="es-ES"/>
        </w:rPr>
        <w:t xml:space="preserve"> </w:t>
      </w:r>
      <w:r w:rsidR="005974AF" w:rsidRPr="0078289D">
        <w:rPr>
          <w:rFonts w:eastAsia="Times New Roman"/>
          <w:sz w:val="28"/>
          <w:szCs w:val="28"/>
          <w:u w:color="410108"/>
          <w:lang w:val="es-ES"/>
        </w:rPr>
        <w:t>régimen de autonomía</w:t>
      </w:r>
      <w:r w:rsidRPr="0078289D">
        <w:rPr>
          <w:rFonts w:eastAsia="Times New Roman"/>
          <w:sz w:val="28"/>
          <w:szCs w:val="28"/>
          <w:u w:color="410108"/>
          <w:lang w:val="es-ES"/>
        </w:rPr>
        <w:t xml:space="preserve"> </w:t>
      </w:r>
      <w:r w:rsidR="00445AEC" w:rsidRPr="0078289D">
        <w:rPr>
          <w:rFonts w:eastAsia="Times New Roman"/>
          <w:sz w:val="28"/>
          <w:szCs w:val="28"/>
          <w:u w:color="410108"/>
          <w:lang w:val="es-ES"/>
        </w:rPr>
        <w:t xml:space="preserve">funcional </w:t>
      </w:r>
      <w:r w:rsidR="005974AF" w:rsidRPr="0078289D">
        <w:rPr>
          <w:rFonts w:eastAsia="Times New Roman"/>
          <w:sz w:val="28"/>
          <w:szCs w:val="28"/>
          <w:u w:color="410108"/>
          <w:lang w:val="es-ES"/>
        </w:rPr>
        <w:t xml:space="preserve">que el numeral 7º del artículo </w:t>
      </w:r>
      <w:r w:rsidRPr="0078289D">
        <w:rPr>
          <w:rFonts w:eastAsia="Times New Roman"/>
          <w:sz w:val="28"/>
          <w:szCs w:val="28"/>
          <w:u w:color="410108"/>
          <w:lang w:val="es-ES"/>
        </w:rPr>
        <w:t xml:space="preserve"> </w:t>
      </w:r>
      <w:r w:rsidR="005974AF" w:rsidRPr="0078289D">
        <w:rPr>
          <w:rFonts w:eastAsia="Times New Roman"/>
          <w:sz w:val="28"/>
          <w:szCs w:val="28"/>
          <w:u w:color="410108"/>
          <w:lang w:val="es-ES"/>
        </w:rPr>
        <w:t xml:space="preserve">150 de la Constitución le atribuye a </w:t>
      </w:r>
      <w:r w:rsidRPr="0078289D">
        <w:rPr>
          <w:rFonts w:eastAsia="Times New Roman"/>
          <w:sz w:val="28"/>
          <w:szCs w:val="28"/>
          <w:u w:color="410108"/>
          <w:lang w:val="es-ES"/>
        </w:rPr>
        <w:t>las CAR</w:t>
      </w:r>
      <w:r w:rsidR="00921726" w:rsidRPr="0078289D">
        <w:rPr>
          <w:rFonts w:eastAsia="Times New Roman"/>
          <w:sz w:val="28"/>
          <w:szCs w:val="28"/>
          <w:u w:color="410108"/>
          <w:lang w:val="es-ES"/>
        </w:rPr>
        <w:t>, como pasa a explicarse a continuación</w:t>
      </w:r>
      <w:r w:rsidRPr="0078289D">
        <w:rPr>
          <w:rFonts w:eastAsia="Times New Roman"/>
          <w:sz w:val="28"/>
          <w:szCs w:val="28"/>
          <w:u w:color="410108"/>
          <w:lang w:val="es-ES"/>
        </w:rPr>
        <w:t xml:space="preserve">. </w:t>
      </w:r>
    </w:p>
    <w:p w:rsidR="0047783D" w:rsidRPr="0078289D" w:rsidRDefault="0047783D"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lang w:val="es-ES_tradnl"/>
        </w:rPr>
      </w:pPr>
    </w:p>
    <w:p w:rsidR="00BF69D7" w:rsidRPr="0078289D" w:rsidRDefault="0047783D"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1</w:t>
      </w:r>
      <w:r w:rsidR="00B8516C" w:rsidRPr="0078289D">
        <w:rPr>
          <w:rFonts w:eastAsia="Times New Roman"/>
          <w:sz w:val="28"/>
          <w:szCs w:val="28"/>
          <w:lang w:val="es-ES_tradnl"/>
        </w:rPr>
        <w:t>1</w:t>
      </w:r>
      <w:r w:rsidRPr="0078289D">
        <w:rPr>
          <w:rFonts w:eastAsia="Times New Roman"/>
          <w:sz w:val="28"/>
          <w:szCs w:val="28"/>
          <w:lang w:val="es-ES_tradnl"/>
        </w:rPr>
        <w:t xml:space="preserve">2. </w:t>
      </w:r>
      <w:r w:rsidR="00921726" w:rsidRPr="0078289D">
        <w:rPr>
          <w:rFonts w:eastAsia="Times New Roman"/>
          <w:sz w:val="28"/>
          <w:szCs w:val="28"/>
          <w:lang w:val="es-ES_tradnl"/>
        </w:rPr>
        <w:t>A</w:t>
      </w:r>
      <w:r w:rsidR="00840465" w:rsidRPr="0078289D">
        <w:rPr>
          <w:rFonts w:eastAsia="Times New Roman"/>
          <w:sz w:val="28"/>
          <w:szCs w:val="28"/>
          <w:lang w:val="es-ES_tradnl"/>
        </w:rPr>
        <w:t xml:space="preserve">lgunos intervinientes manifestaron que la expedición de licencias exclusivamente a cargo de la Agencia Nacional de Licencias Ambientales se fundaba en el hecho de que los proyectos </w:t>
      </w:r>
      <w:r w:rsidR="002B4FDD" w:rsidRPr="0078289D">
        <w:rPr>
          <w:rFonts w:eastAsia="Times New Roman"/>
          <w:sz w:val="28"/>
          <w:szCs w:val="28"/>
          <w:lang w:val="es-ES_tradnl"/>
        </w:rPr>
        <w:t xml:space="preserve">PINE son </w:t>
      </w:r>
      <w:r w:rsidR="00840465" w:rsidRPr="0078289D">
        <w:rPr>
          <w:rFonts w:eastAsia="Times New Roman"/>
          <w:sz w:val="28"/>
          <w:szCs w:val="28"/>
          <w:lang w:val="es-ES_tradnl"/>
        </w:rPr>
        <w:t>de interés estratégico nacional</w:t>
      </w:r>
      <w:r w:rsidR="002B4FDD" w:rsidRPr="0078289D">
        <w:rPr>
          <w:rFonts w:eastAsia="Times New Roman"/>
          <w:sz w:val="28"/>
          <w:szCs w:val="28"/>
          <w:lang w:val="es-ES_tradnl"/>
        </w:rPr>
        <w:t>,</w:t>
      </w:r>
      <w:r w:rsidR="00840465" w:rsidRPr="0078289D">
        <w:rPr>
          <w:rFonts w:eastAsia="Times New Roman"/>
          <w:sz w:val="28"/>
          <w:szCs w:val="28"/>
          <w:lang w:val="es-ES_tradnl"/>
        </w:rPr>
        <w:t xml:space="preserve"> </w:t>
      </w:r>
      <w:r w:rsidR="002B4FDD" w:rsidRPr="0078289D">
        <w:rPr>
          <w:rFonts w:eastAsia="Times New Roman"/>
          <w:sz w:val="28"/>
          <w:szCs w:val="28"/>
          <w:lang w:val="es-ES_tradnl"/>
        </w:rPr>
        <w:t>por lo cual tienen</w:t>
      </w:r>
      <w:r w:rsidR="00840465" w:rsidRPr="0078289D">
        <w:rPr>
          <w:rFonts w:eastAsia="Times New Roman"/>
          <w:sz w:val="28"/>
          <w:szCs w:val="28"/>
          <w:lang w:val="es-ES_tradnl"/>
        </w:rPr>
        <w:t xml:space="preserve"> un ámbito de incidencia que exced</w:t>
      </w:r>
      <w:r w:rsidR="002B4FDD" w:rsidRPr="0078289D">
        <w:rPr>
          <w:rFonts w:eastAsia="Times New Roman"/>
          <w:sz w:val="28"/>
          <w:szCs w:val="28"/>
          <w:lang w:val="es-ES_tradnl"/>
        </w:rPr>
        <w:t>e</w:t>
      </w:r>
      <w:r w:rsidR="00840465" w:rsidRPr="0078289D">
        <w:rPr>
          <w:rFonts w:eastAsia="Times New Roman"/>
          <w:sz w:val="28"/>
          <w:szCs w:val="28"/>
          <w:lang w:val="es-ES_tradnl"/>
        </w:rPr>
        <w:t xml:space="preserve"> lo regional.  No obstante, la Sala no acepta el referido argumento. </w:t>
      </w:r>
      <w:r w:rsidR="001979D7" w:rsidRPr="0078289D">
        <w:rPr>
          <w:rFonts w:eastAsia="Times New Roman"/>
          <w:sz w:val="28"/>
          <w:szCs w:val="28"/>
          <w:lang w:val="es-ES_tradnl"/>
        </w:rPr>
        <w:t>E</w:t>
      </w:r>
      <w:r w:rsidR="00236832" w:rsidRPr="0078289D">
        <w:rPr>
          <w:rFonts w:eastAsia="Times New Roman"/>
          <w:sz w:val="28"/>
          <w:szCs w:val="28"/>
          <w:lang w:val="es-ES_tradnl"/>
        </w:rPr>
        <w:t xml:space="preserve">l hecho de que se trate de proyectos </w:t>
      </w:r>
      <w:r w:rsidR="001979D7" w:rsidRPr="0078289D">
        <w:rPr>
          <w:rFonts w:eastAsia="Times New Roman"/>
          <w:sz w:val="28"/>
          <w:szCs w:val="28"/>
          <w:lang w:val="es-ES_tradnl"/>
        </w:rPr>
        <w:t xml:space="preserve">calificados como </w:t>
      </w:r>
      <w:r w:rsidR="00236832" w:rsidRPr="0078289D">
        <w:rPr>
          <w:rFonts w:eastAsia="Times New Roman"/>
          <w:sz w:val="28"/>
          <w:szCs w:val="28"/>
          <w:lang w:val="es-ES_tradnl"/>
        </w:rPr>
        <w:t>de interés nacional no significa que los impactos ambientales trasciendan el nivel regional</w:t>
      </w:r>
      <w:r w:rsidR="001979D7" w:rsidRPr="0078289D">
        <w:rPr>
          <w:rFonts w:eastAsia="Times New Roman"/>
          <w:sz w:val="28"/>
          <w:szCs w:val="28"/>
          <w:lang w:val="es-ES_tradnl"/>
        </w:rPr>
        <w:t>,</w:t>
      </w:r>
      <w:r w:rsidR="00D35C66" w:rsidRPr="0078289D">
        <w:rPr>
          <w:rFonts w:eastAsia="Times New Roman"/>
          <w:sz w:val="28"/>
          <w:szCs w:val="28"/>
          <w:lang w:val="es-ES_tradnl"/>
        </w:rPr>
        <w:t xml:space="preserve"> o </w:t>
      </w:r>
      <w:r w:rsidR="003A6E59" w:rsidRPr="0078289D">
        <w:rPr>
          <w:rFonts w:eastAsia="Times New Roman"/>
          <w:sz w:val="28"/>
          <w:szCs w:val="28"/>
          <w:lang w:val="es-ES_tradnl"/>
        </w:rPr>
        <w:t>que el análisis de los mismos desborde</w:t>
      </w:r>
      <w:r w:rsidR="00D35C66" w:rsidRPr="0078289D">
        <w:rPr>
          <w:rFonts w:eastAsia="Times New Roman"/>
          <w:sz w:val="28"/>
          <w:szCs w:val="28"/>
          <w:lang w:val="es-ES_tradnl"/>
        </w:rPr>
        <w:t xml:space="preserve"> la capacidad operativa de las CAR</w:t>
      </w:r>
      <w:r w:rsidR="00236832" w:rsidRPr="0078289D">
        <w:rPr>
          <w:rFonts w:eastAsia="Times New Roman"/>
          <w:sz w:val="28"/>
          <w:szCs w:val="28"/>
          <w:lang w:val="es-ES_tradnl"/>
        </w:rPr>
        <w:t xml:space="preserve">. </w:t>
      </w:r>
      <w:r w:rsidR="002B4FDD" w:rsidRPr="0078289D">
        <w:rPr>
          <w:rFonts w:eastAsia="Times New Roman"/>
          <w:sz w:val="28"/>
          <w:szCs w:val="28"/>
          <w:lang w:val="es-ES_tradnl"/>
        </w:rPr>
        <w:t>Como lo ha sostenido la jurisprudencia constitucional, y en particular la</w:t>
      </w:r>
      <w:r w:rsidR="00D71CC7" w:rsidRPr="0078289D">
        <w:rPr>
          <w:rFonts w:eastAsia="Times New Roman"/>
          <w:sz w:val="28"/>
          <w:szCs w:val="28"/>
          <w:lang w:val="es-ES_tradnl"/>
        </w:rPr>
        <w:t xml:space="preserve"> </w:t>
      </w:r>
      <w:r w:rsidR="00D71CC7" w:rsidRPr="0078289D">
        <w:rPr>
          <w:rFonts w:eastAsia="Times New Roman"/>
          <w:b/>
          <w:sz w:val="28"/>
          <w:szCs w:val="28"/>
          <w:lang w:val="es-ES_tradnl"/>
        </w:rPr>
        <w:t>Sentencia</w:t>
      </w:r>
      <w:r w:rsidR="002B4FDD" w:rsidRPr="0078289D">
        <w:rPr>
          <w:rFonts w:eastAsia="Times New Roman"/>
          <w:b/>
          <w:sz w:val="28"/>
          <w:szCs w:val="28"/>
          <w:lang w:val="es-ES_tradnl"/>
        </w:rPr>
        <w:t xml:space="preserve"> C-</w:t>
      </w:r>
      <w:r w:rsidR="00800743" w:rsidRPr="0078289D">
        <w:rPr>
          <w:rFonts w:eastAsia="Times New Roman"/>
          <w:b/>
          <w:sz w:val="28"/>
          <w:szCs w:val="28"/>
          <w:lang w:val="es-ES_tradnl"/>
        </w:rPr>
        <w:t>593 de 1995</w:t>
      </w:r>
      <w:r w:rsidR="00800743" w:rsidRPr="0078289D">
        <w:rPr>
          <w:rFonts w:eastAsia="Times New Roman"/>
          <w:sz w:val="28"/>
          <w:szCs w:val="28"/>
          <w:lang w:val="es-ES_tradnl"/>
        </w:rPr>
        <w:t xml:space="preserve"> y lo reiteró la </w:t>
      </w:r>
      <w:r w:rsidR="00800743" w:rsidRPr="0078289D">
        <w:rPr>
          <w:rFonts w:eastAsia="Times New Roman"/>
          <w:b/>
          <w:sz w:val="28"/>
          <w:szCs w:val="28"/>
          <w:lang w:val="es-ES_tradnl"/>
        </w:rPr>
        <w:t>Sentencia C-462 de 2008</w:t>
      </w:r>
      <w:r w:rsidR="00800743" w:rsidRPr="0078289D">
        <w:rPr>
          <w:rFonts w:eastAsia="Times New Roman"/>
          <w:sz w:val="28"/>
          <w:szCs w:val="28"/>
          <w:lang w:val="es-ES_tradnl"/>
        </w:rPr>
        <w:t>, “</w:t>
      </w:r>
      <w:r w:rsidR="00800743" w:rsidRPr="0078289D">
        <w:rPr>
          <w:rFonts w:eastAsia="Times New Roman"/>
          <w:i/>
          <w:iCs/>
          <w:sz w:val="28"/>
          <w:szCs w:val="28"/>
          <w:lang w:val="es-ES"/>
        </w:rPr>
        <w:t>el impacto del bien jurídico sobre el que se ejerce la función administrativa determina el nivel de autonomía de la entidad.</w:t>
      </w:r>
      <w:r w:rsidR="00800743" w:rsidRPr="0078289D">
        <w:rPr>
          <w:rFonts w:eastAsia="Times New Roman"/>
          <w:iCs/>
          <w:sz w:val="28"/>
          <w:szCs w:val="28"/>
          <w:lang w:val="es-ES"/>
        </w:rPr>
        <w:t>”</w:t>
      </w:r>
      <w:r w:rsidR="002B4FDD" w:rsidRPr="0078289D">
        <w:rPr>
          <w:rFonts w:eastAsia="Times New Roman"/>
          <w:sz w:val="28"/>
          <w:szCs w:val="28"/>
          <w:lang w:val="es-ES_tradnl"/>
        </w:rPr>
        <w:t xml:space="preserve"> </w:t>
      </w:r>
      <w:r w:rsidR="00D71CC7" w:rsidRPr="0078289D">
        <w:rPr>
          <w:rFonts w:eastAsia="Times New Roman"/>
          <w:sz w:val="28"/>
          <w:szCs w:val="28"/>
          <w:lang w:val="es-ES_tradnl"/>
        </w:rPr>
        <w:t xml:space="preserve">En el presente caso, la función administrativa respectiva consiste, precisamente, en </w:t>
      </w:r>
      <w:r w:rsidR="001A7950" w:rsidRPr="0078289D">
        <w:rPr>
          <w:rFonts w:eastAsia="Times New Roman"/>
          <w:sz w:val="28"/>
          <w:szCs w:val="28"/>
          <w:lang w:val="es-ES_tradnl"/>
        </w:rPr>
        <w:t xml:space="preserve">la evaluación del impacto ambiental de una obra o proyecto, y el diseño de medidas de tendientes a </w:t>
      </w:r>
      <w:r w:rsidR="005F1F8C" w:rsidRPr="0078289D">
        <w:rPr>
          <w:rFonts w:eastAsia="Times New Roman"/>
          <w:sz w:val="28"/>
          <w:szCs w:val="28"/>
          <w:lang w:val="es-ES_tradnl"/>
        </w:rPr>
        <w:t>su</w:t>
      </w:r>
      <w:r w:rsidR="001A7950" w:rsidRPr="0078289D">
        <w:rPr>
          <w:rFonts w:eastAsia="Times New Roman"/>
          <w:sz w:val="28"/>
          <w:szCs w:val="28"/>
          <w:lang w:val="es-ES_tradnl"/>
        </w:rPr>
        <w:t xml:space="preserve"> prevención, mitigación, </w:t>
      </w:r>
      <w:r w:rsidR="005F1F8C" w:rsidRPr="0078289D">
        <w:rPr>
          <w:rFonts w:eastAsia="Times New Roman"/>
          <w:sz w:val="28"/>
          <w:szCs w:val="28"/>
          <w:lang w:val="es-ES_tradnl"/>
        </w:rPr>
        <w:t>corrección, y compensación. En esa medida, resulta indiscutible que el</w:t>
      </w:r>
      <w:r w:rsidR="009F28ED" w:rsidRPr="0078289D">
        <w:rPr>
          <w:rFonts w:eastAsia="Times New Roman"/>
          <w:sz w:val="28"/>
          <w:szCs w:val="28"/>
          <w:lang w:val="es-ES_tradnl"/>
        </w:rPr>
        <w:t xml:space="preserve"> principal</w:t>
      </w:r>
      <w:r w:rsidR="005F1F8C" w:rsidRPr="0078289D">
        <w:rPr>
          <w:rFonts w:eastAsia="Times New Roman"/>
          <w:sz w:val="28"/>
          <w:szCs w:val="28"/>
          <w:lang w:val="es-ES_tradnl"/>
        </w:rPr>
        <w:t xml:space="preserve"> bien jurí</w:t>
      </w:r>
      <w:r w:rsidR="009F28ED" w:rsidRPr="0078289D">
        <w:rPr>
          <w:rFonts w:eastAsia="Times New Roman"/>
          <w:sz w:val="28"/>
          <w:szCs w:val="28"/>
          <w:lang w:val="es-ES_tradnl"/>
        </w:rPr>
        <w:t>dico afectado es el derecho constitucio</w:t>
      </w:r>
      <w:r w:rsidR="00C655B2" w:rsidRPr="0078289D">
        <w:rPr>
          <w:rFonts w:eastAsia="Times New Roman"/>
          <w:sz w:val="28"/>
          <w:szCs w:val="28"/>
          <w:lang w:val="es-ES_tradnl"/>
        </w:rPr>
        <w:t xml:space="preserve">nal a gozar de un ambiente sano y los deberes correlativos que este derecho conlleva, </w:t>
      </w:r>
      <w:r w:rsidR="004B6EC0" w:rsidRPr="0078289D">
        <w:rPr>
          <w:rFonts w:eastAsia="Times New Roman"/>
          <w:sz w:val="28"/>
          <w:szCs w:val="28"/>
          <w:lang w:val="es-ES_tradnl"/>
        </w:rPr>
        <w:t xml:space="preserve">reconocidos </w:t>
      </w:r>
      <w:r w:rsidR="00C655B2" w:rsidRPr="0078289D">
        <w:rPr>
          <w:rFonts w:eastAsia="Times New Roman"/>
          <w:sz w:val="28"/>
          <w:szCs w:val="28"/>
          <w:lang w:val="es-ES_tradnl"/>
        </w:rPr>
        <w:t>en los artículos 79</w:t>
      </w:r>
      <w:r w:rsidR="004B6EC0" w:rsidRPr="0078289D">
        <w:rPr>
          <w:rFonts w:eastAsia="Times New Roman"/>
          <w:sz w:val="28"/>
          <w:szCs w:val="28"/>
          <w:lang w:val="es-ES_tradnl"/>
        </w:rPr>
        <w:t>, 95</w:t>
      </w:r>
      <w:r w:rsidR="00C655B2" w:rsidRPr="0078289D">
        <w:rPr>
          <w:rFonts w:eastAsia="Times New Roman"/>
          <w:sz w:val="28"/>
          <w:szCs w:val="28"/>
          <w:lang w:val="es-ES_tradnl"/>
        </w:rPr>
        <w:t xml:space="preserve"> y 334 </w:t>
      </w:r>
      <w:r w:rsidR="004B6EC0" w:rsidRPr="0078289D">
        <w:rPr>
          <w:rFonts w:eastAsia="Times New Roman"/>
          <w:sz w:val="28"/>
          <w:szCs w:val="28"/>
          <w:lang w:val="es-ES_tradnl"/>
        </w:rPr>
        <w:t>de la Carta.</w:t>
      </w:r>
      <w:r w:rsidR="001A7950" w:rsidRPr="0078289D">
        <w:rPr>
          <w:rFonts w:eastAsia="Times New Roman"/>
          <w:sz w:val="28"/>
          <w:szCs w:val="28"/>
          <w:lang w:val="es-ES_tradnl"/>
        </w:rPr>
        <w:t xml:space="preserve"> </w:t>
      </w:r>
      <w:r w:rsidR="001979D7" w:rsidRPr="0078289D">
        <w:rPr>
          <w:rFonts w:eastAsia="Times New Roman"/>
          <w:sz w:val="28"/>
          <w:szCs w:val="28"/>
          <w:lang w:val="es-ES_tradnl"/>
        </w:rPr>
        <w:t>Por otra parte</w:t>
      </w:r>
      <w:r w:rsidR="00840465" w:rsidRPr="0078289D">
        <w:rPr>
          <w:rFonts w:eastAsia="Times New Roman"/>
          <w:sz w:val="28"/>
          <w:szCs w:val="28"/>
          <w:lang w:val="es-ES_tradnl"/>
        </w:rPr>
        <w:t xml:space="preserve">, </w:t>
      </w:r>
      <w:r w:rsidR="00A613B3" w:rsidRPr="0078289D">
        <w:rPr>
          <w:rFonts w:eastAsia="Times New Roman"/>
          <w:sz w:val="28"/>
          <w:szCs w:val="28"/>
          <w:lang w:val="es-ES_tradnl"/>
        </w:rPr>
        <w:t xml:space="preserve">el nivel de protección ambiental provisto por las </w:t>
      </w:r>
      <w:r w:rsidR="00E470D6" w:rsidRPr="0078289D">
        <w:rPr>
          <w:rFonts w:eastAsia="Times New Roman"/>
          <w:sz w:val="28"/>
          <w:szCs w:val="28"/>
          <w:lang w:val="es-ES_tradnl"/>
        </w:rPr>
        <w:t>CAR es el mismo que el del ANLA.</w:t>
      </w:r>
      <w:r w:rsidR="00A613B3" w:rsidRPr="0078289D">
        <w:rPr>
          <w:rFonts w:eastAsia="Times New Roman"/>
          <w:sz w:val="28"/>
          <w:szCs w:val="28"/>
          <w:lang w:val="es-ES_tradnl"/>
        </w:rPr>
        <w:t xml:space="preserve"> </w:t>
      </w:r>
      <w:r w:rsidR="00E470D6" w:rsidRPr="0078289D">
        <w:rPr>
          <w:rFonts w:eastAsia="Times New Roman"/>
          <w:sz w:val="28"/>
          <w:szCs w:val="28"/>
          <w:lang w:val="es-ES_tradnl"/>
        </w:rPr>
        <w:t>A</w:t>
      </w:r>
      <w:r w:rsidR="004B6EC0" w:rsidRPr="0078289D">
        <w:rPr>
          <w:rFonts w:eastAsia="Times New Roman"/>
          <w:sz w:val="28"/>
          <w:szCs w:val="28"/>
          <w:lang w:val="es-ES_tradnl"/>
        </w:rPr>
        <w:t>demás de estar sujetas a un mismo procedimiento,</w:t>
      </w:r>
      <w:r w:rsidR="00A613B3" w:rsidRPr="0078289D">
        <w:rPr>
          <w:rFonts w:eastAsia="Times New Roman"/>
          <w:sz w:val="28"/>
          <w:szCs w:val="28"/>
          <w:lang w:val="es-ES_tradnl"/>
        </w:rPr>
        <w:t xml:space="preserve"> </w:t>
      </w:r>
      <w:r w:rsidR="00840465" w:rsidRPr="0078289D">
        <w:rPr>
          <w:rFonts w:eastAsia="Times New Roman"/>
          <w:sz w:val="28"/>
          <w:szCs w:val="28"/>
          <w:lang w:val="es-ES_tradnl"/>
        </w:rPr>
        <w:t>tal y como se señaló en las consideraciones a</w:t>
      </w:r>
      <w:r w:rsidR="00E470D6" w:rsidRPr="0078289D">
        <w:rPr>
          <w:rFonts w:eastAsia="Times New Roman"/>
          <w:sz w:val="28"/>
          <w:szCs w:val="28"/>
          <w:lang w:val="es-ES_tradnl"/>
        </w:rPr>
        <w:t>nteriores</w:t>
      </w:r>
      <w:r w:rsidR="00840465" w:rsidRPr="0078289D">
        <w:rPr>
          <w:rFonts w:eastAsia="Times New Roman"/>
          <w:sz w:val="28"/>
          <w:szCs w:val="28"/>
          <w:lang w:val="es-ES_tradnl"/>
        </w:rPr>
        <w:t xml:space="preserve"> </w:t>
      </w:r>
      <w:r w:rsidR="00E470D6" w:rsidRPr="0078289D">
        <w:rPr>
          <w:rFonts w:eastAsia="Times New Roman"/>
          <w:sz w:val="28"/>
          <w:szCs w:val="28"/>
          <w:lang w:val="es-ES_tradnl"/>
        </w:rPr>
        <w:t>las CAR</w:t>
      </w:r>
      <w:r w:rsidR="00840465" w:rsidRPr="0078289D">
        <w:rPr>
          <w:rFonts w:eastAsia="Times New Roman"/>
          <w:sz w:val="28"/>
          <w:szCs w:val="28"/>
          <w:lang w:val="es-ES_tradnl"/>
        </w:rPr>
        <w:t xml:space="preserve"> </w:t>
      </w:r>
      <w:r w:rsidR="00E470D6" w:rsidRPr="0078289D">
        <w:rPr>
          <w:rFonts w:eastAsia="Times New Roman"/>
          <w:sz w:val="28"/>
          <w:szCs w:val="28"/>
          <w:lang w:val="es-ES_tradnl"/>
        </w:rPr>
        <w:t>están</w:t>
      </w:r>
      <w:r w:rsidR="00840465" w:rsidRPr="0078289D">
        <w:rPr>
          <w:rFonts w:eastAsia="Times New Roman"/>
          <w:sz w:val="28"/>
          <w:szCs w:val="28"/>
          <w:lang w:val="es-ES_tradnl"/>
        </w:rPr>
        <w:t xml:space="preserve"> en la obligación de aplicar las normas jurídicas de carácter </w:t>
      </w:r>
      <w:r w:rsidR="00F65D4C" w:rsidRPr="0078289D">
        <w:rPr>
          <w:rFonts w:eastAsia="Times New Roman"/>
          <w:sz w:val="28"/>
          <w:szCs w:val="28"/>
          <w:lang w:val="es-ES_tradnl"/>
        </w:rPr>
        <w:t>nacional</w:t>
      </w:r>
      <w:r w:rsidR="00840465" w:rsidRPr="0078289D">
        <w:rPr>
          <w:rFonts w:eastAsia="Times New Roman"/>
          <w:sz w:val="28"/>
          <w:szCs w:val="28"/>
          <w:lang w:val="es-ES_tradnl"/>
        </w:rPr>
        <w:t>, como es el caso de aquéllas que consagran el marco de la política ambiental</w:t>
      </w:r>
      <w:r w:rsidR="00BF69D7" w:rsidRPr="0078289D">
        <w:rPr>
          <w:rFonts w:eastAsia="Times New Roman"/>
          <w:sz w:val="28"/>
          <w:szCs w:val="28"/>
          <w:lang w:val="es-ES_tradnl"/>
        </w:rPr>
        <w:t xml:space="preserve"> nacional</w:t>
      </w:r>
      <w:r w:rsidR="00840465" w:rsidRPr="0078289D">
        <w:rPr>
          <w:rFonts w:eastAsia="Times New Roman"/>
          <w:sz w:val="28"/>
          <w:szCs w:val="28"/>
          <w:lang w:val="es-ES_tradnl"/>
        </w:rPr>
        <w:t xml:space="preserve">. </w:t>
      </w:r>
    </w:p>
    <w:p w:rsidR="00BF69D7" w:rsidRPr="0078289D" w:rsidRDefault="00BF69D7"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lang w:val="es-ES_tradnl"/>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xml:space="preserve">En este sentido, la afectación </w:t>
      </w:r>
      <w:r w:rsidR="00D35C66" w:rsidRPr="0078289D">
        <w:rPr>
          <w:rFonts w:eastAsia="Times New Roman"/>
          <w:sz w:val="28"/>
          <w:szCs w:val="28"/>
          <w:lang w:val="es-ES_tradnl"/>
        </w:rPr>
        <w:t>de</w:t>
      </w:r>
      <w:r w:rsidRPr="0078289D">
        <w:rPr>
          <w:rFonts w:eastAsia="Times New Roman"/>
          <w:sz w:val="28"/>
          <w:szCs w:val="28"/>
          <w:lang w:val="es-ES_tradnl"/>
        </w:rPr>
        <w:t>l principio de autonomía fue excesivamente gravosa</w:t>
      </w:r>
      <w:r w:rsidR="00D35C66" w:rsidRPr="0078289D">
        <w:rPr>
          <w:rFonts w:eastAsia="Times New Roman"/>
          <w:sz w:val="28"/>
          <w:szCs w:val="28"/>
          <w:lang w:val="es-ES_tradnl"/>
        </w:rPr>
        <w:t xml:space="preserve"> e injustificada</w:t>
      </w:r>
      <w:r w:rsidRPr="0078289D">
        <w:rPr>
          <w:rFonts w:eastAsia="Times New Roman"/>
          <w:sz w:val="28"/>
          <w:szCs w:val="28"/>
          <w:lang w:val="es-ES_tradnl"/>
        </w:rPr>
        <w:t xml:space="preserve">, especialmente si se advierte que con la medida adoptada por el Legislador no se </w:t>
      </w:r>
      <w:r w:rsidR="00BE657E" w:rsidRPr="0078289D">
        <w:rPr>
          <w:rFonts w:eastAsia="Times New Roman"/>
          <w:sz w:val="28"/>
          <w:szCs w:val="28"/>
          <w:lang w:val="es-ES_tradnl"/>
        </w:rPr>
        <w:t>otorga</w:t>
      </w:r>
      <w:r w:rsidR="002778FA" w:rsidRPr="0078289D">
        <w:rPr>
          <w:rFonts w:eastAsia="Times New Roman"/>
          <w:sz w:val="28"/>
          <w:szCs w:val="28"/>
          <w:lang w:val="es-ES_tradnl"/>
        </w:rPr>
        <w:t xml:space="preserve"> un mayor nivel de protección</w:t>
      </w:r>
      <w:r w:rsidR="00445AEC" w:rsidRPr="0078289D">
        <w:rPr>
          <w:rFonts w:eastAsia="Times New Roman"/>
          <w:sz w:val="28"/>
          <w:szCs w:val="28"/>
          <w:lang w:val="es-ES_tradnl"/>
        </w:rPr>
        <w:t xml:space="preserve"> </w:t>
      </w:r>
      <w:r w:rsidR="002778FA" w:rsidRPr="0078289D">
        <w:rPr>
          <w:rFonts w:eastAsia="Times New Roman"/>
          <w:sz w:val="28"/>
          <w:szCs w:val="28"/>
          <w:lang w:val="es-ES_tradnl"/>
        </w:rPr>
        <w:t>a los ecosistemas potencialmente afectados</w:t>
      </w:r>
      <w:r w:rsidR="00BF69D7" w:rsidRPr="0078289D">
        <w:rPr>
          <w:rFonts w:eastAsia="Times New Roman"/>
          <w:sz w:val="28"/>
          <w:szCs w:val="28"/>
          <w:lang w:val="es-ES_tradnl"/>
        </w:rPr>
        <w:t xml:space="preserve"> por los PINE</w:t>
      </w:r>
      <w:r w:rsidRPr="0078289D">
        <w:rPr>
          <w:rFonts w:eastAsia="Times New Roman"/>
          <w:sz w:val="28"/>
          <w:szCs w:val="28"/>
          <w:lang w:val="es-ES_tradnl"/>
        </w:rPr>
        <w:t xml:space="preserve">.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Pr="0078289D" w:rsidRDefault="0047783D"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t xml:space="preserve">113. </w:t>
      </w:r>
      <w:r w:rsidR="00840465" w:rsidRPr="0078289D">
        <w:rPr>
          <w:rFonts w:eastAsia="Times New Roman"/>
          <w:sz w:val="28"/>
          <w:szCs w:val="28"/>
          <w:u w:color="410108"/>
          <w:lang w:val="es-ES"/>
        </w:rPr>
        <w:t xml:space="preserve">Finalmente, el hecho de que la CIIPE, a saber, una entidad del orden nacional, establezca los criterios para la determinación de un proyecto PINE, y que por lo tanto, determine la competencia de la entidad encargada de otorgar licencias ambientales, también repercute en </w:t>
      </w:r>
      <w:r w:rsidR="004771F5" w:rsidRPr="0078289D">
        <w:rPr>
          <w:rFonts w:eastAsia="Times New Roman"/>
          <w:sz w:val="28"/>
          <w:szCs w:val="28"/>
          <w:u w:color="410108"/>
          <w:lang w:val="es-ES"/>
        </w:rPr>
        <w:t xml:space="preserve">la autonomía </w:t>
      </w:r>
      <w:r w:rsidR="00840465" w:rsidRPr="0078289D">
        <w:rPr>
          <w:rFonts w:eastAsia="Times New Roman"/>
          <w:sz w:val="28"/>
          <w:szCs w:val="28"/>
          <w:u w:color="410108"/>
          <w:lang w:val="es-ES"/>
        </w:rPr>
        <w:t xml:space="preserve">de las CAR.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lastRenderedPageBreak/>
        <w:t xml:space="preserve">En consecuencia, </w:t>
      </w:r>
      <w:r w:rsidR="00743EF8" w:rsidRPr="0078289D">
        <w:rPr>
          <w:rFonts w:eastAsia="Times New Roman"/>
          <w:sz w:val="28"/>
          <w:szCs w:val="28"/>
          <w:u w:color="410108"/>
          <w:lang w:val="es-ES"/>
        </w:rPr>
        <w:t>el traslado</w:t>
      </w:r>
      <w:r w:rsidRPr="0078289D">
        <w:rPr>
          <w:rFonts w:eastAsia="Times New Roman"/>
          <w:sz w:val="28"/>
          <w:szCs w:val="28"/>
          <w:u w:color="410108"/>
          <w:lang w:val="es-ES"/>
        </w:rPr>
        <w:t xml:space="preserve"> de la competencia </w:t>
      </w:r>
      <w:r w:rsidR="00743EF8" w:rsidRPr="0078289D">
        <w:rPr>
          <w:rFonts w:eastAsia="Times New Roman"/>
          <w:sz w:val="28"/>
          <w:szCs w:val="28"/>
          <w:u w:color="410108"/>
          <w:lang w:val="es-ES"/>
        </w:rPr>
        <w:t>para expedir licencias ambientales</w:t>
      </w:r>
      <w:r w:rsidRPr="0078289D">
        <w:rPr>
          <w:rFonts w:eastAsia="Times New Roman"/>
          <w:sz w:val="28"/>
          <w:szCs w:val="28"/>
          <w:u w:color="410108"/>
          <w:lang w:val="es-ES"/>
        </w:rPr>
        <w:t xml:space="preserve"> </w:t>
      </w:r>
      <w:r w:rsidR="00743EF8" w:rsidRPr="0078289D">
        <w:rPr>
          <w:rFonts w:eastAsia="Times New Roman"/>
          <w:sz w:val="28"/>
          <w:szCs w:val="28"/>
          <w:u w:color="410108"/>
          <w:lang w:val="es-ES"/>
        </w:rPr>
        <w:t>de las CAR a la ANLA no se ajusta a la Constitución Política</w:t>
      </w:r>
      <w:r w:rsidRPr="0078289D">
        <w:rPr>
          <w:rFonts w:eastAsia="Times New Roman"/>
          <w:sz w:val="28"/>
          <w:szCs w:val="28"/>
          <w:u w:color="410108"/>
          <w:lang w:val="es-ES"/>
        </w:rPr>
        <w:t xml:space="preserve">. Particularmente, tales situaciones refieren una vulneración del principio de autonomía de las referidas entidades para la gestión de sus intereses, constituyen un límite al principio de participación democrática de los ciudadanos, y pretermiten la obligatoriedad de los principios de coordinación y rigor subsidiario en materia ambiental. </w:t>
      </w: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CE638C" w:rsidRPr="0078289D" w:rsidRDefault="00371768"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t xml:space="preserve">114. </w:t>
      </w:r>
      <w:r w:rsidR="00840465" w:rsidRPr="0078289D">
        <w:rPr>
          <w:rFonts w:eastAsia="Times New Roman"/>
          <w:sz w:val="28"/>
          <w:szCs w:val="28"/>
          <w:u w:color="410108"/>
          <w:lang w:val="es-ES"/>
        </w:rPr>
        <w:t>No obstante, la Sala Plena de la Corte Constitucional aclara que la presente decisión no implica una constitucionalización de la facultad de expedir licencias a favor de las Cor</w:t>
      </w:r>
      <w:r w:rsidR="0073073C" w:rsidRPr="0078289D">
        <w:rPr>
          <w:rFonts w:eastAsia="Times New Roman"/>
          <w:sz w:val="28"/>
          <w:szCs w:val="28"/>
          <w:u w:color="410108"/>
          <w:lang w:val="es-ES"/>
        </w:rPr>
        <w:t>poraciones Autónomas Regionales.</w:t>
      </w:r>
      <w:r w:rsidR="00840465" w:rsidRPr="0078289D">
        <w:rPr>
          <w:rFonts w:eastAsia="Times New Roman"/>
          <w:sz w:val="28"/>
          <w:szCs w:val="28"/>
          <w:u w:color="410108"/>
          <w:lang w:val="es-ES"/>
        </w:rPr>
        <w:t xml:space="preserve"> </w:t>
      </w:r>
      <w:r w:rsidR="006F0227" w:rsidRPr="0078289D">
        <w:rPr>
          <w:rFonts w:eastAsia="Times New Roman"/>
          <w:sz w:val="28"/>
          <w:szCs w:val="28"/>
          <w:u w:color="410108"/>
          <w:lang w:val="es-ES"/>
        </w:rPr>
        <w:t>En efecto, a pesar de que, en desarrollo de la cláusula general de competencia legislativa, el Congreso</w:t>
      </w:r>
      <w:r w:rsidR="00D3281A" w:rsidRPr="0078289D">
        <w:rPr>
          <w:rFonts w:eastAsia="Times New Roman"/>
          <w:sz w:val="28"/>
          <w:szCs w:val="28"/>
          <w:u w:color="410108"/>
          <w:lang w:val="es-ES"/>
        </w:rPr>
        <w:t xml:space="preserve"> </w:t>
      </w:r>
      <w:r w:rsidR="006F0227" w:rsidRPr="0078289D">
        <w:rPr>
          <w:rFonts w:eastAsia="Times New Roman"/>
          <w:sz w:val="28"/>
          <w:szCs w:val="28"/>
          <w:u w:color="410108"/>
          <w:lang w:val="es-ES"/>
        </w:rPr>
        <w:t>está autorizado constitucionalmente para</w:t>
      </w:r>
      <w:r w:rsidR="00D3281A" w:rsidRPr="0078289D">
        <w:rPr>
          <w:rFonts w:eastAsia="Times New Roman"/>
          <w:sz w:val="28"/>
          <w:szCs w:val="28"/>
          <w:u w:color="410108"/>
          <w:lang w:val="es-ES"/>
        </w:rPr>
        <w:t xml:space="preserve"> trasla</w:t>
      </w:r>
      <w:r w:rsidR="00FF56AE" w:rsidRPr="0078289D">
        <w:rPr>
          <w:rFonts w:eastAsia="Times New Roman"/>
          <w:sz w:val="28"/>
          <w:szCs w:val="28"/>
          <w:u w:color="410108"/>
          <w:lang w:val="es-ES"/>
        </w:rPr>
        <w:t>dar la competencia</w:t>
      </w:r>
      <w:r w:rsidR="00D3281A" w:rsidRPr="0078289D">
        <w:rPr>
          <w:rFonts w:eastAsia="Times New Roman"/>
          <w:sz w:val="28"/>
          <w:szCs w:val="28"/>
          <w:u w:color="410108"/>
          <w:lang w:val="es-ES"/>
        </w:rPr>
        <w:t xml:space="preserve"> para expedir licencias ambientales en relación con determinados proyectos a entidades del orden nacional</w:t>
      </w:r>
      <w:r w:rsidR="006F0227" w:rsidRPr="0078289D">
        <w:rPr>
          <w:rFonts w:eastAsia="Times New Roman"/>
          <w:sz w:val="28"/>
          <w:szCs w:val="28"/>
          <w:u w:color="410108"/>
          <w:lang w:val="es-ES"/>
        </w:rPr>
        <w:t>,</w:t>
      </w:r>
      <w:r w:rsidR="00D3281A" w:rsidRPr="0078289D">
        <w:rPr>
          <w:rFonts w:eastAsia="Times New Roman"/>
          <w:sz w:val="28"/>
          <w:szCs w:val="28"/>
          <w:u w:color="410108"/>
          <w:lang w:val="es-ES"/>
        </w:rPr>
        <w:t xml:space="preserve"> ello </w:t>
      </w:r>
      <w:r w:rsidR="006F0227" w:rsidRPr="0078289D">
        <w:rPr>
          <w:rFonts w:eastAsia="Times New Roman"/>
          <w:sz w:val="28"/>
          <w:szCs w:val="28"/>
          <w:u w:color="410108"/>
          <w:lang w:val="es-ES"/>
        </w:rPr>
        <w:t xml:space="preserve">no significa que esa facultad puede ejercerse sin justificación suficiente. Así, el Legislador debe justificar que la competencia nacional se requiere para evaluar situaciones en las que </w:t>
      </w:r>
      <w:r w:rsidR="00FF56AE" w:rsidRPr="0078289D">
        <w:rPr>
          <w:rFonts w:eastAsia="Times New Roman"/>
          <w:sz w:val="28"/>
          <w:szCs w:val="28"/>
          <w:u w:color="410108"/>
          <w:lang w:val="es-ES"/>
        </w:rPr>
        <w:t xml:space="preserve">los impactos potenciales </w:t>
      </w:r>
      <w:r w:rsidR="006F0227" w:rsidRPr="0078289D">
        <w:rPr>
          <w:rFonts w:eastAsia="Times New Roman"/>
          <w:sz w:val="28"/>
          <w:szCs w:val="28"/>
          <w:u w:color="410108"/>
          <w:lang w:val="es-ES"/>
        </w:rPr>
        <w:t xml:space="preserve">de las licencias ambientales </w:t>
      </w:r>
      <w:r w:rsidR="00FF56AE" w:rsidRPr="0078289D">
        <w:rPr>
          <w:rFonts w:eastAsia="Times New Roman"/>
          <w:sz w:val="28"/>
          <w:szCs w:val="28"/>
          <w:u w:color="410108"/>
          <w:lang w:val="es-ES"/>
        </w:rPr>
        <w:t>desbordan el ámbito de co</w:t>
      </w:r>
      <w:r w:rsidR="006F0227" w:rsidRPr="0078289D">
        <w:rPr>
          <w:rFonts w:eastAsia="Times New Roman"/>
          <w:sz w:val="28"/>
          <w:szCs w:val="28"/>
          <w:u w:color="410108"/>
          <w:lang w:val="es-ES"/>
        </w:rPr>
        <w:t>mpetencia de las decisiones locales y que se requiere el traslado para brindar</w:t>
      </w:r>
      <w:r w:rsidR="000C5E17" w:rsidRPr="0078289D">
        <w:rPr>
          <w:rFonts w:eastAsia="Times New Roman"/>
          <w:sz w:val="28"/>
          <w:szCs w:val="28"/>
          <w:u w:color="410108"/>
          <w:lang w:val="es-ES"/>
        </w:rPr>
        <w:t xml:space="preserve"> mayor protecci</w:t>
      </w:r>
      <w:r w:rsidR="00D135C8" w:rsidRPr="0078289D">
        <w:rPr>
          <w:rFonts w:eastAsia="Times New Roman"/>
          <w:sz w:val="28"/>
          <w:szCs w:val="28"/>
          <w:u w:color="410108"/>
          <w:lang w:val="es-ES"/>
        </w:rPr>
        <w:t xml:space="preserve">ón al derecho </w:t>
      </w:r>
      <w:r w:rsidR="006F0227" w:rsidRPr="0078289D">
        <w:rPr>
          <w:rFonts w:eastAsia="Times New Roman"/>
          <w:sz w:val="28"/>
          <w:szCs w:val="28"/>
          <w:u w:color="410108"/>
          <w:lang w:val="es-ES"/>
        </w:rPr>
        <w:t>a</w:t>
      </w:r>
      <w:r w:rsidR="00D135C8" w:rsidRPr="0078289D">
        <w:rPr>
          <w:rFonts w:eastAsia="Times New Roman"/>
          <w:sz w:val="28"/>
          <w:szCs w:val="28"/>
          <w:u w:color="410108"/>
          <w:lang w:val="es-ES"/>
        </w:rPr>
        <w:t xml:space="preserve"> gozar de un ambiente sano.</w:t>
      </w:r>
      <w:r w:rsidR="00D3281A" w:rsidRPr="0078289D">
        <w:rPr>
          <w:rFonts w:eastAsia="Times New Roman"/>
          <w:sz w:val="28"/>
          <w:szCs w:val="28"/>
          <w:u w:color="410108"/>
          <w:lang w:val="es-ES"/>
        </w:rPr>
        <w:t xml:space="preserve"> </w:t>
      </w:r>
      <w:r w:rsidR="006F0227" w:rsidRPr="0078289D">
        <w:rPr>
          <w:rFonts w:eastAsia="Times New Roman"/>
          <w:sz w:val="28"/>
          <w:szCs w:val="28"/>
          <w:u w:color="410108"/>
          <w:lang w:val="es-ES"/>
        </w:rPr>
        <w:t>L</w:t>
      </w:r>
      <w:r w:rsidR="0019794F" w:rsidRPr="0078289D">
        <w:rPr>
          <w:rFonts w:eastAsia="Times New Roman"/>
          <w:sz w:val="28"/>
          <w:szCs w:val="28"/>
          <w:u w:color="410108"/>
          <w:lang w:val="es-ES"/>
        </w:rPr>
        <w:t>a Corte a</w:t>
      </w:r>
      <w:r w:rsidR="00840465" w:rsidRPr="0078289D">
        <w:rPr>
          <w:rFonts w:eastAsia="Times New Roman"/>
          <w:sz w:val="28"/>
          <w:szCs w:val="28"/>
          <w:u w:color="410108"/>
          <w:lang w:val="es-ES"/>
        </w:rPr>
        <w:t>dvierte</w:t>
      </w:r>
      <w:r w:rsidR="0019794F" w:rsidRPr="0078289D">
        <w:rPr>
          <w:rFonts w:eastAsia="Times New Roman"/>
          <w:sz w:val="28"/>
          <w:szCs w:val="28"/>
          <w:u w:color="410108"/>
          <w:lang w:val="es-ES"/>
        </w:rPr>
        <w:t xml:space="preserve"> tam</w:t>
      </w:r>
      <w:r w:rsidR="00381F2C" w:rsidRPr="0078289D">
        <w:rPr>
          <w:rFonts w:eastAsia="Times New Roman"/>
          <w:sz w:val="28"/>
          <w:szCs w:val="28"/>
          <w:u w:color="410108"/>
          <w:lang w:val="es-ES"/>
        </w:rPr>
        <w:t>bi</w:t>
      </w:r>
      <w:r w:rsidR="00942EFE" w:rsidRPr="0078289D">
        <w:rPr>
          <w:rFonts w:eastAsia="Times New Roman"/>
          <w:sz w:val="28"/>
          <w:szCs w:val="28"/>
          <w:u w:color="410108"/>
          <w:lang w:val="es-ES"/>
        </w:rPr>
        <w:t>é</w:t>
      </w:r>
      <w:r w:rsidR="00381F2C" w:rsidRPr="0078289D">
        <w:rPr>
          <w:rFonts w:eastAsia="Times New Roman"/>
          <w:sz w:val="28"/>
          <w:szCs w:val="28"/>
          <w:u w:color="410108"/>
          <w:lang w:val="es-ES"/>
        </w:rPr>
        <w:t>n,</w:t>
      </w:r>
      <w:r w:rsidR="00840465" w:rsidRPr="0078289D">
        <w:rPr>
          <w:rFonts w:eastAsia="Times New Roman"/>
          <w:sz w:val="28"/>
          <w:szCs w:val="28"/>
          <w:u w:color="410108"/>
          <w:lang w:val="es-ES"/>
        </w:rPr>
        <w:t xml:space="preserve"> </w:t>
      </w:r>
      <w:r w:rsidR="00602240" w:rsidRPr="0078289D">
        <w:rPr>
          <w:rFonts w:eastAsia="Times New Roman"/>
          <w:sz w:val="28"/>
          <w:szCs w:val="28"/>
          <w:u w:color="410108"/>
          <w:lang w:val="es-ES"/>
        </w:rPr>
        <w:t xml:space="preserve">que la eliminación de la competencia </w:t>
      </w:r>
      <w:r w:rsidR="00D349A3" w:rsidRPr="0078289D">
        <w:rPr>
          <w:rFonts w:eastAsia="Times New Roman"/>
          <w:sz w:val="28"/>
          <w:szCs w:val="28"/>
          <w:u w:color="410108"/>
          <w:lang w:val="es-ES"/>
        </w:rPr>
        <w:t xml:space="preserve">para decidir sobre licencias </w:t>
      </w:r>
      <w:r w:rsidR="00AE7032" w:rsidRPr="0078289D">
        <w:rPr>
          <w:rFonts w:eastAsia="Times New Roman"/>
          <w:sz w:val="28"/>
          <w:szCs w:val="28"/>
          <w:u w:color="410108"/>
          <w:lang w:val="es-ES"/>
        </w:rPr>
        <w:t xml:space="preserve">de proyectos </w:t>
      </w:r>
      <w:r w:rsidR="00D349A3" w:rsidRPr="0078289D">
        <w:rPr>
          <w:rFonts w:eastAsia="Times New Roman"/>
          <w:sz w:val="28"/>
          <w:szCs w:val="28"/>
          <w:u w:color="410108"/>
          <w:lang w:val="es-ES"/>
        </w:rPr>
        <w:t xml:space="preserve">que afectan </w:t>
      </w:r>
      <w:r w:rsidR="00121DDB" w:rsidRPr="0078289D">
        <w:rPr>
          <w:rFonts w:eastAsia="Times New Roman"/>
          <w:sz w:val="28"/>
          <w:szCs w:val="28"/>
          <w:u w:color="410108"/>
          <w:lang w:val="es-ES"/>
        </w:rPr>
        <w:t xml:space="preserve">significativamente </w:t>
      </w:r>
      <w:r w:rsidR="00D349A3" w:rsidRPr="0078289D">
        <w:rPr>
          <w:rFonts w:eastAsia="Times New Roman"/>
          <w:sz w:val="28"/>
          <w:szCs w:val="28"/>
          <w:u w:color="410108"/>
          <w:lang w:val="es-ES"/>
        </w:rPr>
        <w:t xml:space="preserve">el </w:t>
      </w:r>
      <w:r w:rsidR="00AE7032" w:rsidRPr="0078289D">
        <w:rPr>
          <w:rFonts w:eastAsia="Times New Roman"/>
          <w:sz w:val="28"/>
          <w:szCs w:val="28"/>
          <w:u w:color="410108"/>
          <w:lang w:val="es-ES"/>
        </w:rPr>
        <w:t xml:space="preserve">medio </w:t>
      </w:r>
      <w:r w:rsidR="00D349A3" w:rsidRPr="0078289D">
        <w:rPr>
          <w:rFonts w:eastAsia="Times New Roman"/>
          <w:sz w:val="28"/>
          <w:szCs w:val="28"/>
          <w:u w:color="410108"/>
          <w:lang w:val="es-ES"/>
        </w:rPr>
        <w:t xml:space="preserve">ambiente </w:t>
      </w:r>
      <w:r w:rsidR="00121DDB" w:rsidRPr="0078289D">
        <w:rPr>
          <w:rFonts w:eastAsia="Times New Roman"/>
          <w:sz w:val="28"/>
          <w:szCs w:val="28"/>
          <w:u w:color="410108"/>
          <w:lang w:val="es-ES"/>
        </w:rPr>
        <w:t>en el orden</w:t>
      </w:r>
      <w:r w:rsidR="00BD6A07" w:rsidRPr="0078289D">
        <w:rPr>
          <w:rFonts w:eastAsia="Times New Roman"/>
          <w:sz w:val="28"/>
          <w:szCs w:val="28"/>
          <w:u w:color="410108"/>
          <w:lang w:val="es-ES"/>
        </w:rPr>
        <w:t xml:space="preserve"> regional</w:t>
      </w:r>
      <w:r w:rsidR="00D349A3" w:rsidRPr="0078289D">
        <w:rPr>
          <w:rFonts w:eastAsia="Times New Roman"/>
          <w:sz w:val="28"/>
          <w:szCs w:val="28"/>
          <w:u w:color="410108"/>
          <w:lang w:val="es-ES"/>
        </w:rPr>
        <w:t xml:space="preserve"> </w:t>
      </w:r>
      <w:r w:rsidR="00121DDB" w:rsidRPr="0078289D">
        <w:rPr>
          <w:rFonts w:eastAsia="Times New Roman"/>
          <w:sz w:val="28"/>
          <w:szCs w:val="28"/>
          <w:u w:color="410108"/>
          <w:lang w:val="es-ES"/>
        </w:rPr>
        <w:t xml:space="preserve">constituye un desconocimiento de la autonomía </w:t>
      </w:r>
      <w:r w:rsidR="00BD6A07" w:rsidRPr="0078289D">
        <w:rPr>
          <w:rFonts w:eastAsia="Times New Roman"/>
          <w:sz w:val="28"/>
          <w:szCs w:val="28"/>
          <w:u w:color="410108"/>
          <w:lang w:val="es-ES"/>
        </w:rPr>
        <w:t xml:space="preserve">funcional </w:t>
      </w:r>
      <w:r w:rsidR="00121DDB" w:rsidRPr="0078289D">
        <w:rPr>
          <w:rFonts w:eastAsia="Times New Roman"/>
          <w:sz w:val="28"/>
          <w:szCs w:val="28"/>
          <w:u w:color="410108"/>
          <w:lang w:val="es-ES"/>
        </w:rPr>
        <w:t>que les reconoce la Constitución</w:t>
      </w:r>
      <w:r w:rsidR="00381F2C" w:rsidRPr="0078289D">
        <w:rPr>
          <w:rFonts w:eastAsia="Times New Roman"/>
          <w:sz w:val="28"/>
          <w:szCs w:val="28"/>
          <w:u w:color="410108"/>
          <w:lang w:val="es-ES"/>
        </w:rPr>
        <w:t>.</w:t>
      </w:r>
      <w:r w:rsidR="00AE7032" w:rsidRPr="0078289D">
        <w:rPr>
          <w:rFonts w:eastAsia="Times New Roman"/>
          <w:sz w:val="28"/>
          <w:szCs w:val="28"/>
          <w:u w:color="410108"/>
          <w:lang w:val="es-ES"/>
        </w:rPr>
        <w:t xml:space="preserve"> </w:t>
      </w:r>
      <w:r w:rsidR="00381F2C" w:rsidRPr="0078289D">
        <w:rPr>
          <w:rFonts w:eastAsia="Times New Roman"/>
          <w:sz w:val="28"/>
          <w:szCs w:val="28"/>
          <w:u w:color="410108"/>
          <w:lang w:val="es-ES"/>
        </w:rPr>
        <w:t>A</w:t>
      </w:r>
      <w:r w:rsidR="00AE7032" w:rsidRPr="0078289D">
        <w:rPr>
          <w:rFonts w:eastAsia="Times New Roman"/>
          <w:sz w:val="28"/>
          <w:szCs w:val="28"/>
          <w:u w:color="410108"/>
          <w:lang w:val="es-ES"/>
        </w:rPr>
        <w:t xml:space="preserve">l margen de que </w:t>
      </w:r>
      <w:r w:rsidR="0019794F" w:rsidRPr="0078289D">
        <w:rPr>
          <w:rFonts w:eastAsia="Times New Roman"/>
          <w:sz w:val="28"/>
          <w:szCs w:val="28"/>
          <w:u w:color="410108"/>
          <w:lang w:val="es-ES"/>
        </w:rPr>
        <w:t>estos</w:t>
      </w:r>
      <w:r w:rsidR="00AE7032" w:rsidRPr="0078289D">
        <w:rPr>
          <w:rFonts w:eastAsia="Times New Roman"/>
          <w:sz w:val="28"/>
          <w:szCs w:val="28"/>
          <w:u w:color="410108"/>
          <w:lang w:val="es-ES"/>
        </w:rPr>
        <w:t xml:space="preserve"> proyectos </w:t>
      </w:r>
      <w:r w:rsidR="0019794F" w:rsidRPr="0078289D">
        <w:rPr>
          <w:rFonts w:eastAsia="Times New Roman"/>
          <w:sz w:val="28"/>
          <w:szCs w:val="28"/>
          <w:u w:color="410108"/>
          <w:lang w:val="es-ES"/>
        </w:rPr>
        <w:t>susciten el</w:t>
      </w:r>
      <w:r w:rsidR="00AE7032" w:rsidRPr="0078289D">
        <w:rPr>
          <w:rFonts w:eastAsia="Times New Roman"/>
          <w:sz w:val="28"/>
          <w:szCs w:val="28"/>
          <w:u w:color="410108"/>
          <w:lang w:val="es-ES"/>
        </w:rPr>
        <w:t xml:space="preserve"> interés </w:t>
      </w:r>
      <w:r w:rsidR="00A05FDE" w:rsidRPr="0078289D">
        <w:rPr>
          <w:rFonts w:eastAsia="Times New Roman"/>
          <w:sz w:val="28"/>
          <w:szCs w:val="28"/>
          <w:u w:color="410108"/>
          <w:lang w:val="es-ES"/>
        </w:rPr>
        <w:t>de la administración en el ámbito</w:t>
      </w:r>
      <w:r w:rsidR="0019794F" w:rsidRPr="0078289D">
        <w:rPr>
          <w:rFonts w:eastAsia="Times New Roman"/>
          <w:sz w:val="28"/>
          <w:szCs w:val="28"/>
          <w:u w:color="410108"/>
          <w:lang w:val="es-ES"/>
        </w:rPr>
        <w:t xml:space="preserve"> </w:t>
      </w:r>
      <w:r w:rsidR="00AE7032" w:rsidRPr="0078289D">
        <w:rPr>
          <w:rFonts w:eastAsia="Times New Roman"/>
          <w:sz w:val="28"/>
          <w:szCs w:val="28"/>
          <w:u w:color="410108"/>
          <w:lang w:val="es-ES"/>
        </w:rPr>
        <w:t>nacional</w:t>
      </w:r>
      <w:r w:rsidR="00A05FDE" w:rsidRPr="0078289D">
        <w:rPr>
          <w:rFonts w:eastAsia="Times New Roman"/>
          <w:sz w:val="28"/>
          <w:szCs w:val="28"/>
          <w:u w:color="410108"/>
          <w:lang w:val="es-ES"/>
        </w:rPr>
        <w:t xml:space="preserve"> debido a su impacto económico o social</w:t>
      </w:r>
      <w:r w:rsidR="00BD6A07" w:rsidRPr="0078289D">
        <w:rPr>
          <w:rFonts w:eastAsia="Times New Roman"/>
          <w:sz w:val="28"/>
          <w:szCs w:val="28"/>
          <w:u w:color="410108"/>
          <w:lang w:val="es-ES"/>
        </w:rPr>
        <w:t xml:space="preserve">, </w:t>
      </w:r>
      <w:r w:rsidR="00381F2C" w:rsidRPr="0078289D">
        <w:rPr>
          <w:rFonts w:eastAsia="Times New Roman"/>
          <w:sz w:val="28"/>
          <w:szCs w:val="28"/>
          <w:u w:color="410108"/>
          <w:lang w:val="es-ES"/>
        </w:rPr>
        <w:t xml:space="preserve">estos proyectos </w:t>
      </w:r>
      <w:r w:rsidR="00243F65" w:rsidRPr="0078289D">
        <w:rPr>
          <w:rFonts w:eastAsia="Times New Roman"/>
          <w:sz w:val="28"/>
          <w:szCs w:val="28"/>
          <w:u w:color="410108"/>
          <w:lang w:val="es-ES"/>
        </w:rPr>
        <w:t>producen</w:t>
      </w:r>
      <w:r w:rsidR="0073073C" w:rsidRPr="0078289D">
        <w:rPr>
          <w:rFonts w:eastAsia="Times New Roman"/>
          <w:sz w:val="28"/>
          <w:szCs w:val="28"/>
          <w:u w:color="410108"/>
          <w:lang w:val="es-ES"/>
        </w:rPr>
        <w:t xml:space="preserve"> </w:t>
      </w:r>
      <w:r w:rsidR="00A05FDE" w:rsidRPr="0078289D">
        <w:rPr>
          <w:rFonts w:eastAsia="Times New Roman"/>
          <w:sz w:val="28"/>
          <w:szCs w:val="28"/>
          <w:u w:color="410108"/>
          <w:lang w:val="es-ES"/>
        </w:rPr>
        <w:t xml:space="preserve">sus </w:t>
      </w:r>
      <w:r w:rsidR="00BD6A07" w:rsidRPr="0078289D">
        <w:rPr>
          <w:rFonts w:eastAsia="Times New Roman"/>
          <w:sz w:val="28"/>
          <w:szCs w:val="28"/>
          <w:u w:color="410108"/>
          <w:lang w:val="es-ES"/>
        </w:rPr>
        <w:t xml:space="preserve">impactos </w:t>
      </w:r>
      <w:r w:rsidR="00A05FDE" w:rsidRPr="0078289D">
        <w:rPr>
          <w:rFonts w:eastAsia="Times New Roman"/>
          <w:sz w:val="28"/>
          <w:szCs w:val="28"/>
          <w:u w:color="410108"/>
          <w:lang w:val="es-ES"/>
        </w:rPr>
        <w:t xml:space="preserve">ambientales </w:t>
      </w:r>
      <w:r w:rsidR="0073073C" w:rsidRPr="0078289D">
        <w:rPr>
          <w:rFonts w:eastAsia="Times New Roman"/>
          <w:sz w:val="28"/>
          <w:szCs w:val="28"/>
          <w:u w:color="410108"/>
          <w:lang w:val="es-ES"/>
        </w:rPr>
        <w:t>en</w:t>
      </w:r>
      <w:r w:rsidR="00BD6A07" w:rsidRPr="0078289D">
        <w:rPr>
          <w:rFonts w:eastAsia="Times New Roman"/>
          <w:sz w:val="28"/>
          <w:szCs w:val="28"/>
          <w:u w:color="410108"/>
          <w:lang w:val="es-ES"/>
        </w:rPr>
        <w:t xml:space="preserve"> </w:t>
      </w:r>
      <w:r w:rsidR="0073073C" w:rsidRPr="0078289D">
        <w:rPr>
          <w:rFonts w:eastAsia="Times New Roman"/>
          <w:sz w:val="28"/>
          <w:szCs w:val="28"/>
          <w:u w:color="410108"/>
          <w:lang w:val="es-ES"/>
        </w:rPr>
        <w:t>el ámbito regional</w:t>
      </w:r>
      <w:r w:rsidR="00942EFE" w:rsidRPr="0078289D">
        <w:rPr>
          <w:rFonts w:eastAsia="Times New Roman"/>
          <w:sz w:val="28"/>
          <w:szCs w:val="28"/>
          <w:u w:color="410108"/>
          <w:lang w:val="es-ES"/>
        </w:rPr>
        <w:t xml:space="preserve">, y deben ser las autoridades ambientales de este ámbito quienes </w:t>
      </w:r>
      <w:r w:rsidR="005052B9" w:rsidRPr="0078289D">
        <w:rPr>
          <w:rFonts w:eastAsia="Times New Roman"/>
          <w:sz w:val="28"/>
          <w:szCs w:val="28"/>
          <w:u w:color="410108"/>
          <w:lang w:val="es-ES"/>
        </w:rPr>
        <w:t>evalúan estos impactos</w:t>
      </w:r>
      <w:r w:rsidR="00840465" w:rsidRPr="0078289D">
        <w:rPr>
          <w:rFonts w:eastAsia="Times New Roman"/>
          <w:sz w:val="28"/>
          <w:szCs w:val="28"/>
          <w:u w:color="410108"/>
          <w:lang w:val="es-ES"/>
        </w:rPr>
        <w:t xml:space="preserve">. </w:t>
      </w:r>
    </w:p>
    <w:p w:rsidR="00CE638C" w:rsidRPr="0078289D" w:rsidRDefault="00CE638C"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Default="00CE638C"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r w:rsidRPr="0078289D">
        <w:rPr>
          <w:rFonts w:eastAsia="Times New Roman"/>
          <w:sz w:val="28"/>
          <w:szCs w:val="28"/>
          <w:u w:color="410108"/>
          <w:lang w:val="es-ES"/>
        </w:rPr>
        <w:t xml:space="preserve">Así las cosas, la facultad </w:t>
      </w:r>
      <w:r w:rsidR="00720B75" w:rsidRPr="0078289D">
        <w:rPr>
          <w:rFonts w:eastAsia="Times New Roman"/>
          <w:sz w:val="28"/>
          <w:szCs w:val="28"/>
          <w:u w:color="410108"/>
          <w:lang w:val="es-ES"/>
        </w:rPr>
        <w:t>legal</w:t>
      </w:r>
      <w:r w:rsidRPr="0078289D">
        <w:rPr>
          <w:rFonts w:eastAsia="Times New Roman"/>
          <w:sz w:val="28"/>
          <w:szCs w:val="28"/>
          <w:u w:color="410108"/>
          <w:lang w:val="es-ES"/>
        </w:rPr>
        <w:t xml:space="preserve"> para regular las facultades de las Corporaciones Autónomas Regionales no puede entenderse como una potestad ajena a la preservación del medio ambiente que se encomienda a esas entidades, ni a la autonomía que la Constitución les reconoce y garantiza.</w:t>
      </w:r>
      <w:r w:rsidR="00720B75" w:rsidRPr="0078289D">
        <w:rPr>
          <w:rFonts w:eastAsia="Times New Roman"/>
          <w:sz w:val="28"/>
          <w:szCs w:val="28"/>
          <w:u w:color="410108"/>
          <w:lang w:val="es-ES"/>
        </w:rPr>
        <w:t xml:space="preserve"> No puede ser otro el entendimiento del inciso 7º del artículo 150 superior, pues el intérprete debe darle un sentido útil y la máxima eficacia posible a la regulación constitucional, de tal forma que se logre armonizar la facultad nacional para preservar la diversidad e integridad del ambiente y el deber local de proteger el ambiente, con criterios de autonomía</w:t>
      </w:r>
      <w:r w:rsidR="00D70322" w:rsidRPr="0078289D">
        <w:rPr>
          <w:rFonts w:eastAsia="Times New Roman"/>
          <w:sz w:val="28"/>
          <w:szCs w:val="28"/>
          <w:u w:color="410108"/>
          <w:lang w:val="es-ES"/>
        </w:rPr>
        <w:t xml:space="preserve"> para la gestión de sus intereses y la participación activa de las personas interesadas en la protección y conservación de un ambiente sano</w:t>
      </w:r>
      <w:r w:rsidR="005721A9" w:rsidRPr="0078289D">
        <w:rPr>
          <w:rFonts w:eastAsia="Times New Roman"/>
          <w:sz w:val="28"/>
          <w:szCs w:val="28"/>
          <w:u w:color="410108"/>
          <w:lang w:val="es-ES"/>
        </w:rPr>
        <w:t xml:space="preserve"> (artículos 287 y 95 constitucionales)</w:t>
      </w:r>
      <w:r w:rsidR="00720B75" w:rsidRPr="0078289D">
        <w:rPr>
          <w:rFonts w:eastAsia="Times New Roman"/>
          <w:sz w:val="28"/>
          <w:szCs w:val="28"/>
          <w:u w:color="410108"/>
          <w:lang w:val="es-ES"/>
        </w:rPr>
        <w:t>.</w:t>
      </w:r>
    </w:p>
    <w:p w:rsidR="005902DF" w:rsidRPr="0078289D" w:rsidRDefault="005902DF"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u w:color="410108"/>
          <w:lang w:val="es-ES"/>
        </w:rPr>
      </w:pPr>
    </w:p>
    <w:p w:rsidR="00840465" w:rsidRPr="0078289D" w:rsidRDefault="00840465" w:rsidP="0078289D">
      <w:pPr>
        <w:widowControl w:val="0"/>
        <w:pBdr>
          <w:top w:val="none" w:sz="0" w:space="0" w:color="auto"/>
          <w:left w:val="none" w:sz="0" w:space="0" w:color="auto"/>
          <w:bottom w:val="none" w:sz="0" w:space="0" w:color="auto"/>
          <w:right w:val="none" w:sz="0" w:space="0" w:color="auto"/>
        </w:pBdr>
        <w:tabs>
          <w:tab w:val="left" w:pos="8789"/>
        </w:tabs>
        <w:autoSpaceDE w:val="0"/>
        <w:autoSpaceDN w:val="0"/>
        <w:adjustRightInd w:val="0"/>
        <w:contextualSpacing/>
        <w:jc w:val="both"/>
        <w:rPr>
          <w:rFonts w:eastAsia="Times New Roman"/>
          <w:sz w:val="28"/>
          <w:szCs w:val="28"/>
          <w:lang w:val="es-ES_tradnl"/>
        </w:rPr>
      </w:pPr>
      <w:r w:rsidRPr="0078289D">
        <w:rPr>
          <w:rFonts w:eastAsia="Times New Roman"/>
          <w:sz w:val="28"/>
          <w:szCs w:val="28"/>
          <w:lang w:val="es-ES_tradnl"/>
        </w:rPr>
        <w:t xml:space="preserve">En virtud de las consideraciones esbozadas, la Sala Plena de la Corte Constitucional declarará la inexequibilidad del artículo 51 de la Ley 1753 de 2015. </w:t>
      </w:r>
    </w:p>
    <w:p w:rsidR="00BA4939" w:rsidRPr="0078289D" w:rsidRDefault="00BA4939"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44693A" w:rsidRPr="0078289D" w:rsidRDefault="00371768" w:rsidP="0078289D">
      <w:pPr>
        <w:pBdr>
          <w:top w:val="none" w:sz="0" w:space="0" w:color="auto"/>
          <w:left w:val="none" w:sz="0" w:space="0" w:color="auto"/>
          <w:bottom w:val="none" w:sz="0" w:space="0" w:color="auto"/>
          <w:right w:val="none" w:sz="0" w:space="0" w:color="auto"/>
        </w:pBdr>
        <w:jc w:val="center"/>
        <w:rPr>
          <w:b/>
          <w:sz w:val="28"/>
          <w:szCs w:val="28"/>
          <w:lang w:val="es-ES_tradnl"/>
        </w:rPr>
      </w:pPr>
      <w:r w:rsidRPr="0078289D">
        <w:rPr>
          <w:b/>
          <w:sz w:val="28"/>
          <w:szCs w:val="28"/>
          <w:lang w:val="es-ES_tradnl"/>
        </w:rPr>
        <w:t>TERCERA SECCIÓN</w:t>
      </w:r>
    </w:p>
    <w:p w:rsidR="0044693A" w:rsidRPr="0078289D" w:rsidRDefault="0044693A" w:rsidP="0078289D">
      <w:pPr>
        <w:pBdr>
          <w:top w:val="none" w:sz="0" w:space="0" w:color="auto"/>
          <w:left w:val="none" w:sz="0" w:space="0" w:color="auto"/>
          <w:bottom w:val="none" w:sz="0" w:space="0" w:color="auto"/>
          <w:right w:val="none" w:sz="0" w:space="0" w:color="auto"/>
        </w:pBdr>
        <w:ind w:left="708"/>
        <w:jc w:val="both"/>
        <w:rPr>
          <w:b/>
          <w:sz w:val="28"/>
          <w:szCs w:val="28"/>
          <w:lang w:val="es-ES_tradnl"/>
        </w:rPr>
      </w:pPr>
    </w:p>
    <w:p w:rsidR="00767CDD" w:rsidRPr="0078289D" w:rsidRDefault="00183CBE"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 xml:space="preserve">Normas demandadas referidas a minería e hidrocarburos en páramos </w:t>
      </w:r>
    </w:p>
    <w:p w:rsidR="00767CDD" w:rsidRPr="0078289D" w:rsidRDefault="00767CDD"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0258DC" w:rsidRPr="0078289D" w:rsidRDefault="00CD5E3B"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En esta sección de la demanda, los accionantes </w:t>
      </w:r>
      <w:r w:rsidR="00BD27F9" w:rsidRPr="0078289D">
        <w:rPr>
          <w:sz w:val="28"/>
          <w:szCs w:val="28"/>
          <w:lang w:val="es-ES_tradnl"/>
        </w:rPr>
        <w:t xml:space="preserve">solicitan la </w:t>
      </w:r>
      <w:r w:rsidR="00BD27F9" w:rsidRPr="0078289D">
        <w:rPr>
          <w:b/>
          <w:sz w:val="28"/>
          <w:szCs w:val="28"/>
          <w:lang w:val="es-ES_tradnl"/>
        </w:rPr>
        <w:t xml:space="preserve">inexequibilidad </w:t>
      </w:r>
      <w:r w:rsidR="00BD27F9" w:rsidRPr="0078289D">
        <w:rPr>
          <w:sz w:val="28"/>
          <w:szCs w:val="28"/>
          <w:lang w:val="es-ES_tradnl"/>
        </w:rPr>
        <w:t>de</w:t>
      </w:r>
      <w:r w:rsidRPr="0078289D">
        <w:rPr>
          <w:sz w:val="28"/>
          <w:szCs w:val="28"/>
          <w:lang w:val="es-ES_tradnl"/>
        </w:rPr>
        <w:t xml:space="preserve"> un aparte</w:t>
      </w:r>
      <w:r w:rsidR="00767CDD" w:rsidRPr="0078289D">
        <w:rPr>
          <w:sz w:val="28"/>
          <w:szCs w:val="28"/>
          <w:lang w:val="es-ES_tradnl"/>
        </w:rPr>
        <w:t xml:space="preserve"> del parágrafo </w:t>
      </w:r>
      <w:r w:rsidR="00976B3D" w:rsidRPr="0078289D">
        <w:rPr>
          <w:sz w:val="28"/>
          <w:szCs w:val="28"/>
          <w:lang w:val="es-ES_tradnl"/>
        </w:rPr>
        <w:t xml:space="preserve">primero </w:t>
      </w:r>
      <w:r w:rsidRPr="0078289D">
        <w:rPr>
          <w:sz w:val="28"/>
          <w:szCs w:val="28"/>
          <w:lang w:val="es-ES_tradnl"/>
        </w:rPr>
        <w:t xml:space="preserve">del artículo </w:t>
      </w:r>
      <w:r w:rsidR="00767CDD" w:rsidRPr="0078289D">
        <w:rPr>
          <w:sz w:val="28"/>
          <w:szCs w:val="28"/>
          <w:lang w:val="es-ES_tradnl"/>
        </w:rPr>
        <w:t>173</w:t>
      </w:r>
      <w:r w:rsidR="002154D3" w:rsidRPr="0078289D">
        <w:rPr>
          <w:sz w:val="28"/>
          <w:szCs w:val="28"/>
          <w:lang w:val="es-ES_tradnl"/>
        </w:rPr>
        <w:t xml:space="preserve"> de la Ley 1753 de 2</w:t>
      </w:r>
      <w:r w:rsidR="00C256E0" w:rsidRPr="0078289D">
        <w:rPr>
          <w:sz w:val="28"/>
          <w:szCs w:val="28"/>
          <w:lang w:val="es-ES_tradnl"/>
        </w:rPr>
        <w:t xml:space="preserve">015. </w:t>
      </w:r>
      <w:r w:rsidR="000258DC" w:rsidRPr="0078289D">
        <w:rPr>
          <w:sz w:val="28"/>
          <w:szCs w:val="28"/>
          <w:lang w:val="es-ES_tradnl"/>
        </w:rPr>
        <w:t>A continuación se reseña la disposición acusada:</w:t>
      </w:r>
    </w:p>
    <w:p w:rsidR="00651314" w:rsidRPr="0078289D" w:rsidRDefault="00651314"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bookmarkStart w:id="11" w:name="173"/>
      <w:bookmarkEnd w:id="11"/>
      <w:r w:rsidRPr="0078289D">
        <w:rPr>
          <w:i/>
          <w:sz w:val="28"/>
          <w:szCs w:val="28"/>
          <w:lang w:val="es-ES_tradnl" w:eastAsia="es-ES"/>
        </w:rPr>
        <w:t>ARTÍCULO 173. PROTECCIÓN Y DELIMITACIÓN DE PÁRAMOS. En las áreas delimitadas como páramos no se podrán adelantar actividades agropecuarias ni de exploración o explotación de recursos naturales no renovables, ni construcción de refinerías de hidrocarburos.</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r w:rsidRPr="0078289D">
        <w:rPr>
          <w:i/>
          <w:sz w:val="28"/>
          <w:szCs w:val="28"/>
          <w:lang w:val="es-ES_tradnl" w:eastAsia="es-ES"/>
        </w:rPr>
        <w:t>El Ministerio de Ambiente y Desarrollo Sostenible hará la delimitación de las áreas de páramos al interior del área de referencia definida en la cartografía generada por el Instituto Alexander Van Humboldt a escala 1:100.000 o 1:25.000, cuando esta última esté disponible. En esta área la autoridad ambiental regional deberá elaborar los estudios técnicos que permitan caracterizar el contexto ambiental, social y económico, de conformidad con los términos de referencia expedidos por el Ministerio de Ambiente y Desarrollo Sostenible. Al interior de dicha área, el Ministerio de Ambiente y Desarrollo Sostenible deberá delimitar el área de páramo, con base en criterios técnicos, ambientales, sociales y económicos.</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u w:val="single"/>
          <w:lang w:val="es-ES_tradnl" w:eastAsia="es-ES"/>
        </w:rPr>
      </w:pPr>
      <w:r w:rsidRPr="0078289D">
        <w:rPr>
          <w:i/>
          <w:sz w:val="28"/>
          <w:szCs w:val="28"/>
          <w:lang w:val="es-ES_tradnl" w:eastAsia="es-ES"/>
        </w:rPr>
        <w:t>PARÁGRAFO 1o. </w:t>
      </w:r>
      <w:r w:rsidRPr="0078289D">
        <w:rPr>
          <w:i/>
          <w:sz w:val="28"/>
          <w:szCs w:val="28"/>
          <w:u w:val="single"/>
          <w:lang w:val="es-ES_tradnl" w:eastAsia="es-ES"/>
        </w:rPr>
        <w:t>Al interior del área delimitada como páramo, las actividades para la exploración y explotación de recursos naturales no renovables que cuenten con contrato y licencia ambiental con el instrumento de control y manejo ambiental equivalente, que hayan sido otorgados con anterioridad al 9 de febrero de 2010 para las actividades de minería, o con anterioridad al 16 de junio de 2011 para la actividad de hidrocarburos, respectivamente, podrán seguir ejecutándose hasta su terminación, sin posibilidad de prórroga. A partir de la entrada en vigencia de la presente ley, las Autoridades Ambientales deberán revisar las Licencias Ambientales otorgadas antes de 1a entrada en vigencia de la prohibición, en las áreas de páramo delimitadas y las mismas estarán sujetas a un control, seguimiento y revisión por parte de las autoridades mineras, de hidrocarburos y ambientales, en el marco de sus competencias y aplicando las directrices que para el efecto defina el Ministerio de Ambiente y Desarrollo Sostenible.</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u w:val="single"/>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u w:val="single"/>
          <w:lang w:val="es-ES_tradnl" w:eastAsia="es-ES"/>
        </w:rPr>
      </w:pPr>
      <w:r w:rsidRPr="0078289D">
        <w:rPr>
          <w:i/>
          <w:sz w:val="28"/>
          <w:szCs w:val="28"/>
          <w:u w:val="single"/>
          <w:lang w:val="es-ES_tradnl" w:eastAsia="es-ES"/>
        </w:rPr>
        <w:t>En todo caso, el incumplimiento de los términos y condiciones en los cuales se otorgaron las autorizaciones mineras o ambientales, dará lugar a la caducidad del título minero de conformidad con lo dispuesto en el código de minas o la revocatoria directa de la licencia ambiental sin el consentimiento del titular y no habrá lugar a compensación alguna.</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u w:val="single"/>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u w:val="single"/>
          <w:lang w:val="es-ES_tradnl" w:eastAsia="es-ES"/>
        </w:rPr>
      </w:pPr>
      <w:r w:rsidRPr="0078289D">
        <w:rPr>
          <w:i/>
          <w:sz w:val="28"/>
          <w:szCs w:val="28"/>
          <w:u w:val="single"/>
          <w:lang w:val="es-ES_tradnl" w:eastAsia="es-ES"/>
        </w:rPr>
        <w:t xml:space="preserve">Si a pesar de la existencia de la licencia ambiental no es posible prevenir, mitigar, corregir o compensar los posibles daños ambientales </w:t>
      </w:r>
      <w:r w:rsidRPr="0078289D">
        <w:rPr>
          <w:i/>
          <w:sz w:val="28"/>
          <w:szCs w:val="28"/>
          <w:u w:val="single"/>
          <w:lang w:val="es-ES_tradnl" w:eastAsia="es-ES"/>
        </w:rPr>
        <w:lastRenderedPageBreak/>
        <w:t>sobre el ecosistema de páramo, la actividad minera no podrá seguir desarrollándose.</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r w:rsidRPr="0078289D">
        <w:rPr>
          <w:i/>
          <w:sz w:val="28"/>
          <w:szCs w:val="28"/>
          <w:lang w:val="es-ES_tradnl" w:eastAsia="es-ES"/>
        </w:rPr>
        <w:t>El Ministerio de Agricultura y Desarrollo Rural y sus entidades adscritas o vinculadas y las entidades territoriales, en coordinación con las Corporaciones Autónomas Regionales, y bajo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de manera gradual la aplicación de la prohibición.</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r w:rsidRPr="0078289D">
        <w:rPr>
          <w:i/>
          <w:sz w:val="28"/>
          <w:szCs w:val="28"/>
          <w:lang w:val="es-ES_tradnl" w:eastAsia="es-ES"/>
        </w:rPr>
        <w:t>PARÁGRAFO 2o. En el área de referencia que no sea incluida dentro del área del páramo delimitada, no estará permitido otorgar nuevos títulos mineros o suscribir nuevos contratos para la exploración y explotación de hidrocarburos, ni el desarrollo de nuevas actividades agropecuarias. Esta área será objeto de ordenamiento y manejo integral por parte de las entidades territoriales de conformidad con los lineamientos que establezcan las Corporaciones Autónomas Regionales, con el fin de atenuar y prevenir las perturbaciones sobre el área delimitada como páramo y contribuir con la protección y preservación de estas.</w:t>
      </w:r>
    </w:p>
    <w:p w:rsidR="00371768" w:rsidRPr="0078289D" w:rsidRDefault="00371768"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p>
    <w:p w:rsidR="00470042" w:rsidRPr="0078289D" w:rsidRDefault="00470042" w:rsidP="0078289D">
      <w:pPr>
        <w:pBdr>
          <w:top w:val="none" w:sz="0" w:space="0" w:color="auto"/>
          <w:left w:val="none" w:sz="0" w:space="0" w:color="auto"/>
          <w:bottom w:val="none" w:sz="0" w:space="0" w:color="auto"/>
          <w:right w:val="none" w:sz="0" w:space="0" w:color="auto"/>
        </w:pBdr>
        <w:ind w:left="567"/>
        <w:jc w:val="both"/>
        <w:rPr>
          <w:i/>
          <w:sz w:val="28"/>
          <w:szCs w:val="28"/>
          <w:lang w:val="es-ES_tradnl" w:eastAsia="es-ES"/>
        </w:rPr>
      </w:pPr>
      <w:r w:rsidRPr="0078289D">
        <w:rPr>
          <w:i/>
          <w:sz w:val="28"/>
          <w:szCs w:val="28"/>
          <w:lang w:val="es-ES_tradnl" w:eastAsia="es-ES"/>
        </w:rPr>
        <w:t>PARÁGRAFO 3o. Dentro de los tres (3) años siguientes a la delimitación, las autoridades ambientales deberán zonificar y determinar el régimen de usos del área de páramo delimitada, de acuerdo con los lineamientos que para el efecto defina el Ministerio de Ambiente y Desarrollo Sostenible”.</w:t>
      </w:r>
    </w:p>
    <w:p w:rsidR="00470042" w:rsidRPr="0078289D" w:rsidRDefault="00470042"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767CDD" w:rsidRPr="0078289D" w:rsidRDefault="00371768"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Concepto de la violación</w:t>
      </w:r>
    </w:p>
    <w:p w:rsidR="000E5619" w:rsidRPr="0078289D" w:rsidRDefault="000E5619"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0E5619" w:rsidRPr="0078289D" w:rsidRDefault="000E561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Para susten</w:t>
      </w:r>
      <w:r w:rsidR="00410387" w:rsidRPr="0078289D">
        <w:rPr>
          <w:sz w:val="28"/>
          <w:szCs w:val="28"/>
          <w:lang w:val="es-ES_tradnl"/>
        </w:rPr>
        <w:t xml:space="preserve">tar la declaratoria de inconstitucionalidad de la disposición </w:t>
      </w:r>
      <w:r w:rsidR="000863B8" w:rsidRPr="0078289D">
        <w:rPr>
          <w:sz w:val="28"/>
          <w:szCs w:val="28"/>
          <w:lang w:val="es-ES_tradnl"/>
        </w:rPr>
        <w:t xml:space="preserve">parcialmente </w:t>
      </w:r>
      <w:r w:rsidR="00410387" w:rsidRPr="0078289D">
        <w:rPr>
          <w:sz w:val="28"/>
          <w:szCs w:val="28"/>
          <w:lang w:val="es-ES_tradnl"/>
        </w:rPr>
        <w:t>demandada</w:t>
      </w:r>
      <w:r w:rsidRPr="0078289D">
        <w:rPr>
          <w:sz w:val="28"/>
          <w:szCs w:val="28"/>
          <w:lang w:val="es-ES_tradnl"/>
        </w:rPr>
        <w:t xml:space="preserve">, </w:t>
      </w:r>
      <w:r w:rsidR="00410387" w:rsidRPr="0078289D">
        <w:rPr>
          <w:sz w:val="28"/>
          <w:szCs w:val="28"/>
          <w:lang w:val="es-ES_tradnl"/>
        </w:rPr>
        <w:t xml:space="preserve">los accionantes </w:t>
      </w:r>
      <w:r w:rsidRPr="0078289D">
        <w:rPr>
          <w:sz w:val="28"/>
          <w:szCs w:val="28"/>
          <w:lang w:val="es-ES_tradnl"/>
        </w:rPr>
        <w:t xml:space="preserve">presentan tres cargos, </w:t>
      </w:r>
      <w:r w:rsidR="002A1798" w:rsidRPr="0078289D">
        <w:rPr>
          <w:sz w:val="28"/>
          <w:szCs w:val="28"/>
          <w:lang w:val="es-ES_tradnl"/>
        </w:rPr>
        <w:t>que</w:t>
      </w:r>
      <w:r w:rsidRPr="0078289D">
        <w:rPr>
          <w:sz w:val="28"/>
          <w:szCs w:val="28"/>
          <w:lang w:val="es-ES_tradnl"/>
        </w:rPr>
        <w:t xml:space="preserve"> se encuent</w:t>
      </w:r>
      <w:r w:rsidR="002A1798" w:rsidRPr="0078289D">
        <w:rPr>
          <w:sz w:val="28"/>
          <w:szCs w:val="28"/>
          <w:lang w:val="es-ES_tradnl"/>
        </w:rPr>
        <w:t>ran estrechamente relacionados. P</w:t>
      </w:r>
      <w:r w:rsidR="00983177" w:rsidRPr="0078289D">
        <w:rPr>
          <w:sz w:val="28"/>
          <w:szCs w:val="28"/>
          <w:lang w:val="es-ES_tradnl"/>
        </w:rPr>
        <w:t>or lo tanto,</w:t>
      </w:r>
      <w:r w:rsidRPr="0078289D">
        <w:rPr>
          <w:sz w:val="28"/>
          <w:szCs w:val="28"/>
          <w:lang w:val="es-ES_tradnl"/>
        </w:rPr>
        <w:t xml:space="preserve"> se </w:t>
      </w:r>
      <w:r w:rsidR="002A1798" w:rsidRPr="0078289D">
        <w:rPr>
          <w:sz w:val="28"/>
          <w:szCs w:val="28"/>
          <w:lang w:val="es-ES_tradnl"/>
        </w:rPr>
        <w:t xml:space="preserve">tales cargos </w:t>
      </w:r>
      <w:r w:rsidRPr="0078289D">
        <w:rPr>
          <w:sz w:val="28"/>
          <w:szCs w:val="28"/>
          <w:lang w:val="es-ES_tradnl"/>
        </w:rPr>
        <w:t>estudiarán conjuntamente en el presente acápite.</w:t>
      </w:r>
      <w:r w:rsidR="00BC7AC6" w:rsidRPr="0078289D">
        <w:rPr>
          <w:sz w:val="28"/>
          <w:szCs w:val="28"/>
          <w:lang w:val="es-ES_tradnl"/>
        </w:rPr>
        <w:t xml:space="preserve"> Los accionantes</w:t>
      </w:r>
      <w:r w:rsidRPr="0078289D">
        <w:rPr>
          <w:sz w:val="28"/>
          <w:szCs w:val="28"/>
          <w:lang w:val="es-ES_tradnl"/>
        </w:rPr>
        <w:t xml:space="preserve"> mencionan que la norma demandada vulnera </w:t>
      </w:r>
      <w:r w:rsidR="00BC7AC6" w:rsidRPr="0078289D">
        <w:rPr>
          <w:sz w:val="28"/>
          <w:szCs w:val="28"/>
          <w:lang w:val="es-ES_tradnl"/>
        </w:rPr>
        <w:t xml:space="preserve">los derechos </w:t>
      </w:r>
      <w:r w:rsidRPr="0078289D">
        <w:rPr>
          <w:sz w:val="28"/>
          <w:szCs w:val="28"/>
          <w:lang w:val="es-ES_tradnl"/>
        </w:rPr>
        <w:t>i) al medio ambiente, ii) al agua, y iii) al patrimonio público</w:t>
      </w:r>
      <w:r w:rsidR="009A2A4D" w:rsidRPr="0078289D">
        <w:rPr>
          <w:rStyle w:val="Refdenotaalpie"/>
          <w:sz w:val="28"/>
          <w:szCs w:val="28"/>
          <w:lang w:val="es-ES_tradnl"/>
        </w:rPr>
        <w:footnoteReference w:id="80"/>
      </w:r>
      <w:r w:rsidRPr="0078289D">
        <w:rPr>
          <w:sz w:val="28"/>
          <w:szCs w:val="28"/>
          <w:lang w:val="es-ES_tradnl"/>
        </w:rPr>
        <w:t xml:space="preserve">. </w:t>
      </w:r>
    </w:p>
    <w:p w:rsidR="00C256E0" w:rsidRPr="0078289D" w:rsidRDefault="002F0408"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Inician</w:t>
      </w:r>
      <w:r w:rsidR="00C256E0" w:rsidRPr="0078289D">
        <w:rPr>
          <w:sz w:val="28"/>
          <w:szCs w:val="28"/>
          <w:lang w:val="es-ES_tradnl"/>
        </w:rPr>
        <w:t xml:space="preserve"> su exposición precisando el alcance de la disposición </w:t>
      </w:r>
      <w:r w:rsidR="000863B8" w:rsidRPr="0078289D">
        <w:rPr>
          <w:sz w:val="28"/>
          <w:szCs w:val="28"/>
          <w:lang w:val="es-ES_tradnl"/>
        </w:rPr>
        <w:t xml:space="preserve">parcialmente </w:t>
      </w:r>
      <w:r w:rsidR="00C256E0" w:rsidRPr="0078289D">
        <w:rPr>
          <w:sz w:val="28"/>
          <w:szCs w:val="28"/>
          <w:lang w:val="es-ES_tradnl"/>
        </w:rPr>
        <w:t xml:space="preserve">demandada. Así, señalan que ésta incluye una excepción a la prohibición general de no realizar actividades de explotación en ecosistemas de páramo, previendo que </w:t>
      </w:r>
      <w:r w:rsidR="00217C1B" w:rsidRPr="0078289D">
        <w:rPr>
          <w:sz w:val="28"/>
          <w:szCs w:val="28"/>
          <w:lang w:val="es-ES_tradnl"/>
        </w:rPr>
        <w:t xml:space="preserve">dicha actividad puede desarrollarse </w:t>
      </w:r>
      <w:r w:rsidR="00C256E0" w:rsidRPr="0078289D">
        <w:rPr>
          <w:sz w:val="28"/>
          <w:szCs w:val="28"/>
          <w:lang w:val="es-ES_tradnl"/>
        </w:rPr>
        <w:t xml:space="preserve">en aquellos casos en que se hayan otorgado licencias ambientales con anterioridad a la Ley 1382 de 2010 </w:t>
      </w:r>
      <w:r w:rsidR="00C256E0" w:rsidRPr="0078289D">
        <w:rPr>
          <w:sz w:val="28"/>
          <w:szCs w:val="28"/>
          <w:lang w:val="es-ES_tradnl"/>
        </w:rPr>
        <w:lastRenderedPageBreak/>
        <w:t xml:space="preserve">y 1450 de 2011. Mencionan que el impacto de esta </w:t>
      </w:r>
      <w:r w:rsidR="00543A22" w:rsidRPr="0078289D">
        <w:rPr>
          <w:sz w:val="28"/>
          <w:szCs w:val="28"/>
          <w:lang w:val="es-ES_tradnl"/>
        </w:rPr>
        <w:t>disposición</w:t>
      </w:r>
      <w:r w:rsidR="00C256E0" w:rsidRPr="0078289D">
        <w:rPr>
          <w:sz w:val="28"/>
          <w:szCs w:val="28"/>
          <w:lang w:val="es-ES_tradnl"/>
        </w:rPr>
        <w:t xml:space="preserve"> en el ambiente es evidente, toda </w:t>
      </w:r>
      <w:r w:rsidR="0028081E" w:rsidRPr="0078289D">
        <w:rPr>
          <w:sz w:val="28"/>
          <w:szCs w:val="28"/>
          <w:lang w:val="es-ES_tradnl"/>
        </w:rPr>
        <w:t xml:space="preserve">vez que </w:t>
      </w:r>
      <w:r w:rsidR="00C256E0" w:rsidRPr="0078289D">
        <w:rPr>
          <w:sz w:val="28"/>
          <w:szCs w:val="28"/>
          <w:lang w:val="es-ES_tradnl"/>
        </w:rPr>
        <w:t xml:space="preserve">actualmente hay </w:t>
      </w:r>
      <w:r w:rsidR="00A57AD5" w:rsidRPr="0078289D">
        <w:rPr>
          <w:sz w:val="28"/>
          <w:szCs w:val="28"/>
          <w:lang w:val="es-ES_tradnl"/>
        </w:rPr>
        <w:t>trescientos cuarenta y siete (</w:t>
      </w:r>
      <w:r w:rsidR="00C256E0" w:rsidRPr="0078289D">
        <w:rPr>
          <w:sz w:val="28"/>
          <w:szCs w:val="28"/>
          <w:lang w:val="es-ES_tradnl"/>
        </w:rPr>
        <w:t>347</w:t>
      </w:r>
      <w:r w:rsidR="00A57AD5" w:rsidRPr="0078289D">
        <w:rPr>
          <w:sz w:val="28"/>
          <w:szCs w:val="28"/>
          <w:lang w:val="es-ES_tradnl"/>
        </w:rPr>
        <w:t>)</w:t>
      </w:r>
      <w:r w:rsidR="00C256E0" w:rsidRPr="0078289D">
        <w:rPr>
          <w:sz w:val="28"/>
          <w:szCs w:val="28"/>
          <w:lang w:val="es-ES_tradnl"/>
        </w:rPr>
        <w:t xml:space="preserve"> títulos en páramos que cuentan con licencias ambientales</w:t>
      </w:r>
      <w:r w:rsidR="0028081E" w:rsidRPr="0078289D">
        <w:rPr>
          <w:rStyle w:val="Refdenotaalpie"/>
          <w:sz w:val="28"/>
          <w:szCs w:val="28"/>
          <w:lang w:val="es-ES_tradnl"/>
        </w:rPr>
        <w:footnoteReference w:id="81"/>
      </w:r>
      <w:r w:rsidR="00C256E0" w:rsidRPr="0078289D">
        <w:rPr>
          <w:sz w:val="28"/>
          <w:szCs w:val="28"/>
          <w:lang w:val="es-ES_tradnl"/>
        </w:rPr>
        <w:t xml:space="preserve">. </w:t>
      </w:r>
    </w:p>
    <w:p w:rsidR="00C256E0" w:rsidRPr="0078289D" w:rsidRDefault="00C256E0" w:rsidP="0078289D">
      <w:pPr>
        <w:pBdr>
          <w:top w:val="none" w:sz="0" w:space="0" w:color="auto"/>
          <w:left w:val="none" w:sz="0" w:space="0" w:color="auto"/>
          <w:bottom w:val="none" w:sz="0" w:space="0" w:color="auto"/>
          <w:right w:val="none" w:sz="0" w:space="0" w:color="auto"/>
        </w:pBdr>
        <w:jc w:val="both"/>
        <w:rPr>
          <w:sz w:val="28"/>
          <w:szCs w:val="28"/>
          <w:lang w:val="es-ES_tradnl"/>
        </w:rPr>
      </w:pPr>
    </w:p>
    <w:p w:rsidR="006717E9" w:rsidRPr="0078289D" w:rsidRDefault="00EE3A54"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Así mismo</w:t>
      </w:r>
      <w:r w:rsidR="00C256E0" w:rsidRPr="0078289D">
        <w:rPr>
          <w:sz w:val="28"/>
          <w:szCs w:val="28"/>
          <w:lang w:val="es-ES_tradnl"/>
        </w:rPr>
        <w:t xml:space="preserve">, </w:t>
      </w:r>
      <w:r w:rsidR="00785187" w:rsidRPr="0078289D">
        <w:rPr>
          <w:sz w:val="28"/>
          <w:szCs w:val="28"/>
          <w:lang w:val="es-ES_tradnl"/>
        </w:rPr>
        <w:t>presentan diversos estudios e informes elaborados por entidades públicas y privadas</w:t>
      </w:r>
      <w:r w:rsidR="00785187" w:rsidRPr="0078289D">
        <w:rPr>
          <w:rStyle w:val="Refdenotaalpie"/>
          <w:sz w:val="28"/>
          <w:szCs w:val="28"/>
          <w:lang w:val="es-ES_tradnl"/>
        </w:rPr>
        <w:footnoteReference w:id="82"/>
      </w:r>
      <w:r w:rsidR="00785187" w:rsidRPr="0078289D">
        <w:rPr>
          <w:sz w:val="28"/>
          <w:szCs w:val="28"/>
          <w:lang w:val="es-ES_tradnl"/>
        </w:rPr>
        <w:t xml:space="preserve">, y concluyen </w:t>
      </w:r>
      <w:r w:rsidR="00C256E0" w:rsidRPr="0078289D">
        <w:rPr>
          <w:sz w:val="28"/>
          <w:szCs w:val="28"/>
          <w:lang w:val="es-ES_tradnl"/>
        </w:rPr>
        <w:t>que los ecosistemas de páramo son muy frágiles, y que la actividad minera puede acarr</w:t>
      </w:r>
      <w:r w:rsidR="00476D74" w:rsidRPr="0078289D">
        <w:rPr>
          <w:sz w:val="28"/>
          <w:szCs w:val="28"/>
          <w:lang w:val="es-ES_tradnl"/>
        </w:rPr>
        <w:t>ear consecuencias negativas en las coberturas vegetales y</w:t>
      </w:r>
      <w:r w:rsidR="00C256E0" w:rsidRPr="0078289D">
        <w:rPr>
          <w:sz w:val="28"/>
          <w:szCs w:val="28"/>
          <w:lang w:val="es-ES_tradnl"/>
        </w:rPr>
        <w:t xml:space="preserve"> </w:t>
      </w:r>
      <w:r w:rsidR="00476D74" w:rsidRPr="0078289D">
        <w:rPr>
          <w:sz w:val="28"/>
          <w:szCs w:val="28"/>
          <w:lang w:val="es-ES_tradnl"/>
        </w:rPr>
        <w:t>cambios geomorfológicos y físico-</w:t>
      </w:r>
      <w:r w:rsidR="00433977" w:rsidRPr="0078289D">
        <w:rPr>
          <w:sz w:val="28"/>
          <w:szCs w:val="28"/>
          <w:lang w:val="es-ES_tradnl"/>
        </w:rPr>
        <w:t>químicos en el suelo y subsuelo</w:t>
      </w:r>
      <w:r w:rsidR="006717E9" w:rsidRPr="0078289D">
        <w:rPr>
          <w:sz w:val="28"/>
          <w:szCs w:val="28"/>
          <w:lang w:val="es-ES_tradnl"/>
        </w:rPr>
        <w:t xml:space="preserve">, lo que deviene en una vulneración de los </w:t>
      </w:r>
      <w:r w:rsidR="001369BE" w:rsidRPr="0078289D">
        <w:rPr>
          <w:sz w:val="28"/>
          <w:szCs w:val="28"/>
          <w:lang w:val="es-ES_tradnl"/>
        </w:rPr>
        <w:t>principios del medio ambiente sano</w:t>
      </w:r>
      <w:r w:rsidR="006717E9" w:rsidRPr="0078289D">
        <w:rPr>
          <w:sz w:val="28"/>
          <w:szCs w:val="28"/>
          <w:lang w:val="es-ES_tradnl"/>
        </w:rPr>
        <w:t>, el desarrollo sostenible,</w:t>
      </w:r>
      <w:r w:rsidR="001369BE" w:rsidRPr="0078289D">
        <w:rPr>
          <w:sz w:val="28"/>
          <w:szCs w:val="28"/>
          <w:lang w:val="es-ES_tradnl"/>
        </w:rPr>
        <w:t xml:space="preserve"> el principio de precauci</w:t>
      </w:r>
      <w:r w:rsidR="006717E9" w:rsidRPr="0078289D">
        <w:rPr>
          <w:sz w:val="28"/>
          <w:szCs w:val="28"/>
          <w:lang w:val="es-ES_tradnl"/>
        </w:rPr>
        <w:t>ón y el derecho al agua. A su vez, señalan que existe una violación del patrimonio público</w:t>
      </w:r>
      <w:r w:rsidR="006717E9" w:rsidRPr="0078289D">
        <w:rPr>
          <w:i/>
          <w:sz w:val="28"/>
          <w:szCs w:val="28"/>
          <w:lang w:val="es-ES_tradnl"/>
        </w:rPr>
        <w:t xml:space="preserve"> “Por los altos costos que implicaría para el Estado colombiano los daños ocasionados por cuenta de la actividad minera y petrolera en los páramos en su mayoría baldíos reservados y por los costos que implicaría para el Estado la recuperación de dichos ecosistemas – recuperación total que resulta imposible-, así como la consecución de nuevas fuentes para soportar la demanda de agua”. </w:t>
      </w:r>
    </w:p>
    <w:p w:rsidR="00C256E0" w:rsidRPr="0078289D" w:rsidRDefault="00C256E0" w:rsidP="0078289D">
      <w:pPr>
        <w:pBdr>
          <w:top w:val="none" w:sz="0" w:space="0" w:color="auto"/>
          <w:left w:val="none" w:sz="0" w:space="0" w:color="auto"/>
          <w:bottom w:val="none" w:sz="0" w:space="0" w:color="auto"/>
          <w:right w:val="none" w:sz="0" w:space="0" w:color="auto"/>
        </w:pBdr>
        <w:jc w:val="both"/>
        <w:rPr>
          <w:sz w:val="28"/>
          <w:szCs w:val="28"/>
          <w:lang w:val="es-ES_tradnl"/>
        </w:rPr>
      </w:pPr>
    </w:p>
    <w:p w:rsidR="00767CDD" w:rsidRPr="0078289D" w:rsidRDefault="00800E1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Finalmente</w:t>
      </w:r>
      <w:r w:rsidR="00B41973" w:rsidRPr="0078289D">
        <w:rPr>
          <w:sz w:val="28"/>
          <w:szCs w:val="28"/>
          <w:lang w:val="es-ES_tradnl"/>
        </w:rPr>
        <w:t>, a</w:t>
      </w:r>
      <w:r w:rsidR="00767CDD" w:rsidRPr="0078289D">
        <w:rPr>
          <w:sz w:val="28"/>
          <w:szCs w:val="28"/>
          <w:lang w:val="es-ES_tradnl"/>
        </w:rPr>
        <w:t xml:space="preserve">plican un test </w:t>
      </w:r>
      <w:r w:rsidR="00C82256" w:rsidRPr="0078289D">
        <w:rPr>
          <w:sz w:val="28"/>
          <w:szCs w:val="28"/>
          <w:lang w:val="es-ES_tradnl"/>
        </w:rPr>
        <w:t xml:space="preserve">estricto de constitucionalidad para analizar la legitimidad, razonabilidad y proporcionalidad de la medida adoptada en el </w:t>
      </w:r>
      <w:r w:rsidR="0009412C" w:rsidRPr="0078289D">
        <w:rPr>
          <w:sz w:val="28"/>
          <w:szCs w:val="28"/>
          <w:lang w:val="es-ES_tradnl"/>
        </w:rPr>
        <w:t xml:space="preserve">aparte acusado. Así, </w:t>
      </w:r>
      <w:r w:rsidR="00767CDD" w:rsidRPr="0078289D">
        <w:rPr>
          <w:sz w:val="28"/>
          <w:szCs w:val="28"/>
          <w:lang w:val="es-ES_tradnl"/>
        </w:rPr>
        <w:t>señalan que los derechos y principios en tensión son,</w:t>
      </w:r>
      <w:r w:rsidR="00C82256" w:rsidRPr="0078289D">
        <w:rPr>
          <w:sz w:val="28"/>
          <w:szCs w:val="28"/>
          <w:lang w:val="es-ES_tradnl"/>
        </w:rPr>
        <w:t xml:space="preserve"> por un lado, los derechos fundamentales</w:t>
      </w:r>
      <w:r w:rsidR="00767CDD" w:rsidRPr="0078289D">
        <w:rPr>
          <w:sz w:val="28"/>
          <w:szCs w:val="28"/>
          <w:lang w:val="es-ES_tradnl"/>
        </w:rPr>
        <w:t xml:space="preserve"> al agua, al medio ambiente sano y al patrimonio público, </w:t>
      </w:r>
      <w:r w:rsidR="00480AB0" w:rsidRPr="0078289D">
        <w:rPr>
          <w:sz w:val="28"/>
          <w:szCs w:val="28"/>
          <w:lang w:val="es-ES_tradnl"/>
        </w:rPr>
        <w:t xml:space="preserve">y </w:t>
      </w:r>
      <w:r w:rsidR="00C82256" w:rsidRPr="0078289D">
        <w:rPr>
          <w:sz w:val="28"/>
          <w:szCs w:val="28"/>
          <w:lang w:val="es-ES_tradnl"/>
        </w:rPr>
        <w:t>por otro,</w:t>
      </w:r>
      <w:r w:rsidR="00767CDD" w:rsidRPr="0078289D">
        <w:rPr>
          <w:sz w:val="28"/>
          <w:szCs w:val="28"/>
          <w:lang w:val="es-ES_tradnl"/>
        </w:rPr>
        <w:t xml:space="preserve"> la confianza legítima de quienes ejercen la actividad minera y de hidrocarburos. </w:t>
      </w:r>
      <w:r w:rsidR="0009412C" w:rsidRPr="0078289D">
        <w:rPr>
          <w:sz w:val="28"/>
          <w:szCs w:val="28"/>
          <w:lang w:val="es-ES_tradnl"/>
        </w:rPr>
        <w:t>Los accionantes consideran</w:t>
      </w:r>
      <w:r w:rsidR="00767CDD" w:rsidRPr="0078289D">
        <w:rPr>
          <w:sz w:val="28"/>
          <w:szCs w:val="28"/>
          <w:lang w:val="es-ES_tradnl"/>
        </w:rPr>
        <w:t xml:space="preserve"> que el fin que </w:t>
      </w:r>
      <w:r w:rsidR="00DD57ED" w:rsidRPr="0078289D">
        <w:rPr>
          <w:sz w:val="28"/>
          <w:szCs w:val="28"/>
          <w:lang w:val="es-ES_tradnl"/>
        </w:rPr>
        <w:t>la norma protege</w:t>
      </w:r>
      <w:r w:rsidR="000A239B" w:rsidRPr="0078289D">
        <w:rPr>
          <w:sz w:val="28"/>
          <w:szCs w:val="28"/>
          <w:lang w:val="es-ES_tradnl"/>
        </w:rPr>
        <w:t>,</w:t>
      </w:r>
      <w:r w:rsidR="00767CDD" w:rsidRPr="0078289D">
        <w:rPr>
          <w:sz w:val="28"/>
          <w:szCs w:val="28"/>
          <w:lang w:val="es-ES_tradnl"/>
        </w:rPr>
        <w:t xml:space="preserve"> </w:t>
      </w:r>
      <w:r w:rsidR="000B77E1" w:rsidRPr="0078289D">
        <w:rPr>
          <w:sz w:val="28"/>
          <w:szCs w:val="28"/>
          <w:lang w:val="es-ES_tradnl"/>
        </w:rPr>
        <w:t xml:space="preserve">es </w:t>
      </w:r>
      <w:r w:rsidR="002C53EF" w:rsidRPr="0078289D">
        <w:rPr>
          <w:sz w:val="28"/>
          <w:szCs w:val="28"/>
          <w:lang w:val="es-ES_tradnl"/>
        </w:rPr>
        <w:t>decir, la</w:t>
      </w:r>
      <w:r w:rsidR="000B77E1" w:rsidRPr="0078289D">
        <w:rPr>
          <w:sz w:val="28"/>
          <w:szCs w:val="28"/>
          <w:lang w:val="es-ES_tradnl"/>
        </w:rPr>
        <w:t xml:space="preserve"> </w:t>
      </w:r>
      <w:r w:rsidR="00767CDD" w:rsidRPr="0078289D">
        <w:rPr>
          <w:sz w:val="28"/>
          <w:szCs w:val="28"/>
          <w:lang w:val="es-ES_tradnl"/>
        </w:rPr>
        <w:t>confianza legítima</w:t>
      </w:r>
      <w:r w:rsidR="002C53EF" w:rsidRPr="0078289D">
        <w:rPr>
          <w:sz w:val="28"/>
          <w:szCs w:val="28"/>
          <w:lang w:val="es-ES_tradnl"/>
        </w:rPr>
        <w:t>,</w:t>
      </w:r>
      <w:r w:rsidR="00767CDD" w:rsidRPr="0078289D">
        <w:rPr>
          <w:sz w:val="28"/>
          <w:szCs w:val="28"/>
          <w:lang w:val="es-ES_tradnl"/>
        </w:rPr>
        <w:t xml:space="preserve"> no puede sobreponerse a fine</w:t>
      </w:r>
      <w:r w:rsidR="00350C5C" w:rsidRPr="0078289D">
        <w:rPr>
          <w:sz w:val="28"/>
          <w:szCs w:val="28"/>
          <w:lang w:val="es-ES_tradnl"/>
        </w:rPr>
        <w:t xml:space="preserve">s superiores de interés general, como la necesidad de proteger el ambiente, el agua y el patrimonio público. </w:t>
      </w:r>
      <w:r w:rsidR="00767CDD" w:rsidRPr="0078289D">
        <w:rPr>
          <w:sz w:val="28"/>
          <w:szCs w:val="28"/>
          <w:lang w:val="es-ES_tradnl"/>
        </w:rPr>
        <w:t>Tampoco</w:t>
      </w:r>
      <w:r w:rsidR="00350C5C" w:rsidRPr="0078289D">
        <w:rPr>
          <w:sz w:val="28"/>
          <w:szCs w:val="28"/>
          <w:lang w:val="es-ES_tradnl"/>
        </w:rPr>
        <w:t xml:space="preserve"> consideran que</w:t>
      </w:r>
      <w:r w:rsidR="00767CDD" w:rsidRPr="0078289D">
        <w:rPr>
          <w:sz w:val="28"/>
          <w:szCs w:val="28"/>
          <w:lang w:val="es-ES_tradnl"/>
        </w:rPr>
        <w:t xml:space="preserve"> es necesaria la medida, puesto que puede acudirse a mecanismos menos lesivos (por ejemplo, compensaciones)</w:t>
      </w:r>
      <w:r w:rsidR="00350C5C" w:rsidRPr="0078289D">
        <w:rPr>
          <w:sz w:val="28"/>
          <w:szCs w:val="28"/>
          <w:lang w:val="es-ES_tradnl"/>
        </w:rPr>
        <w:t xml:space="preserve">, ni </w:t>
      </w:r>
      <w:r w:rsidR="00767CDD" w:rsidRPr="0078289D">
        <w:rPr>
          <w:sz w:val="28"/>
          <w:szCs w:val="28"/>
          <w:lang w:val="es-ES_tradnl"/>
        </w:rPr>
        <w:t xml:space="preserve">proporcional, </w:t>
      </w:r>
      <w:r w:rsidR="0050644E" w:rsidRPr="0078289D">
        <w:rPr>
          <w:sz w:val="28"/>
          <w:szCs w:val="28"/>
          <w:lang w:val="es-ES_tradnl"/>
        </w:rPr>
        <w:t xml:space="preserve">puesto que </w:t>
      </w:r>
      <w:r w:rsidR="00767CDD" w:rsidRPr="0078289D">
        <w:rPr>
          <w:sz w:val="28"/>
          <w:szCs w:val="28"/>
          <w:lang w:val="es-ES_tradnl"/>
        </w:rPr>
        <w:t xml:space="preserve">implica una limitación desmesurada de principios y derechos constitucionales y del principio de precaución. </w:t>
      </w:r>
    </w:p>
    <w:p w:rsidR="002A1798" w:rsidRPr="0078289D" w:rsidRDefault="002A1798" w:rsidP="0078289D">
      <w:pPr>
        <w:pBdr>
          <w:top w:val="none" w:sz="0" w:space="0" w:color="auto"/>
          <w:left w:val="none" w:sz="0" w:space="0" w:color="auto"/>
          <w:bottom w:val="none" w:sz="0" w:space="0" w:color="auto"/>
          <w:right w:val="none" w:sz="0" w:space="0" w:color="auto"/>
        </w:pBdr>
        <w:jc w:val="both"/>
        <w:rPr>
          <w:sz w:val="28"/>
          <w:szCs w:val="28"/>
          <w:lang w:val="es-ES_tradnl"/>
        </w:rPr>
      </w:pPr>
    </w:p>
    <w:p w:rsidR="00C46954" w:rsidRPr="0078289D" w:rsidRDefault="00C46954"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263FF" w:rsidRPr="0078289D" w:rsidRDefault="005263FF"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Concepto del Procurador General de la Nación</w:t>
      </w:r>
    </w:p>
    <w:p w:rsidR="005263FF" w:rsidRPr="0078289D" w:rsidRDefault="005263FF"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5263FF" w:rsidRPr="0078289D" w:rsidRDefault="005D6054"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 xml:space="preserve">El Procurador solicitó que el parágrafo primero del artículo 173 de la Ley 1753 de 2015 fuese declarado </w:t>
      </w:r>
      <w:r w:rsidRPr="0078289D">
        <w:rPr>
          <w:b/>
          <w:sz w:val="28"/>
          <w:szCs w:val="28"/>
          <w:lang w:val="es-ES_tradnl"/>
        </w:rPr>
        <w:t xml:space="preserve">exequible </w:t>
      </w:r>
      <w:r w:rsidR="001B74F8" w:rsidRPr="0078289D">
        <w:rPr>
          <w:b/>
          <w:sz w:val="28"/>
          <w:szCs w:val="28"/>
          <w:lang w:val="es-ES_tradnl"/>
        </w:rPr>
        <w:t>de forma condicionada</w:t>
      </w:r>
      <w:r w:rsidR="001B74F8" w:rsidRPr="0078289D">
        <w:rPr>
          <w:sz w:val="28"/>
          <w:szCs w:val="28"/>
          <w:lang w:val="es-ES_tradnl"/>
        </w:rPr>
        <w:t xml:space="preserve">. </w:t>
      </w:r>
    </w:p>
    <w:p w:rsidR="00B818F5" w:rsidRPr="0078289D" w:rsidRDefault="00B818F5"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835E86" w:rsidRPr="0078289D" w:rsidRDefault="00835E86"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lastRenderedPageBreak/>
        <w:t>E</w:t>
      </w:r>
      <w:r w:rsidR="00CF2189" w:rsidRPr="0078289D">
        <w:rPr>
          <w:sz w:val="28"/>
          <w:szCs w:val="28"/>
          <w:lang w:val="es-ES_tradnl"/>
        </w:rPr>
        <w:t xml:space="preserve">l Procurador </w:t>
      </w:r>
      <w:r w:rsidRPr="0078289D">
        <w:rPr>
          <w:sz w:val="28"/>
          <w:szCs w:val="28"/>
          <w:lang w:val="es-ES_tradnl"/>
        </w:rPr>
        <w:t xml:space="preserve">inicia su exposición </w:t>
      </w:r>
      <w:r w:rsidR="00CF2189" w:rsidRPr="0078289D">
        <w:rPr>
          <w:sz w:val="28"/>
          <w:szCs w:val="28"/>
          <w:lang w:val="es-ES_tradnl"/>
        </w:rPr>
        <w:t>reconoc</w:t>
      </w:r>
      <w:r w:rsidRPr="0078289D">
        <w:rPr>
          <w:sz w:val="28"/>
          <w:szCs w:val="28"/>
          <w:lang w:val="es-ES_tradnl"/>
        </w:rPr>
        <w:t>iendo</w:t>
      </w:r>
      <w:r w:rsidR="00CF2189" w:rsidRPr="0078289D">
        <w:rPr>
          <w:sz w:val="28"/>
          <w:szCs w:val="28"/>
          <w:lang w:val="es-ES_tradnl"/>
        </w:rPr>
        <w:t xml:space="preserve"> que la norma cuestionada </w:t>
      </w:r>
      <w:r w:rsidR="0099650A" w:rsidRPr="0078289D">
        <w:rPr>
          <w:sz w:val="28"/>
          <w:szCs w:val="28"/>
          <w:lang w:val="es-ES_tradnl"/>
        </w:rPr>
        <w:t xml:space="preserve">conlleva la tensión entre el deber de proteger la propiedad privada, y por ende, los derechos adquiridos, y, de otro lado, el deber de </w:t>
      </w:r>
      <w:r w:rsidR="000C2DE7" w:rsidRPr="0078289D">
        <w:rPr>
          <w:sz w:val="28"/>
          <w:szCs w:val="28"/>
          <w:lang w:val="es-ES_tradnl"/>
        </w:rPr>
        <w:t>proteger la diversidad e integridad</w:t>
      </w:r>
      <w:r w:rsidR="0099650A" w:rsidRPr="0078289D">
        <w:rPr>
          <w:sz w:val="28"/>
          <w:szCs w:val="28"/>
          <w:lang w:val="es-ES_tradnl"/>
        </w:rPr>
        <w:t xml:space="preserve"> del ambiente. </w:t>
      </w:r>
      <w:r w:rsidR="00FF1B66" w:rsidRPr="0078289D">
        <w:rPr>
          <w:sz w:val="28"/>
          <w:szCs w:val="28"/>
          <w:lang w:val="es-ES_tradnl"/>
        </w:rPr>
        <w:t>A su juicio, el Legislador realizó una correcta ponderación de los bienes jurídicos en tensión</w:t>
      </w:r>
      <w:r w:rsidR="00863C69" w:rsidRPr="0078289D">
        <w:rPr>
          <w:sz w:val="28"/>
          <w:szCs w:val="28"/>
          <w:lang w:val="es-ES_tradnl"/>
        </w:rPr>
        <w:t xml:space="preserve">, toda vez que dio prelación a los principios de función ecológica de la propiedad y protección del ambiente, frente al simple derecho de propiedad, al brindar protección a las zonas de importancia ecológica y evitar que sobre éstas se sigan desarrollando proyectos que puedan ocasionar graves daños ambientales. </w:t>
      </w:r>
    </w:p>
    <w:p w:rsidR="002D56EE" w:rsidRPr="0078289D" w:rsidRDefault="002D56EE"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71E0F" w:rsidRPr="0078289D" w:rsidRDefault="009B57DE"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Sin embargo, el Procurador considera qu</w:t>
      </w:r>
      <w:r w:rsidR="005B365B" w:rsidRPr="0078289D">
        <w:rPr>
          <w:sz w:val="28"/>
          <w:szCs w:val="28"/>
          <w:lang w:val="es-ES_tradnl"/>
        </w:rPr>
        <w:t>e la forma en que está redactado</w:t>
      </w:r>
      <w:r w:rsidRPr="0078289D">
        <w:rPr>
          <w:sz w:val="28"/>
          <w:szCs w:val="28"/>
          <w:lang w:val="es-ES_tradnl"/>
        </w:rPr>
        <w:t xml:space="preserve"> </w:t>
      </w:r>
      <w:r w:rsidR="005B365B" w:rsidRPr="0078289D">
        <w:rPr>
          <w:sz w:val="28"/>
          <w:szCs w:val="28"/>
          <w:lang w:val="es-ES_tradnl"/>
        </w:rPr>
        <w:t>el</w:t>
      </w:r>
      <w:r w:rsidRPr="0078289D">
        <w:rPr>
          <w:sz w:val="28"/>
          <w:szCs w:val="28"/>
          <w:lang w:val="es-ES_tradnl"/>
        </w:rPr>
        <w:t xml:space="preserve"> </w:t>
      </w:r>
      <w:r w:rsidR="005B365B" w:rsidRPr="0078289D">
        <w:rPr>
          <w:sz w:val="28"/>
          <w:szCs w:val="28"/>
          <w:lang w:val="es-ES_tradnl"/>
        </w:rPr>
        <w:t>texto</w:t>
      </w:r>
      <w:r w:rsidRPr="0078289D">
        <w:rPr>
          <w:sz w:val="28"/>
          <w:szCs w:val="28"/>
          <w:lang w:val="es-ES_tradnl"/>
        </w:rPr>
        <w:t xml:space="preserve"> puede conllevar a una interpretaci</w:t>
      </w:r>
      <w:r w:rsidR="0070789A" w:rsidRPr="0078289D">
        <w:rPr>
          <w:sz w:val="28"/>
          <w:szCs w:val="28"/>
          <w:lang w:val="es-ES_tradnl"/>
        </w:rPr>
        <w:t xml:space="preserve">ón </w:t>
      </w:r>
      <w:r w:rsidR="008835A3" w:rsidRPr="0078289D">
        <w:rPr>
          <w:sz w:val="28"/>
          <w:szCs w:val="28"/>
          <w:lang w:val="es-ES_tradnl"/>
        </w:rPr>
        <w:tab/>
        <w:t xml:space="preserve">que sugiera que el plazo para la adopción de la decisión de suspender el proyecto es indeterminado. </w:t>
      </w:r>
      <w:r w:rsidR="00A42D0D" w:rsidRPr="0078289D">
        <w:rPr>
          <w:sz w:val="28"/>
          <w:szCs w:val="28"/>
          <w:lang w:val="es-ES_tradnl"/>
        </w:rPr>
        <w:t xml:space="preserve">Ello, a su juicio, puede conllevar una grave afectación del medio ambiente. </w:t>
      </w:r>
      <w:r w:rsidR="001B74F8" w:rsidRPr="0078289D">
        <w:rPr>
          <w:sz w:val="28"/>
          <w:szCs w:val="28"/>
          <w:lang w:val="es-ES_tradnl"/>
        </w:rPr>
        <w:t xml:space="preserve">En este sentido, solicita que se condicione la exequibilidad de la norma </w:t>
      </w:r>
      <w:r w:rsidR="001B74F8" w:rsidRPr="0078289D">
        <w:rPr>
          <w:i/>
          <w:sz w:val="28"/>
          <w:szCs w:val="28"/>
          <w:lang w:val="es-ES_tradnl"/>
        </w:rPr>
        <w:t xml:space="preserve">“bajo el entendido de que: (i) la decisión de impedir que la actividad minera siga desarrollándose debe tomarse al momento en que la autoridad ambiental revise no sólo las licencias ambientales sino, también, los efectos que las actividades han causado sobre los páramos; (ii) dicha revisión a cargo de las autoridades ambientales debe hacerse a continuación de la entrada en vigencia de la prohibición del artículo </w:t>
      </w:r>
      <w:r w:rsidR="00571E0F" w:rsidRPr="0078289D">
        <w:rPr>
          <w:i/>
          <w:sz w:val="28"/>
          <w:szCs w:val="28"/>
          <w:lang w:val="es-ES_tradnl"/>
        </w:rPr>
        <w:t xml:space="preserve">173 de la Ley 1753 de 2015”. </w:t>
      </w:r>
    </w:p>
    <w:p w:rsidR="00571E0F" w:rsidRPr="0078289D" w:rsidRDefault="00571E0F"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2D56EE" w:rsidRPr="0078289D" w:rsidRDefault="00571E0F"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A su v</w:t>
      </w:r>
      <w:r w:rsidR="005B365B" w:rsidRPr="0078289D">
        <w:rPr>
          <w:sz w:val="28"/>
          <w:szCs w:val="28"/>
          <w:lang w:val="es-ES_tradnl"/>
        </w:rPr>
        <w:t xml:space="preserve">ez, advirtió que el texto acusado </w:t>
      </w:r>
      <w:r w:rsidRPr="0078289D">
        <w:rPr>
          <w:sz w:val="28"/>
          <w:szCs w:val="28"/>
          <w:lang w:val="es-ES_tradnl"/>
        </w:rPr>
        <w:t xml:space="preserve">excluyó, sin justificación alguna, la actividad de hidrocarburos, la cual también puede conllevar serios impactos ambientales. Por lo tanto, solicitó que la constitucionalidad de la norma fuese </w:t>
      </w:r>
      <w:r w:rsidR="00DE5BFB" w:rsidRPr="0078289D">
        <w:rPr>
          <w:sz w:val="28"/>
          <w:szCs w:val="28"/>
          <w:lang w:val="es-ES_tradnl"/>
        </w:rPr>
        <w:t xml:space="preserve">también </w:t>
      </w:r>
      <w:r w:rsidRPr="0078289D">
        <w:rPr>
          <w:sz w:val="28"/>
          <w:szCs w:val="28"/>
          <w:lang w:val="es-ES_tradnl"/>
        </w:rPr>
        <w:t>condicionada en el sentido de que “</w:t>
      </w:r>
      <w:r w:rsidR="001B74F8" w:rsidRPr="0078289D">
        <w:rPr>
          <w:i/>
          <w:sz w:val="28"/>
          <w:szCs w:val="28"/>
          <w:lang w:val="es-ES_tradnl"/>
        </w:rPr>
        <w:t xml:space="preserve">(iii) cuando la norma se refiere a la no continuación de la actividad minera también se incluye a </w:t>
      </w:r>
      <w:r w:rsidR="001B74F8" w:rsidRPr="0078289D">
        <w:rPr>
          <w:i/>
          <w:sz w:val="28"/>
          <w:szCs w:val="28"/>
          <w:u w:val="single"/>
          <w:lang w:val="es-ES_tradnl"/>
        </w:rPr>
        <w:t xml:space="preserve">la actividad de hidrocarburos </w:t>
      </w:r>
      <w:r w:rsidR="001B74F8" w:rsidRPr="0078289D">
        <w:rPr>
          <w:i/>
          <w:sz w:val="28"/>
          <w:szCs w:val="28"/>
          <w:lang w:val="es-ES_tradnl"/>
        </w:rPr>
        <w:t>cuando, precisamente, a pesar de la existencia de la licencia ambiental no es posible prevenir, mitigar, corregir o compensar los posibles daños ambientales sobre el ecosistema de páramo”.</w:t>
      </w:r>
    </w:p>
    <w:p w:rsidR="002A1798" w:rsidRPr="0078289D" w:rsidRDefault="002A1798"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D6054" w:rsidRPr="0078289D" w:rsidRDefault="00263779" w:rsidP="0078289D">
      <w:pPr>
        <w:pBdr>
          <w:top w:val="none" w:sz="0" w:space="0" w:color="auto"/>
          <w:left w:val="none" w:sz="0" w:space="0" w:color="auto"/>
          <w:bottom w:val="none" w:sz="0" w:space="0" w:color="auto"/>
          <w:right w:val="none" w:sz="0" w:space="0" w:color="auto"/>
        </w:pBdr>
        <w:jc w:val="both"/>
        <w:rPr>
          <w:b/>
          <w:sz w:val="28"/>
          <w:szCs w:val="28"/>
          <w:lang w:val="es-US"/>
        </w:rPr>
      </w:pPr>
      <w:r w:rsidRPr="0078289D">
        <w:rPr>
          <w:b/>
          <w:sz w:val="28"/>
          <w:szCs w:val="28"/>
          <w:lang w:val="es-US"/>
        </w:rPr>
        <w:t>Intervenciones de las entid</w:t>
      </w:r>
      <w:r w:rsidR="00D662AC" w:rsidRPr="0078289D">
        <w:rPr>
          <w:b/>
          <w:sz w:val="28"/>
          <w:szCs w:val="28"/>
          <w:lang w:val="es-US"/>
        </w:rPr>
        <w:t>ades estatales y de la ciudadaní</w:t>
      </w:r>
      <w:r w:rsidRPr="0078289D">
        <w:rPr>
          <w:b/>
          <w:sz w:val="28"/>
          <w:szCs w:val="28"/>
          <w:lang w:val="es-US"/>
        </w:rPr>
        <w:t>a</w:t>
      </w:r>
    </w:p>
    <w:p w:rsidR="002A1798" w:rsidRPr="0078289D" w:rsidRDefault="002A1798" w:rsidP="0078289D">
      <w:pPr>
        <w:pBdr>
          <w:top w:val="none" w:sz="0" w:space="0" w:color="auto"/>
          <w:left w:val="none" w:sz="0" w:space="0" w:color="auto"/>
          <w:bottom w:val="none" w:sz="0" w:space="0" w:color="auto"/>
          <w:right w:val="none" w:sz="0" w:space="0" w:color="auto"/>
        </w:pBdr>
        <w:jc w:val="both"/>
        <w:rPr>
          <w:sz w:val="28"/>
          <w:szCs w:val="28"/>
          <w:lang w:val="es-ES_tradnl"/>
        </w:rPr>
      </w:pPr>
    </w:p>
    <w:p w:rsidR="00A61109" w:rsidRPr="0078289D" w:rsidRDefault="00870205"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Ministerio de Ambiente y Desarrollo Sostenible</w:t>
      </w:r>
    </w:p>
    <w:p w:rsidR="00870205" w:rsidRPr="0078289D" w:rsidRDefault="00870205"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8D6565" w:rsidRPr="0078289D" w:rsidRDefault="00870205"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Ministerio de Ambiente y Desarrollo Sostenible solicitó la declaratoria de exequibilidad </w:t>
      </w:r>
      <w:r w:rsidR="00C10F1A" w:rsidRPr="0078289D">
        <w:rPr>
          <w:sz w:val="28"/>
          <w:szCs w:val="28"/>
          <w:lang w:val="es-ES_tradnl"/>
        </w:rPr>
        <w:t xml:space="preserve">de la norma acusada en esta sección de la demanda. </w:t>
      </w:r>
      <w:r w:rsidR="007343B7" w:rsidRPr="0078289D">
        <w:rPr>
          <w:sz w:val="28"/>
          <w:szCs w:val="28"/>
          <w:lang w:val="es-ES_tradnl"/>
        </w:rPr>
        <w:t xml:space="preserve">Señaló que el objetivo de la norma es </w:t>
      </w:r>
      <w:r w:rsidR="00F92965" w:rsidRPr="0078289D">
        <w:rPr>
          <w:sz w:val="28"/>
          <w:szCs w:val="28"/>
          <w:lang w:val="es-ES_tradnl"/>
        </w:rPr>
        <w:t>realizar una protección especial de</w:t>
      </w:r>
      <w:r w:rsidR="007343B7" w:rsidRPr="0078289D">
        <w:rPr>
          <w:sz w:val="28"/>
          <w:szCs w:val="28"/>
          <w:lang w:val="es-ES_tradnl"/>
        </w:rPr>
        <w:t xml:space="preserve"> los ecosistemas de páramo, reiterando la prohibición </w:t>
      </w:r>
      <w:r w:rsidR="00AE4FFB" w:rsidRPr="0078289D">
        <w:rPr>
          <w:sz w:val="28"/>
          <w:szCs w:val="28"/>
          <w:lang w:val="es-ES_tradnl"/>
        </w:rPr>
        <w:t>general que fue incluida primero por</w:t>
      </w:r>
      <w:r w:rsidR="00782801" w:rsidRPr="0078289D">
        <w:rPr>
          <w:sz w:val="28"/>
          <w:szCs w:val="28"/>
          <w:lang w:val="es-ES_tradnl"/>
        </w:rPr>
        <w:t xml:space="preserve"> el artículo 3º de</w:t>
      </w:r>
      <w:r w:rsidR="00AE4FFB" w:rsidRPr="0078289D">
        <w:rPr>
          <w:sz w:val="28"/>
          <w:szCs w:val="28"/>
          <w:lang w:val="es-ES_tradnl"/>
        </w:rPr>
        <w:t xml:space="preserve"> la Ley 1382 de 2010, y después por</w:t>
      </w:r>
      <w:r w:rsidR="00782801" w:rsidRPr="0078289D">
        <w:rPr>
          <w:sz w:val="28"/>
          <w:szCs w:val="28"/>
          <w:lang w:val="es-ES_tradnl"/>
        </w:rPr>
        <w:t xml:space="preserve"> el artículo 202 de</w:t>
      </w:r>
      <w:r w:rsidR="00AE4FFB" w:rsidRPr="0078289D">
        <w:rPr>
          <w:sz w:val="28"/>
          <w:szCs w:val="28"/>
          <w:lang w:val="es-ES_tradnl"/>
        </w:rPr>
        <w:t xml:space="preserve"> la Ley 1450 de 2011.</w:t>
      </w:r>
      <w:r w:rsidR="008D6565" w:rsidRPr="0078289D">
        <w:rPr>
          <w:sz w:val="28"/>
          <w:szCs w:val="28"/>
          <w:lang w:val="es-ES_tradnl"/>
        </w:rPr>
        <w:t xml:space="preserve"> </w:t>
      </w:r>
    </w:p>
    <w:p w:rsidR="007072B3" w:rsidRPr="0078289D" w:rsidRDefault="007072B3" w:rsidP="0078289D">
      <w:pPr>
        <w:pBdr>
          <w:top w:val="none" w:sz="0" w:space="0" w:color="auto"/>
          <w:left w:val="none" w:sz="0" w:space="0" w:color="auto"/>
          <w:bottom w:val="none" w:sz="0" w:space="0" w:color="auto"/>
          <w:right w:val="none" w:sz="0" w:space="0" w:color="auto"/>
        </w:pBdr>
        <w:jc w:val="both"/>
        <w:rPr>
          <w:sz w:val="28"/>
          <w:szCs w:val="28"/>
          <w:lang w:val="es-ES_tradnl"/>
        </w:rPr>
      </w:pPr>
    </w:p>
    <w:p w:rsidR="003C23EE" w:rsidRPr="0078289D" w:rsidRDefault="00F66A22" w:rsidP="0078289D">
      <w:pPr>
        <w:pBdr>
          <w:top w:val="none" w:sz="0" w:space="0" w:color="auto"/>
          <w:left w:val="none" w:sz="0" w:space="0" w:color="auto"/>
          <w:bottom w:val="none" w:sz="0" w:space="0" w:color="auto"/>
          <w:right w:val="none" w:sz="0" w:space="0" w:color="auto"/>
        </w:pBdr>
        <w:jc w:val="both"/>
        <w:rPr>
          <w:i/>
          <w:sz w:val="28"/>
          <w:szCs w:val="28"/>
          <w:lang w:val="es-ES_tradnl"/>
        </w:rPr>
      </w:pPr>
      <w:r w:rsidRPr="0078289D">
        <w:rPr>
          <w:sz w:val="28"/>
          <w:szCs w:val="28"/>
          <w:lang w:val="es-ES_tradnl"/>
        </w:rPr>
        <w:t>S</w:t>
      </w:r>
      <w:r w:rsidR="0008403C" w:rsidRPr="0078289D">
        <w:rPr>
          <w:sz w:val="28"/>
          <w:szCs w:val="28"/>
          <w:lang w:val="es-ES_tradnl"/>
        </w:rPr>
        <w:t xml:space="preserve">eñala que el artículo 173 </w:t>
      </w:r>
      <w:r w:rsidR="00BD4D6D" w:rsidRPr="0078289D">
        <w:rPr>
          <w:sz w:val="28"/>
          <w:szCs w:val="28"/>
          <w:lang w:val="es-ES_tradnl"/>
        </w:rPr>
        <w:t xml:space="preserve">no contempla una excepción a la prohibición de realizar actividades mineras en páramos, sino que </w:t>
      </w:r>
      <w:r w:rsidR="00711BB1" w:rsidRPr="0078289D">
        <w:rPr>
          <w:sz w:val="28"/>
          <w:szCs w:val="28"/>
          <w:lang w:val="es-ES_tradnl"/>
        </w:rPr>
        <w:t xml:space="preserve">da aplicación al principio de legalidad, y particularmente, de irretroactividad de la ley. En este sentido, señala que </w:t>
      </w:r>
      <w:r w:rsidR="00711BB1" w:rsidRPr="0078289D">
        <w:rPr>
          <w:i/>
          <w:sz w:val="28"/>
          <w:szCs w:val="28"/>
          <w:lang w:val="es-ES_tradnl"/>
        </w:rPr>
        <w:t xml:space="preserve">“Lo que hace es reiterar que la aplicación de la ley no es retroactiva en el tiempo y por tal razón no podía ser aplicable a aquellas actividades que antes de la entrega </w:t>
      </w:r>
      <w:r w:rsidR="00711BB1" w:rsidRPr="0078289D">
        <w:rPr>
          <w:sz w:val="28"/>
          <w:szCs w:val="28"/>
          <w:lang w:val="es-ES_tradnl"/>
        </w:rPr>
        <w:t>(sic)</w:t>
      </w:r>
      <w:r w:rsidR="00711BB1" w:rsidRPr="0078289D">
        <w:rPr>
          <w:i/>
          <w:sz w:val="28"/>
          <w:szCs w:val="28"/>
          <w:lang w:val="es-ES_tradnl"/>
        </w:rPr>
        <w:t xml:space="preserve"> en vigencia de la prohibición hubiese </w:t>
      </w:r>
      <w:r w:rsidR="00711BB1" w:rsidRPr="0078289D">
        <w:rPr>
          <w:i/>
          <w:sz w:val="28"/>
          <w:szCs w:val="28"/>
          <w:lang w:val="es-ES_tradnl"/>
        </w:rPr>
        <w:lastRenderedPageBreak/>
        <w:t>obtenido aquellos requisitos que el ordenamiento jurídico exigía para el desarrollo de la actividad o como en el caso de la minería hubiesen obtenido su título minero y su licencia ambiental o su equivalente”.</w:t>
      </w:r>
      <w:r w:rsidR="002F6399" w:rsidRPr="0078289D">
        <w:rPr>
          <w:i/>
          <w:sz w:val="28"/>
          <w:szCs w:val="28"/>
          <w:lang w:val="es-ES_tradnl"/>
        </w:rPr>
        <w:t xml:space="preserve"> </w:t>
      </w:r>
    </w:p>
    <w:p w:rsidR="002F6399" w:rsidRPr="0078289D" w:rsidRDefault="002F6399"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2F6399" w:rsidRPr="0078289D" w:rsidRDefault="002F639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Igualmente, indica que la norma prevé una revisión de las licencias otorgadas, y que éstas pueden ser modificadas con el fin de proteger el ecosistema objeto de protección</w:t>
      </w:r>
      <w:r w:rsidR="00F15371" w:rsidRPr="0078289D">
        <w:rPr>
          <w:sz w:val="28"/>
          <w:szCs w:val="28"/>
          <w:lang w:val="es-ES_tradnl"/>
        </w:rPr>
        <w:t xml:space="preserve">. En este sentido, aclara que en tensiones entre la actividad minera y la protección del ecosistema, prevalecerá esta última. </w:t>
      </w:r>
    </w:p>
    <w:p w:rsidR="00EB17D4" w:rsidRPr="0078289D" w:rsidRDefault="00EB17D4" w:rsidP="0078289D">
      <w:pPr>
        <w:pBdr>
          <w:top w:val="none" w:sz="0" w:space="0" w:color="auto"/>
          <w:left w:val="none" w:sz="0" w:space="0" w:color="auto"/>
          <w:bottom w:val="none" w:sz="0" w:space="0" w:color="auto"/>
          <w:right w:val="none" w:sz="0" w:space="0" w:color="auto"/>
        </w:pBdr>
        <w:jc w:val="both"/>
        <w:rPr>
          <w:sz w:val="28"/>
          <w:szCs w:val="28"/>
          <w:lang w:val="es-ES_tradnl"/>
        </w:rPr>
      </w:pPr>
    </w:p>
    <w:p w:rsidR="006A00CD" w:rsidRPr="0078289D" w:rsidRDefault="00EB17D4"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En segundo lugar, </w:t>
      </w:r>
      <w:r w:rsidR="001B0C4C" w:rsidRPr="0078289D">
        <w:rPr>
          <w:sz w:val="28"/>
          <w:szCs w:val="28"/>
          <w:lang w:val="es-ES_tradnl"/>
        </w:rPr>
        <w:t>menciona</w:t>
      </w:r>
      <w:r w:rsidRPr="0078289D">
        <w:rPr>
          <w:sz w:val="28"/>
          <w:szCs w:val="28"/>
          <w:lang w:val="es-ES_tradnl"/>
        </w:rPr>
        <w:t xml:space="preserve"> que los títulos mineros a los cuales aluden los demandantes no son específicos, puesto que nunca indicaron si éstos cumplían con los requisitos exigidos por la legislación antes de la prohibición del ejercicio de la actividad minera en los páramos</w:t>
      </w:r>
      <w:r w:rsidR="00BF64FD" w:rsidRPr="0078289D">
        <w:rPr>
          <w:sz w:val="28"/>
          <w:szCs w:val="28"/>
          <w:lang w:val="es-ES_tradnl"/>
        </w:rPr>
        <w:t xml:space="preserve">. </w:t>
      </w:r>
      <w:r w:rsidR="00EE3A54" w:rsidRPr="0078289D">
        <w:rPr>
          <w:sz w:val="28"/>
          <w:szCs w:val="28"/>
          <w:lang w:val="es-ES_tradnl"/>
        </w:rPr>
        <w:t>Así mismo</w:t>
      </w:r>
      <w:r w:rsidR="00F15371" w:rsidRPr="0078289D">
        <w:rPr>
          <w:sz w:val="28"/>
          <w:szCs w:val="28"/>
          <w:lang w:val="es-ES_tradnl"/>
        </w:rPr>
        <w:t xml:space="preserve">, señala </w:t>
      </w:r>
      <w:r w:rsidR="00BA2124" w:rsidRPr="0078289D">
        <w:rPr>
          <w:sz w:val="28"/>
          <w:szCs w:val="28"/>
          <w:lang w:val="es-ES_tradnl"/>
        </w:rPr>
        <w:t>que los demandantes omiten el carácter reglado de la activ</w:t>
      </w:r>
      <w:r w:rsidR="00F66A22" w:rsidRPr="0078289D">
        <w:rPr>
          <w:sz w:val="28"/>
          <w:szCs w:val="28"/>
          <w:lang w:val="es-ES_tradnl"/>
        </w:rPr>
        <w:t>idad minera, y que precisamente el hecho de que se hayan expedido licencias ambientales permite</w:t>
      </w:r>
      <w:r w:rsidR="00BA2124" w:rsidRPr="0078289D">
        <w:rPr>
          <w:sz w:val="28"/>
          <w:szCs w:val="28"/>
          <w:lang w:val="es-ES_tradnl"/>
        </w:rPr>
        <w:t xml:space="preserve"> deducir la existencia de medidas de protección de </w:t>
      </w:r>
      <w:r w:rsidR="006907CC" w:rsidRPr="0078289D">
        <w:rPr>
          <w:sz w:val="28"/>
          <w:szCs w:val="28"/>
          <w:lang w:val="es-ES_tradnl"/>
        </w:rPr>
        <w:t>los</w:t>
      </w:r>
      <w:r w:rsidR="00BA2124" w:rsidRPr="0078289D">
        <w:rPr>
          <w:sz w:val="28"/>
          <w:szCs w:val="28"/>
          <w:lang w:val="es-ES_tradnl"/>
        </w:rPr>
        <w:t xml:space="preserve"> recursos renovables </w:t>
      </w:r>
      <w:r w:rsidR="006907CC" w:rsidRPr="0078289D">
        <w:rPr>
          <w:sz w:val="28"/>
          <w:szCs w:val="28"/>
          <w:lang w:val="es-ES_tradnl"/>
        </w:rPr>
        <w:t xml:space="preserve">antes de la prohibición </w:t>
      </w:r>
      <w:r w:rsidR="00BB05F6" w:rsidRPr="0078289D">
        <w:rPr>
          <w:sz w:val="28"/>
          <w:szCs w:val="28"/>
          <w:lang w:val="es-ES_tradnl"/>
        </w:rPr>
        <w:t xml:space="preserve">impuesta por </w:t>
      </w:r>
      <w:r w:rsidR="006907CC" w:rsidRPr="0078289D">
        <w:rPr>
          <w:sz w:val="28"/>
          <w:szCs w:val="28"/>
          <w:lang w:val="es-ES_tradnl"/>
        </w:rPr>
        <w:t>la Ley</w:t>
      </w:r>
      <w:r w:rsidR="00BB05F6" w:rsidRPr="0078289D">
        <w:rPr>
          <w:sz w:val="28"/>
          <w:szCs w:val="28"/>
          <w:lang w:val="es-ES_tradnl"/>
        </w:rPr>
        <w:t xml:space="preserve"> 1382 </w:t>
      </w:r>
      <w:r w:rsidR="006907CC" w:rsidRPr="0078289D">
        <w:rPr>
          <w:sz w:val="28"/>
          <w:szCs w:val="28"/>
          <w:lang w:val="es-ES_tradnl"/>
        </w:rPr>
        <w:t xml:space="preserve">de 2010. </w:t>
      </w:r>
    </w:p>
    <w:p w:rsidR="00EB17D4" w:rsidRPr="0078289D" w:rsidRDefault="00BA2124"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 </w:t>
      </w:r>
    </w:p>
    <w:p w:rsidR="007072B3" w:rsidRPr="0078289D" w:rsidRDefault="006C615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I</w:t>
      </w:r>
      <w:r w:rsidR="006A00CD" w:rsidRPr="0078289D">
        <w:rPr>
          <w:sz w:val="28"/>
          <w:szCs w:val="28"/>
          <w:lang w:val="es-ES_tradnl"/>
        </w:rPr>
        <w:t>ndica que</w:t>
      </w:r>
      <w:r w:rsidR="002B5F44" w:rsidRPr="0078289D">
        <w:rPr>
          <w:sz w:val="28"/>
          <w:szCs w:val="28"/>
          <w:lang w:val="es-ES_tradnl"/>
        </w:rPr>
        <w:t xml:space="preserve"> los principios en tensión </w:t>
      </w:r>
      <w:r w:rsidR="0095260B" w:rsidRPr="0078289D">
        <w:rPr>
          <w:sz w:val="28"/>
          <w:szCs w:val="28"/>
          <w:lang w:val="es-ES_tradnl"/>
        </w:rPr>
        <w:t xml:space="preserve">en la norma estudiada </w:t>
      </w:r>
      <w:r w:rsidR="002B5F44" w:rsidRPr="0078289D">
        <w:rPr>
          <w:sz w:val="28"/>
          <w:szCs w:val="28"/>
          <w:lang w:val="es-ES_tradnl"/>
        </w:rPr>
        <w:t xml:space="preserve">no son la confianza legítima y la obligación de protección del ambiente, como equivocadamente se señala en la </w:t>
      </w:r>
      <w:r w:rsidR="00F92B0D" w:rsidRPr="0078289D">
        <w:rPr>
          <w:sz w:val="28"/>
          <w:szCs w:val="28"/>
          <w:lang w:val="es-ES_tradnl"/>
        </w:rPr>
        <w:t>demanda</w:t>
      </w:r>
      <w:r w:rsidR="00D3784E" w:rsidRPr="0078289D">
        <w:rPr>
          <w:sz w:val="28"/>
          <w:szCs w:val="28"/>
          <w:lang w:val="es-ES_tradnl"/>
        </w:rPr>
        <w:t xml:space="preserve">, toda vez que el Legislador sí </w:t>
      </w:r>
      <w:r w:rsidR="00BB4C36" w:rsidRPr="0078289D">
        <w:rPr>
          <w:sz w:val="28"/>
          <w:szCs w:val="28"/>
          <w:lang w:val="es-ES_tradnl"/>
        </w:rPr>
        <w:t>previó los mecanismos para proteger efectivamente el ecosistema</w:t>
      </w:r>
      <w:r w:rsidR="00794EF2" w:rsidRPr="0078289D">
        <w:rPr>
          <w:sz w:val="28"/>
          <w:szCs w:val="28"/>
          <w:lang w:val="es-ES_tradnl"/>
        </w:rPr>
        <w:t>, por lo que el test presentado por los accionantes carece de fundamento</w:t>
      </w:r>
      <w:r w:rsidR="00BB4C36" w:rsidRPr="0078289D">
        <w:rPr>
          <w:sz w:val="28"/>
          <w:szCs w:val="28"/>
          <w:lang w:val="es-ES_tradnl"/>
        </w:rPr>
        <w:t xml:space="preserve">. </w:t>
      </w:r>
      <w:r w:rsidR="00794EF2" w:rsidRPr="0078289D">
        <w:rPr>
          <w:sz w:val="28"/>
          <w:szCs w:val="28"/>
          <w:lang w:val="es-ES_tradnl"/>
        </w:rPr>
        <w:t xml:space="preserve">No obstante, el Ministerio </w:t>
      </w:r>
      <w:r w:rsidR="00031659" w:rsidRPr="0078289D">
        <w:rPr>
          <w:sz w:val="28"/>
          <w:szCs w:val="28"/>
          <w:lang w:val="es-ES_tradnl"/>
        </w:rPr>
        <w:t>señala</w:t>
      </w:r>
      <w:r w:rsidR="00794EF2" w:rsidRPr="0078289D">
        <w:rPr>
          <w:sz w:val="28"/>
          <w:szCs w:val="28"/>
          <w:lang w:val="es-ES_tradnl"/>
        </w:rPr>
        <w:t xml:space="preserve"> que, aún si en gracia de discusión se aceptase </w:t>
      </w:r>
      <w:r w:rsidR="00031659" w:rsidRPr="0078289D">
        <w:rPr>
          <w:sz w:val="28"/>
          <w:szCs w:val="28"/>
          <w:lang w:val="es-ES_tradnl"/>
        </w:rPr>
        <w:t xml:space="preserve">la pertinencia de un test de proporcionalidad, se deduciría que la medida adoptada por la norma </w:t>
      </w:r>
      <w:r w:rsidR="00F07E1C" w:rsidRPr="0078289D">
        <w:rPr>
          <w:sz w:val="28"/>
          <w:szCs w:val="28"/>
          <w:lang w:val="es-ES_tradnl"/>
        </w:rPr>
        <w:t xml:space="preserve">i) </w:t>
      </w:r>
      <w:r w:rsidR="00031659" w:rsidRPr="0078289D">
        <w:rPr>
          <w:sz w:val="28"/>
          <w:szCs w:val="28"/>
          <w:lang w:val="es-ES_tradnl"/>
        </w:rPr>
        <w:t>persigue un fin legítimo,</w:t>
      </w:r>
      <w:r w:rsidR="00F07E1C" w:rsidRPr="0078289D">
        <w:rPr>
          <w:sz w:val="28"/>
          <w:szCs w:val="28"/>
          <w:lang w:val="es-ES_tradnl"/>
        </w:rPr>
        <w:t xml:space="preserve"> toda vez que garantiza un equilibrio entre la búsqueda de desarrollo y la protección del ambiente, ii) es adecuada, pues garantiza el debido proceso y la seguridad jurídica de los particulares y a su vez aplica restricciones a los proyectos que no cumplan con las normas ambientales, iii) es necesaria, toda vez que la aplicación de medidas individuales en casos concretos resultaría onerosa y podría afectar otros derechos, y iv) </w:t>
      </w:r>
      <w:r w:rsidR="003D62B5" w:rsidRPr="0078289D">
        <w:rPr>
          <w:sz w:val="28"/>
          <w:szCs w:val="28"/>
          <w:lang w:val="es-ES_tradnl"/>
        </w:rPr>
        <w:t xml:space="preserve">es proporcional. </w:t>
      </w:r>
    </w:p>
    <w:p w:rsidR="00001354" w:rsidRPr="0078289D" w:rsidRDefault="00001354" w:rsidP="0078289D">
      <w:pPr>
        <w:pBdr>
          <w:top w:val="none" w:sz="0" w:space="0" w:color="auto"/>
          <w:left w:val="none" w:sz="0" w:space="0" w:color="auto"/>
          <w:bottom w:val="none" w:sz="0" w:space="0" w:color="auto"/>
          <w:right w:val="none" w:sz="0" w:space="0" w:color="auto"/>
        </w:pBdr>
        <w:jc w:val="both"/>
        <w:rPr>
          <w:sz w:val="28"/>
          <w:szCs w:val="28"/>
          <w:lang w:val="es-ES_tradnl"/>
        </w:rPr>
      </w:pPr>
    </w:p>
    <w:p w:rsidR="00001354" w:rsidRPr="0078289D" w:rsidRDefault="00001354"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En consecuencia, concluye que la norma acusada en la tercera sección de la demanda </w:t>
      </w:r>
      <w:r w:rsidR="004B038B" w:rsidRPr="0078289D">
        <w:rPr>
          <w:sz w:val="28"/>
          <w:szCs w:val="28"/>
          <w:lang w:val="es-ES_tradnl"/>
        </w:rPr>
        <w:t>no transgrede las disposiciones constitucionales relacionadas con la protección de los ecosistemas de páramos</w:t>
      </w:r>
      <w:r w:rsidR="00112073" w:rsidRPr="0078289D">
        <w:rPr>
          <w:sz w:val="28"/>
          <w:szCs w:val="28"/>
          <w:lang w:val="es-ES_tradnl"/>
        </w:rPr>
        <w:t>, por lo que ésta debe se</w:t>
      </w:r>
      <w:r w:rsidR="00BE4186" w:rsidRPr="0078289D">
        <w:rPr>
          <w:sz w:val="28"/>
          <w:szCs w:val="28"/>
          <w:lang w:val="es-ES_tradnl"/>
        </w:rPr>
        <w:t>r decl</w:t>
      </w:r>
      <w:r w:rsidR="00112073" w:rsidRPr="0078289D">
        <w:rPr>
          <w:sz w:val="28"/>
          <w:szCs w:val="28"/>
          <w:lang w:val="es-ES_tradnl"/>
        </w:rPr>
        <w:t xml:space="preserve">arada exequible. </w:t>
      </w:r>
    </w:p>
    <w:p w:rsidR="000863B8" w:rsidRPr="0078289D" w:rsidRDefault="000863B8" w:rsidP="0078289D">
      <w:pPr>
        <w:pBdr>
          <w:top w:val="none" w:sz="0" w:space="0" w:color="auto"/>
          <w:left w:val="none" w:sz="0" w:space="0" w:color="auto"/>
          <w:bottom w:val="none" w:sz="0" w:space="0" w:color="auto"/>
          <w:right w:val="none" w:sz="0" w:space="0" w:color="auto"/>
        </w:pBdr>
        <w:jc w:val="both"/>
        <w:rPr>
          <w:sz w:val="28"/>
          <w:szCs w:val="28"/>
          <w:lang w:val="es-ES_tradnl"/>
        </w:rPr>
      </w:pPr>
    </w:p>
    <w:p w:rsidR="00AF5D81" w:rsidRPr="0078289D" w:rsidRDefault="002F0408"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 xml:space="preserve">Intervención de la Agencia Nacional de Minería </w:t>
      </w:r>
    </w:p>
    <w:p w:rsidR="00AF5D81" w:rsidRPr="0078289D" w:rsidRDefault="00AF5D81"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AF5D81" w:rsidRPr="0078289D" w:rsidRDefault="004F6EFC"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La entidad interviniente solicita a la Corte </w:t>
      </w:r>
      <w:r w:rsidRPr="0078289D">
        <w:rPr>
          <w:b/>
          <w:sz w:val="28"/>
          <w:szCs w:val="28"/>
          <w:lang w:val="es-ES_tradnl"/>
        </w:rPr>
        <w:t>inhibirse</w:t>
      </w:r>
      <w:r w:rsidRPr="0078289D">
        <w:rPr>
          <w:sz w:val="28"/>
          <w:szCs w:val="28"/>
          <w:lang w:val="es-ES_tradnl"/>
        </w:rPr>
        <w:t xml:space="preserve"> de pronunciarse sobre la constitucionalidad de la norma acusada en la presente sección</w:t>
      </w:r>
      <w:r w:rsidR="00ED40AF" w:rsidRPr="0078289D">
        <w:rPr>
          <w:sz w:val="28"/>
          <w:szCs w:val="28"/>
          <w:lang w:val="es-ES_tradnl"/>
        </w:rPr>
        <w:t xml:space="preserve">. </w:t>
      </w:r>
      <w:r w:rsidR="00B510F3" w:rsidRPr="0078289D">
        <w:rPr>
          <w:sz w:val="28"/>
          <w:szCs w:val="28"/>
          <w:lang w:val="es-ES_tradnl"/>
        </w:rPr>
        <w:t xml:space="preserve">Subsidiariamente, solicitó la declaratoria de </w:t>
      </w:r>
      <w:r w:rsidR="00B510F3" w:rsidRPr="0078289D">
        <w:rPr>
          <w:b/>
          <w:sz w:val="28"/>
          <w:szCs w:val="28"/>
          <w:lang w:val="es-ES_tradnl"/>
        </w:rPr>
        <w:t>exequibilidad</w:t>
      </w:r>
      <w:r w:rsidR="00B510F3" w:rsidRPr="0078289D">
        <w:rPr>
          <w:sz w:val="28"/>
          <w:szCs w:val="28"/>
          <w:lang w:val="es-ES_tradnl"/>
        </w:rPr>
        <w:t xml:space="preserve">, por considerar que las disposiciones demandadas no transgredían la Constitución Política. </w:t>
      </w:r>
    </w:p>
    <w:p w:rsidR="00782B8D" w:rsidRPr="0078289D" w:rsidRDefault="00782B8D" w:rsidP="0078289D">
      <w:pPr>
        <w:pBdr>
          <w:top w:val="none" w:sz="0" w:space="0" w:color="auto"/>
          <w:left w:val="none" w:sz="0" w:space="0" w:color="auto"/>
          <w:bottom w:val="none" w:sz="0" w:space="0" w:color="auto"/>
          <w:right w:val="none" w:sz="0" w:space="0" w:color="auto"/>
        </w:pBdr>
        <w:jc w:val="both"/>
        <w:rPr>
          <w:sz w:val="28"/>
          <w:szCs w:val="28"/>
          <w:lang w:val="es-ES_tradnl"/>
        </w:rPr>
      </w:pPr>
    </w:p>
    <w:p w:rsidR="00123287" w:rsidRPr="0078289D" w:rsidRDefault="00ED40AF"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Frente al primer cargo, s</w:t>
      </w:r>
      <w:r w:rsidR="00E51881" w:rsidRPr="0078289D">
        <w:rPr>
          <w:sz w:val="28"/>
          <w:szCs w:val="28"/>
          <w:lang w:val="es-ES_tradnl"/>
        </w:rPr>
        <w:t xml:space="preserve">eñala que no es cierto que todo proyecto minero afecte los derechos alegados, toda vez que para su desarrollo es necesario el cumplimiento de requisitos tales como la </w:t>
      </w:r>
      <w:r w:rsidR="00846562" w:rsidRPr="0078289D">
        <w:rPr>
          <w:sz w:val="28"/>
          <w:szCs w:val="28"/>
          <w:lang w:val="es-ES_tradnl"/>
        </w:rPr>
        <w:t>licencia ambiental</w:t>
      </w:r>
      <w:r w:rsidR="00F22E60" w:rsidRPr="0078289D">
        <w:rPr>
          <w:sz w:val="28"/>
          <w:szCs w:val="28"/>
          <w:lang w:val="es-ES_tradnl"/>
        </w:rPr>
        <w:t xml:space="preserve">, la cual es </w:t>
      </w:r>
      <w:r w:rsidR="00F22E60" w:rsidRPr="0078289D">
        <w:rPr>
          <w:sz w:val="28"/>
          <w:szCs w:val="28"/>
          <w:lang w:val="es-ES_tradnl"/>
        </w:rPr>
        <w:lastRenderedPageBreak/>
        <w:t xml:space="preserve">aprobada o negada dependiendo de la viabilidad ambiental del proyecto. </w:t>
      </w:r>
      <w:r w:rsidR="00972A1A" w:rsidRPr="0078289D">
        <w:rPr>
          <w:sz w:val="28"/>
          <w:szCs w:val="28"/>
          <w:lang w:val="es-ES_tradnl"/>
        </w:rPr>
        <w:t xml:space="preserve">A su vez, resalta que </w:t>
      </w:r>
      <w:r w:rsidR="004E43DF" w:rsidRPr="0078289D">
        <w:rPr>
          <w:sz w:val="28"/>
          <w:szCs w:val="28"/>
          <w:lang w:val="es-ES_tradnl"/>
        </w:rPr>
        <w:t xml:space="preserve">el otorgamiento de un contrato de concesión implica necesariamente la obtención de la licencia y la aprobación de un estudio de impacto ambiental. Este tipo de requisitos demuestran que </w:t>
      </w:r>
      <w:r w:rsidR="00972A1A" w:rsidRPr="0078289D">
        <w:rPr>
          <w:sz w:val="28"/>
          <w:szCs w:val="28"/>
          <w:lang w:val="es-ES_tradnl"/>
        </w:rPr>
        <w:t xml:space="preserve">ni la actividad minera ni la protección al ambiente son absolutos, </w:t>
      </w:r>
      <w:r w:rsidR="004E43DF" w:rsidRPr="0078289D">
        <w:rPr>
          <w:sz w:val="28"/>
          <w:szCs w:val="28"/>
          <w:lang w:val="es-ES_tradnl"/>
        </w:rPr>
        <w:t xml:space="preserve">y que </w:t>
      </w:r>
      <w:r w:rsidR="00972A1A" w:rsidRPr="0078289D">
        <w:rPr>
          <w:sz w:val="28"/>
          <w:szCs w:val="28"/>
          <w:lang w:val="es-ES_tradnl"/>
        </w:rPr>
        <w:t xml:space="preserve">por lo tanto, deben conciliarse a partir de la aplicación del principio de desarrollo sostenible. </w:t>
      </w:r>
    </w:p>
    <w:p w:rsidR="008C4F8B" w:rsidRPr="0078289D" w:rsidRDefault="008C4F8B" w:rsidP="0078289D">
      <w:pPr>
        <w:pBdr>
          <w:top w:val="none" w:sz="0" w:space="0" w:color="auto"/>
          <w:left w:val="none" w:sz="0" w:space="0" w:color="auto"/>
          <w:bottom w:val="none" w:sz="0" w:space="0" w:color="auto"/>
          <w:right w:val="none" w:sz="0" w:space="0" w:color="auto"/>
        </w:pBdr>
        <w:jc w:val="both"/>
        <w:rPr>
          <w:sz w:val="28"/>
          <w:szCs w:val="28"/>
          <w:lang w:val="es-ES_tradnl"/>
        </w:rPr>
      </w:pPr>
    </w:p>
    <w:p w:rsidR="008C4F8B" w:rsidRPr="0078289D" w:rsidRDefault="008C4F8B"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Con respecto al segundo cargo, indica que </w:t>
      </w:r>
      <w:r w:rsidR="00C73336" w:rsidRPr="0078289D">
        <w:rPr>
          <w:sz w:val="28"/>
          <w:szCs w:val="28"/>
          <w:lang w:val="es-ES_tradnl"/>
        </w:rPr>
        <w:t xml:space="preserve">no constituyen un verdadero juicio de constitucionalidad, ya que no demuestran una confrontación entre </w:t>
      </w:r>
      <w:r w:rsidR="00757742" w:rsidRPr="0078289D">
        <w:rPr>
          <w:sz w:val="28"/>
          <w:szCs w:val="28"/>
          <w:lang w:val="es-ES_tradnl"/>
        </w:rPr>
        <w:t>la disposición acusada y la norma constitucional presuntamente vulnerada</w:t>
      </w:r>
      <w:r w:rsidR="006D3BB0" w:rsidRPr="0078289D">
        <w:rPr>
          <w:sz w:val="28"/>
          <w:szCs w:val="28"/>
          <w:lang w:val="es-ES_tradnl"/>
        </w:rPr>
        <w:t>, es decir, el derecho al agua</w:t>
      </w:r>
      <w:r w:rsidR="00757742" w:rsidRPr="0078289D">
        <w:rPr>
          <w:sz w:val="28"/>
          <w:szCs w:val="28"/>
          <w:lang w:val="es-ES_tradnl"/>
        </w:rPr>
        <w:t xml:space="preserve">. </w:t>
      </w:r>
    </w:p>
    <w:p w:rsidR="00D815D5" w:rsidRPr="0078289D" w:rsidRDefault="00D815D5" w:rsidP="0078289D">
      <w:pPr>
        <w:pBdr>
          <w:top w:val="none" w:sz="0" w:space="0" w:color="auto"/>
          <w:left w:val="none" w:sz="0" w:space="0" w:color="auto"/>
          <w:bottom w:val="none" w:sz="0" w:space="0" w:color="auto"/>
          <w:right w:val="none" w:sz="0" w:space="0" w:color="auto"/>
        </w:pBdr>
        <w:jc w:val="both"/>
        <w:rPr>
          <w:sz w:val="28"/>
          <w:szCs w:val="28"/>
          <w:lang w:val="es-ES_tradnl"/>
        </w:rPr>
      </w:pPr>
    </w:p>
    <w:p w:rsidR="00D815D5" w:rsidRPr="0078289D" w:rsidRDefault="00D815D5"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Sobre el tercer cargo, indica que los accionantes no señalaron los artículos constitucionales presuntamente vulnerados ni realizaron un examen de la forma en que la disposición acusada los transgredía. </w:t>
      </w:r>
    </w:p>
    <w:p w:rsidR="00972A1A" w:rsidRPr="0078289D" w:rsidRDefault="00972A1A"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72A1A" w:rsidRPr="0078289D" w:rsidRDefault="00A94AFD"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Subsidiariamente, </w:t>
      </w:r>
      <w:r w:rsidR="00592CA9" w:rsidRPr="0078289D">
        <w:rPr>
          <w:sz w:val="28"/>
          <w:szCs w:val="28"/>
          <w:lang w:val="es-ES_tradnl"/>
        </w:rPr>
        <w:t>solicita la</w:t>
      </w:r>
      <w:r w:rsidR="00130A8A" w:rsidRPr="0078289D">
        <w:rPr>
          <w:sz w:val="28"/>
          <w:szCs w:val="28"/>
          <w:lang w:val="es-ES_tradnl"/>
        </w:rPr>
        <w:t xml:space="preserve"> </w:t>
      </w:r>
      <w:r w:rsidR="00130A8A" w:rsidRPr="0078289D">
        <w:rPr>
          <w:b/>
          <w:sz w:val="28"/>
          <w:szCs w:val="28"/>
          <w:lang w:val="es-ES_tradnl"/>
        </w:rPr>
        <w:t>constitucionalidad</w:t>
      </w:r>
      <w:r w:rsidR="00130A8A" w:rsidRPr="0078289D">
        <w:rPr>
          <w:sz w:val="28"/>
          <w:szCs w:val="28"/>
          <w:lang w:val="es-ES_tradnl"/>
        </w:rPr>
        <w:t xml:space="preserve"> de la disposición demandada. </w:t>
      </w:r>
      <w:r w:rsidR="00A34D57" w:rsidRPr="0078289D">
        <w:rPr>
          <w:sz w:val="28"/>
          <w:szCs w:val="28"/>
          <w:lang w:val="es-ES_tradnl"/>
        </w:rPr>
        <w:t xml:space="preserve">Así, </w:t>
      </w:r>
      <w:r w:rsidR="000C2F1E" w:rsidRPr="0078289D">
        <w:rPr>
          <w:sz w:val="28"/>
          <w:szCs w:val="28"/>
          <w:lang w:val="es-ES_tradnl"/>
        </w:rPr>
        <w:t>manifiesta</w:t>
      </w:r>
      <w:r w:rsidR="00A34D57" w:rsidRPr="0078289D">
        <w:rPr>
          <w:sz w:val="28"/>
          <w:szCs w:val="28"/>
          <w:lang w:val="es-ES_tradnl"/>
        </w:rPr>
        <w:t xml:space="preserve"> que </w:t>
      </w:r>
      <w:r w:rsidR="000F07C7" w:rsidRPr="0078289D">
        <w:rPr>
          <w:sz w:val="28"/>
          <w:szCs w:val="28"/>
          <w:lang w:val="es-ES_tradnl"/>
        </w:rPr>
        <w:t xml:space="preserve">la sustracción de zonas del régimen general de concesiones </w:t>
      </w:r>
      <w:r w:rsidR="00AE299B" w:rsidRPr="0078289D">
        <w:rPr>
          <w:sz w:val="28"/>
          <w:szCs w:val="28"/>
          <w:lang w:val="es-ES_tradnl"/>
        </w:rPr>
        <w:t>es una prerrogativa del Estado, al ser el titular de la propiedad</w:t>
      </w:r>
      <w:r w:rsidR="000C3B55" w:rsidRPr="0078289D">
        <w:rPr>
          <w:sz w:val="28"/>
          <w:szCs w:val="28"/>
          <w:lang w:val="es-ES_tradnl"/>
        </w:rPr>
        <w:t xml:space="preserve"> el subsuelo y de los recursos no renovables, de acuerdo con lo consagrado en el artículo 332 superior. </w:t>
      </w:r>
      <w:r w:rsidR="007A2898" w:rsidRPr="0078289D">
        <w:rPr>
          <w:sz w:val="28"/>
          <w:szCs w:val="28"/>
          <w:lang w:val="es-ES_tradnl"/>
        </w:rPr>
        <w:t xml:space="preserve">La finalidad de esta medida es propender por una organización de la actividad minera, y particularmente, de la formalización de pequeños mineros, </w:t>
      </w:r>
      <w:r w:rsidR="00996AF9" w:rsidRPr="0078289D">
        <w:rPr>
          <w:sz w:val="28"/>
          <w:szCs w:val="28"/>
          <w:lang w:val="es-ES_tradnl"/>
        </w:rPr>
        <w:t>por la práctica del desarrollo sostenible</w:t>
      </w:r>
      <w:r w:rsidR="00D2485E" w:rsidRPr="0078289D">
        <w:rPr>
          <w:sz w:val="28"/>
          <w:szCs w:val="28"/>
          <w:lang w:val="es-ES_tradnl"/>
        </w:rPr>
        <w:t xml:space="preserve">. </w:t>
      </w:r>
    </w:p>
    <w:p w:rsidR="005D0EA3" w:rsidRPr="0078289D" w:rsidRDefault="005D0EA3"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D0EA3" w:rsidRPr="0078289D" w:rsidRDefault="00EE3A54"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Así mismo</w:t>
      </w:r>
      <w:r w:rsidR="005D0EA3" w:rsidRPr="0078289D">
        <w:rPr>
          <w:sz w:val="28"/>
          <w:szCs w:val="28"/>
          <w:lang w:val="es-ES_tradnl"/>
        </w:rPr>
        <w:t>, mencion</w:t>
      </w:r>
      <w:r w:rsidR="000C2F1E" w:rsidRPr="0078289D">
        <w:rPr>
          <w:sz w:val="28"/>
          <w:szCs w:val="28"/>
          <w:lang w:val="es-ES_tradnl"/>
        </w:rPr>
        <w:t>a</w:t>
      </w:r>
      <w:r w:rsidR="005D0EA3" w:rsidRPr="0078289D">
        <w:rPr>
          <w:sz w:val="28"/>
          <w:szCs w:val="28"/>
          <w:lang w:val="es-ES_tradnl"/>
        </w:rPr>
        <w:t xml:space="preserve"> que la ejecución de los proyectos </w:t>
      </w:r>
      <w:r w:rsidR="00010198" w:rsidRPr="0078289D">
        <w:rPr>
          <w:sz w:val="28"/>
          <w:szCs w:val="28"/>
          <w:lang w:val="es-ES_tradnl"/>
        </w:rPr>
        <w:t>que cuenten con los requisitos</w:t>
      </w:r>
      <w:r w:rsidR="00832CA9" w:rsidRPr="0078289D">
        <w:rPr>
          <w:sz w:val="28"/>
          <w:szCs w:val="28"/>
          <w:lang w:val="es-ES_tradnl"/>
        </w:rPr>
        <w:t xml:space="preserve"> ambientales correspondientes constituye una aplicación de los principios de seguridad jurídica y protección de los derechos adquiridos, los cuales deben armonizarse con la necesaria </w:t>
      </w:r>
      <w:r w:rsidR="00C4676C" w:rsidRPr="0078289D">
        <w:rPr>
          <w:sz w:val="28"/>
          <w:szCs w:val="28"/>
          <w:lang w:val="es-ES_tradnl"/>
        </w:rPr>
        <w:t xml:space="preserve">protección del ambiente. Sin embargo, a juicio del interviniente, ello no deviene en una vulneración de la Carta Política. </w:t>
      </w:r>
    </w:p>
    <w:p w:rsidR="00010198" w:rsidRPr="0078289D" w:rsidRDefault="00010198" w:rsidP="0078289D">
      <w:pPr>
        <w:pBdr>
          <w:top w:val="none" w:sz="0" w:space="0" w:color="auto"/>
          <w:left w:val="none" w:sz="0" w:space="0" w:color="auto"/>
          <w:bottom w:val="none" w:sz="0" w:space="0" w:color="auto"/>
          <w:right w:val="none" w:sz="0" w:space="0" w:color="auto"/>
        </w:pBdr>
        <w:jc w:val="both"/>
        <w:rPr>
          <w:sz w:val="28"/>
          <w:szCs w:val="28"/>
          <w:lang w:val="es-ES_tradnl"/>
        </w:rPr>
      </w:pPr>
    </w:p>
    <w:p w:rsidR="00D2485E" w:rsidRPr="0078289D" w:rsidRDefault="00DF7580"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Intervención del Departamento Nacional de Planeación</w:t>
      </w:r>
    </w:p>
    <w:p w:rsidR="00DF7580" w:rsidRPr="0078289D" w:rsidRDefault="00DF7580"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DA773E" w:rsidRPr="0078289D" w:rsidRDefault="00DF7580"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El </w:t>
      </w:r>
      <w:r w:rsidR="00233EAA" w:rsidRPr="0078289D">
        <w:rPr>
          <w:sz w:val="28"/>
          <w:szCs w:val="28"/>
          <w:lang w:val="es-ES_tradnl"/>
        </w:rPr>
        <w:t>Departamento</w:t>
      </w:r>
      <w:r w:rsidR="005A0F31" w:rsidRPr="0078289D">
        <w:rPr>
          <w:sz w:val="28"/>
          <w:szCs w:val="28"/>
          <w:lang w:val="es-ES_tradnl"/>
        </w:rPr>
        <w:t xml:space="preserve"> Nacional de Planeación solicita</w:t>
      </w:r>
      <w:r w:rsidR="00233EAA" w:rsidRPr="0078289D">
        <w:rPr>
          <w:sz w:val="28"/>
          <w:szCs w:val="28"/>
          <w:lang w:val="es-ES_tradnl"/>
        </w:rPr>
        <w:t xml:space="preserve"> la </w:t>
      </w:r>
      <w:r w:rsidR="00233EAA" w:rsidRPr="0078289D">
        <w:rPr>
          <w:b/>
          <w:sz w:val="28"/>
          <w:szCs w:val="28"/>
          <w:lang w:val="es-ES_tradnl"/>
        </w:rPr>
        <w:t>inhibición</w:t>
      </w:r>
      <w:r w:rsidR="00233EAA" w:rsidRPr="0078289D">
        <w:rPr>
          <w:sz w:val="28"/>
          <w:szCs w:val="28"/>
          <w:lang w:val="es-ES_tradnl"/>
        </w:rPr>
        <w:t xml:space="preserve">, o en su defecto, la declaratoria de </w:t>
      </w:r>
      <w:r w:rsidR="00233EAA" w:rsidRPr="0078289D">
        <w:rPr>
          <w:b/>
          <w:sz w:val="28"/>
          <w:szCs w:val="28"/>
          <w:lang w:val="es-ES_tradnl"/>
        </w:rPr>
        <w:t xml:space="preserve">exequibilidad </w:t>
      </w:r>
      <w:r w:rsidR="00233EAA" w:rsidRPr="0078289D">
        <w:rPr>
          <w:sz w:val="28"/>
          <w:szCs w:val="28"/>
          <w:lang w:val="es-ES_tradnl"/>
        </w:rPr>
        <w:t>de</w:t>
      </w:r>
      <w:r w:rsidR="00D05994" w:rsidRPr="0078289D">
        <w:rPr>
          <w:sz w:val="28"/>
          <w:szCs w:val="28"/>
          <w:lang w:val="es-ES_tradnl"/>
        </w:rPr>
        <w:t xml:space="preserve">l parágrafo 1º del artículo 173 de la Ley 1753 de 2015. </w:t>
      </w:r>
    </w:p>
    <w:p w:rsidR="00DA773E" w:rsidRPr="0078289D" w:rsidRDefault="00DA773E" w:rsidP="0078289D">
      <w:pPr>
        <w:pBdr>
          <w:top w:val="none" w:sz="0" w:space="0" w:color="auto"/>
          <w:left w:val="none" w:sz="0" w:space="0" w:color="auto"/>
          <w:bottom w:val="none" w:sz="0" w:space="0" w:color="auto"/>
          <w:right w:val="none" w:sz="0" w:space="0" w:color="auto"/>
        </w:pBdr>
        <w:jc w:val="both"/>
        <w:rPr>
          <w:sz w:val="28"/>
          <w:szCs w:val="28"/>
          <w:lang w:val="es-ES_tradnl"/>
        </w:rPr>
      </w:pPr>
    </w:p>
    <w:p w:rsidR="00DF7580" w:rsidRPr="0078289D" w:rsidRDefault="005A0F31"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Señala</w:t>
      </w:r>
      <w:r w:rsidR="006039B3" w:rsidRPr="0078289D">
        <w:rPr>
          <w:sz w:val="28"/>
          <w:szCs w:val="28"/>
          <w:lang w:val="es-ES_tradnl"/>
        </w:rPr>
        <w:t xml:space="preserve"> que el </w:t>
      </w:r>
      <w:r w:rsidR="00CE2B57" w:rsidRPr="0078289D">
        <w:rPr>
          <w:sz w:val="28"/>
          <w:szCs w:val="28"/>
          <w:lang w:val="es-ES_tradnl"/>
        </w:rPr>
        <w:t xml:space="preserve">objetivo de la norma demandada fue, precisamente, proteger los páramos, toda vez que estos ecosistemas no fueron incluidos inicialmente como áreas protegidas de la actividad minera </w:t>
      </w:r>
      <w:r w:rsidR="00521467" w:rsidRPr="0078289D">
        <w:rPr>
          <w:sz w:val="28"/>
          <w:szCs w:val="28"/>
          <w:lang w:val="es-ES_tradnl"/>
        </w:rPr>
        <w:t>en</w:t>
      </w:r>
      <w:r w:rsidR="00CE2B57" w:rsidRPr="0078289D">
        <w:rPr>
          <w:sz w:val="28"/>
          <w:szCs w:val="28"/>
          <w:lang w:val="es-ES_tradnl"/>
        </w:rPr>
        <w:t xml:space="preserve"> la Ley 685 de 2001, sino a trav</w:t>
      </w:r>
      <w:r w:rsidR="00521467" w:rsidRPr="0078289D">
        <w:rPr>
          <w:sz w:val="28"/>
          <w:szCs w:val="28"/>
          <w:lang w:val="es-ES_tradnl"/>
        </w:rPr>
        <w:t>és de la Ley 1382 de 2010, la cu</w:t>
      </w:r>
      <w:r w:rsidRPr="0078289D">
        <w:rPr>
          <w:sz w:val="28"/>
          <w:szCs w:val="28"/>
          <w:lang w:val="es-ES_tradnl"/>
        </w:rPr>
        <w:t>al fue declarada inexequible. A su juicio</w:t>
      </w:r>
      <w:r w:rsidR="00521467" w:rsidRPr="0078289D">
        <w:rPr>
          <w:sz w:val="28"/>
          <w:szCs w:val="28"/>
          <w:lang w:val="es-ES_tradnl"/>
        </w:rPr>
        <w:t xml:space="preserve">, la Ley 1753 de 2011 simplemente </w:t>
      </w:r>
      <w:r w:rsidR="00A838EC" w:rsidRPr="0078289D">
        <w:rPr>
          <w:sz w:val="28"/>
          <w:szCs w:val="28"/>
          <w:lang w:val="es-ES_tradnl"/>
        </w:rPr>
        <w:t xml:space="preserve">confirmó la protección a este tipo de ecosistemas, y la facultad del Gobierno de revisar </w:t>
      </w:r>
      <w:r w:rsidR="002F4C9E" w:rsidRPr="0078289D">
        <w:rPr>
          <w:sz w:val="28"/>
          <w:szCs w:val="28"/>
          <w:lang w:val="es-ES_tradnl"/>
        </w:rPr>
        <w:t xml:space="preserve">actos administrativos expedidos </w:t>
      </w:r>
      <w:r w:rsidR="0025431E" w:rsidRPr="0078289D">
        <w:rPr>
          <w:sz w:val="28"/>
          <w:szCs w:val="28"/>
          <w:lang w:val="es-ES_tradnl"/>
        </w:rPr>
        <w:t xml:space="preserve">con anterioridad </w:t>
      </w:r>
      <w:r w:rsidR="00DA773E" w:rsidRPr="0078289D">
        <w:rPr>
          <w:sz w:val="28"/>
          <w:szCs w:val="28"/>
          <w:lang w:val="es-ES_tradnl"/>
        </w:rPr>
        <w:t xml:space="preserve">a la entrada en vigencia de la prohibición de la Ley 1382 de 2010, con el fin de conciliar los derechos particulares y el interés público.  </w:t>
      </w:r>
    </w:p>
    <w:p w:rsidR="005A0F31" w:rsidRPr="0078289D" w:rsidRDefault="005A0F31" w:rsidP="0078289D">
      <w:pPr>
        <w:pBdr>
          <w:top w:val="none" w:sz="0" w:space="0" w:color="auto"/>
          <w:left w:val="none" w:sz="0" w:space="0" w:color="auto"/>
          <w:bottom w:val="none" w:sz="0" w:space="0" w:color="auto"/>
          <w:right w:val="none" w:sz="0" w:space="0" w:color="auto"/>
        </w:pBdr>
        <w:jc w:val="both"/>
        <w:rPr>
          <w:sz w:val="28"/>
          <w:szCs w:val="28"/>
          <w:lang w:val="es-ES_tradnl"/>
        </w:rPr>
      </w:pPr>
    </w:p>
    <w:p w:rsidR="004A1675" w:rsidRPr="0078289D" w:rsidRDefault="00963989" w:rsidP="0078289D">
      <w:pPr>
        <w:pBdr>
          <w:top w:val="none" w:sz="0" w:space="0" w:color="auto"/>
          <w:left w:val="none" w:sz="0" w:space="0" w:color="auto"/>
          <w:bottom w:val="none" w:sz="0" w:space="0" w:color="auto"/>
          <w:right w:val="none" w:sz="0" w:space="0" w:color="auto"/>
        </w:pBdr>
        <w:jc w:val="both"/>
        <w:rPr>
          <w:b/>
          <w:i/>
          <w:sz w:val="28"/>
          <w:szCs w:val="28"/>
          <w:lang w:val="es-ES_tradnl"/>
        </w:rPr>
      </w:pPr>
      <w:r w:rsidRPr="0078289D">
        <w:rPr>
          <w:b/>
          <w:i/>
          <w:sz w:val="28"/>
          <w:szCs w:val="28"/>
          <w:lang w:val="es-ES_tradnl"/>
        </w:rPr>
        <w:t>Intervenciones c</w:t>
      </w:r>
      <w:r w:rsidR="008D3157" w:rsidRPr="0078289D">
        <w:rPr>
          <w:b/>
          <w:i/>
          <w:sz w:val="28"/>
          <w:szCs w:val="28"/>
          <w:lang w:val="es-ES_tradnl"/>
        </w:rPr>
        <w:t>iudadanas</w:t>
      </w:r>
    </w:p>
    <w:p w:rsidR="008D3157" w:rsidRPr="0078289D" w:rsidRDefault="008D3157" w:rsidP="0078289D">
      <w:pPr>
        <w:pBdr>
          <w:top w:val="none" w:sz="0" w:space="0" w:color="auto"/>
          <w:left w:val="none" w:sz="0" w:space="0" w:color="auto"/>
          <w:bottom w:val="none" w:sz="0" w:space="0" w:color="auto"/>
          <w:right w:val="none" w:sz="0" w:space="0" w:color="auto"/>
        </w:pBdr>
        <w:jc w:val="both"/>
        <w:rPr>
          <w:b/>
          <w:i/>
          <w:sz w:val="28"/>
          <w:szCs w:val="28"/>
          <w:lang w:val="es-ES_tradnl"/>
        </w:rPr>
      </w:pPr>
    </w:p>
    <w:p w:rsidR="008D3157" w:rsidRPr="0078289D" w:rsidRDefault="008D3157"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El Col</w:t>
      </w:r>
      <w:r w:rsidR="005A0F31" w:rsidRPr="0078289D">
        <w:rPr>
          <w:rFonts w:hAnsi="Times New Roman" w:cs="Times New Roman"/>
          <w:sz w:val="28"/>
          <w:szCs w:val="28"/>
        </w:rPr>
        <w:t>ectivo Ecologista Campo coadyuva</w:t>
      </w:r>
      <w:r w:rsidRPr="0078289D">
        <w:rPr>
          <w:rFonts w:hAnsi="Times New Roman" w:cs="Times New Roman"/>
          <w:sz w:val="28"/>
          <w:szCs w:val="28"/>
        </w:rPr>
        <w:t xml:space="preserve"> la demanda de inconstitucionalidad, </w:t>
      </w:r>
      <w:r w:rsidR="00DF2055" w:rsidRPr="0078289D">
        <w:rPr>
          <w:rFonts w:hAnsi="Times New Roman" w:cs="Times New Roman"/>
          <w:sz w:val="28"/>
          <w:szCs w:val="28"/>
        </w:rPr>
        <w:t xml:space="preserve">y </w:t>
      </w:r>
      <w:r w:rsidR="00DF2055" w:rsidRPr="0078289D">
        <w:rPr>
          <w:rFonts w:hAnsi="Times New Roman" w:cs="Times New Roman"/>
          <w:b/>
          <w:sz w:val="28"/>
          <w:szCs w:val="28"/>
        </w:rPr>
        <w:t xml:space="preserve">solicitó la declaratoria de inexequibilidad </w:t>
      </w:r>
      <w:r w:rsidR="00DF2055" w:rsidRPr="0078289D">
        <w:rPr>
          <w:rFonts w:hAnsi="Times New Roman" w:cs="Times New Roman"/>
          <w:sz w:val="28"/>
          <w:szCs w:val="28"/>
        </w:rPr>
        <w:t xml:space="preserve">de todas las </w:t>
      </w:r>
      <w:r w:rsidR="007D36E6" w:rsidRPr="0078289D">
        <w:rPr>
          <w:rFonts w:hAnsi="Times New Roman" w:cs="Times New Roman"/>
          <w:sz w:val="28"/>
          <w:szCs w:val="28"/>
        </w:rPr>
        <w:t>disposiciones</w:t>
      </w:r>
      <w:r w:rsidR="00DF2055" w:rsidRPr="0078289D">
        <w:rPr>
          <w:rFonts w:hAnsi="Times New Roman" w:cs="Times New Roman"/>
          <w:sz w:val="28"/>
          <w:szCs w:val="28"/>
        </w:rPr>
        <w:t xml:space="preserve"> acusadas.</w:t>
      </w:r>
      <w:r w:rsidR="00172D57" w:rsidRPr="0078289D">
        <w:rPr>
          <w:rFonts w:hAnsi="Times New Roman" w:cs="Times New Roman"/>
          <w:sz w:val="28"/>
          <w:szCs w:val="28"/>
        </w:rPr>
        <w:t xml:space="preserve"> R</w:t>
      </w:r>
      <w:r w:rsidR="00625A5B" w:rsidRPr="0078289D">
        <w:rPr>
          <w:rFonts w:hAnsi="Times New Roman" w:cs="Times New Roman"/>
          <w:sz w:val="28"/>
          <w:szCs w:val="28"/>
        </w:rPr>
        <w:t>esaltan</w:t>
      </w:r>
      <w:r w:rsidR="00162527" w:rsidRPr="0078289D">
        <w:rPr>
          <w:rFonts w:hAnsi="Times New Roman" w:cs="Times New Roman"/>
          <w:sz w:val="28"/>
          <w:szCs w:val="28"/>
        </w:rPr>
        <w:t xml:space="preserve"> que el inciso 2º del artículo 173 de la Ley </w:t>
      </w:r>
      <w:r w:rsidR="00B62482" w:rsidRPr="0078289D">
        <w:rPr>
          <w:rFonts w:hAnsi="Times New Roman" w:cs="Times New Roman"/>
          <w:sz w:val="28"/>
          <w:szCs w:val="28"/>
        </w:rPr>
        <w:t>1753 de 2015 pretendía proteger los ecosistemas de páramo, sin embargo, contradictoriamente, genera el efecto contrario. Así, señalan</w:t>
      </w:r>
      <w:r w:rsidR="00625A5B" w:rsidRPr="0078289D">
        <w:rPr>
          <w:rFonts w:hAnsi="Times New Roman" w:cs="Times New Roman"/>
          <w:sz w:val="28"/>
          <w:szCs w:val="28"/>
        </w:rPr>
        <w:t xml:space="preserve"> la importancia de los p</w:t>
      </w:r>
      <w:r w:rsidR="00B62482" w:rsidRPr="0078289D">
        <w:rPr>
          <w:rFonts w:hAnsi="Times New Roman" w:cs="Times New Roman"/>
          <w:sz w:val="28"/>
          <w:szCs w:val="28"/>
        </w:rPr>
        <w:t>áram</w:t>
      </w:r>
      <w:r w:rsidR="00625A5B" w:rsidRPr="0078289D">
        <w:rPr>
          <w:rFonts w:hAnsi="Times New Roman" w:cs="Times New Roman"/>
          <w:sz w:val="28"/>
          <w:szCs w:val="28"/>
        </w:rPr>
        <w:t>os</w:t>
      </w:r>
      <w:r w:rsidR="00B62482" w:rsidRPr="0078289D">
        <w:rPr>
          <w:rFonts w:hAnsi="Times New Roman" w:cs="Times New Roman"/>
          <w:sz w:val="28"/>
          <w:szCs w:val="28"/>
        </w:rPr>
        <w:t xml:space="preserve"> como fuentes hídricas, su </w:t>
      </w:r>
      <w:r w:rsidR="00625A5B" w:rsidRPr="0078289D">
        <w:rPr>
          <w:rFonts w:hAnsi="Times New Roman" w:cs="Times New Roman"/>
          <w:sz w:val="28"/>
          <w:szCs w:val="28"/>
        </w:rPr>
        <w:t xml:space="preserve">fragilidad </w:t>
      </w:r>
      <w:r w:rsidR="00B62482" w:rsidRPr="0078289D">
        <w:rPr>
          <w:rFonts w:hAnsi="Times New Roman" w:cs="Times New Roman"/>
          <w:sz w:val="28"/>
          <w:szCs w:val="28"/>
        </w:rPr>
        <w:t xml:space="preserve">y los impactos </w:t>
      </w:r>
      <w:r w:rsidR="00356AC0" w:rsidRPr="0078289D">
        <w:rPr>
          <w:rFonts w:hAnsi="Times New Roman" w:cs="Times New Roman"/>
          <w:sz w:val="28"/>
          <w:szCs w:val="28"/>
        </w:rPr>
        <w:t xml:space="preserve">ambientales. </w:t>
      </w:r>
      <w:r w:rsidR="00EE3A54" w:rsidRPr="0078289D">
        <w:rPr>
          <w:rFonts w:hAnsi="Times New Roman" w:cs="Times New Roman"/>
          <w:sz w:val="28"/>
          <w:szCs w:val="28"/>
        </w:rPr>
        <w:t>Así mismo</w:t>
      </w:r>
      <w:r w:rsidR="00871211" w:rsidRPr="0078289D">
        <w:rPr>
          <w:rFonts w:hAnsi="Times New Roman" w:cs="Times New Roman"/>
          <w:sz w:val="28"/>
          <w:szCs w:val="28"/>
        </w:rPr>
        <w:t>, resalta</w:t>
      </w:r>
      <w:r w:rsidR="00356AC0" w:rsidRPr="0078289D">
        <w:rPr>
          <w:rFonts w:hAnsi="Times New Roman" w:cs="Times New Roman"/>
          <w:sz w:val="28"/>
          <w:szCs w:val="28"/>
        </w:rPr>
        <w:t xml:space="preserve">n las obligaciones del Estado colombiano respecto a la protección de humedales en ecosistemas de páramo como resultado de </w:t>
      </w:r>
      <w:r w:rsidR="007D4957" w:rsidRPr="0078289D">
        <w:rPr>
          <w:rFonts w:hAnsi="Times New Roman" w:cs="Times New Roman"/>
          <w:sz w:val="28"/>
          <w:szCs w:val="28"/>
        </w:rPr>
        <w:t>la suscripción de la Convención Ramsar</w:t>
      </w:r>
      <w:r w:rsidR="004649C9" w:rsidRPr="0078289D">
        <w:rPr>
          <w:rFonts w:hAnsi="Times New Roman" w:cs="Times New Roman"/>
          <w:sz w:val="28"/>
          <w:szCs w:val="28"/>
        </w:rPr>
        <w:t xml:space="preserve"> y demás instrumentos internacionales</w:t>
      </w:r>
      <w:r w:rsidR="00286CC9" w:rsidRPr="0078289D">
        <w:rPr>
          <w:rFonts w:hAnsi="Times New Roman" w:cs="Times New Roman"/>
          <w:sz w:val="28"/>
          <w:szCs w:val="28"/>
        </w:rPr>
        <w:t>, las cuales son omitidas con la expedición y aplicación de las normas demandadas</w:t>
      </w:r>
      <w:r w:rsidR="007D4957" w:rsidRPr="0078289D">
        <w:rPr>
          <w:rStyle w:val="Refdenotaalpie"/>
          <w:rFonts w:hAnsi="Times New Roman"/>
          <w:sz w:val="28"/>
          <w:szCs w:val="28"/>
        </w:rPr>
        <w:footnoteReference w:id="83"/>
      </w:r>
      <w:r w:rsidR="007D4957" w:rsidRPr="0078289D">
        <w:rPr>
          <w:rFonts w:hAnsi="Times New Roman" w:cs="Times New Roman"/>
          <w:sz w:val="28"/>
          <w:szCs w:val="28"/>
        </w:rPr>
        <w:t>.</w:t>
      </w:r>
    </w:p>
    <w:p w:rsidR="005B60AB" w:rsidRPr="0078289D" w:rsidRDefault="005B60AB"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B60AB" w:rsidRPr="0078289D" w:rsidRDefault="00950CD4"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La Fundac</w:t>
      </w:r>
      <w:r w:rsidR="00871211" w:rsidRPr="0078289D">
        <w:rPr>
          <w:rFonts w:hAnsi="Times New Roman" w:cs="Times New Roman"/>
          <w:sz w:val="28"/>
          <w:szCs w:val="28"/>
        </w:rPr>
        <w:t>ión Greenpeace Colombia coadyuva</w:t>
      </w:r>
      <w:r w:rsidRPr="0078289D">
        <w:rPr>
          <w:rFonts w:hAnsi="Times New Roman" w:cs="Times New Roman"/>
          <w:sz w:val="28"/>
          <w:szCs w:val="28"/>
        </w:rPr>
        <w:t xml:space="preserve"> la demanda de inconstitucionalidad, y solicit</w:t>
      </w:r>
      <w:r w:rsidR="009B76A1" w:rsidRPr="0078289D">
        <w:rPr>
          <w:rFonts w:hAnsi="Times New Roman" w:cs="Times New Roman"/>
          <w:sz w:val="28"/>
          <w:szCs w:val="28"/>
        </w:rPr>
        <w:t>a</w:t>
      </w:r>
      <w:r w:rsidRPr="0078289D">
        <w:rPr>
          <w:rFonts w:hAnsi="Times New Roman" w:cs="Times New Roman"/>
          <w:sz w:val="28"/>
          <w:szCs w:val="28"/>
        </w:rPr>
        <w:t xml:space="preserve"> la </w:t>
      </w:r>
      <w:r w:rsidRPr="0078289D">
        <w:rPr>
          <w:rFonts w:hAnsi="Times New Roman" w:cs="Times New Roman"/>
          <w:b/>
          <w:sz w:val="28"/>
          <w:szCs w:val="28"/>
        </w:rPr>
        <w:t>inexequibilidad</w:t>
      </w:r>
      <w:r w:rsidRPr="0078289D">
        <w:rPr>
          <w:rFonts w:hAnsi="Times New Roman" w:cs="Times New Roman"/>
          <w:sz w:val="28"/>
          <w:szCs w:val="28"/>
        </w:rPr>
        <w:t xml:space="preserve"> de todas las </w:t>
      </w:r>
      <w:r w:rsidR="007D36E6" w:rsidRPr="0078289D">
        <w:rPr>
          <w:rFonts w:hAnsi="Times New Roman" w:cs="Times New Roman"/>
          <w:sz w:val="28"/>
          <w:szCs w:val="28"/>
        </w:rPr>
        <w:t>disposiciones</w:t>
      </w:r>
      <w:r w:rsidRPr="0078289D">
        <w:rPr>
          <w:rFonts w:hAnsi="Times New Roman" w:cs="Times New Roman"/>
          <w:sz w:val="28"/>
          <w:szCs w:val="28"/>
        </w:rPr>
        <w:t xml:space="preserve"> acusadas</w:t>
      </w:r>
      <w:r w:rsidR="007D36E6" w:rsidRPr="0078289D">
        <w:rPr>
          <w:rFonts w:hAnsi="Times New Roman" w:cs="Times New Roman"/>
          <w:sz w:val="28"/>
          <w:szCs w:val="28"/>
        </w:rPr>
        <w:t>, y especialmente, de los incisos 1º, 2º y 3º del parágrafo 1º del art</w:t>
      </w:r>
      <w:r w:rsidR="00EF74A0" w:rsidRPr="0078289D">
        <w:rPr>
          <w:rFonts w:hAnsi="Times New Roman" w:cs="Times New Roman"/>
          <w:sz w:val="28"/>
          <w:szCs w:val="28"/>
        </w:rPr>
        <w:t>ículo 173 de la Ley</w:t>
      </w:r>
      <w:r w:rsidR="007D36E6" w:rsidRPr="0078289D">
        <w:rPr>
          <w:rFonts w:hAnsi="Times New Roman" w:cs="Times New Roman"/>
          <w:sz w:val="28"/>
          <w:szCs w:val="28"/>
        </w:rPr>
        <w:t xml:space="preserve"> 1753 de 2015. </w:t>
      </w:r>
      <w:r w:rsidR="0003149A" w:rsidRPr="0078289D">
        <w:rPr>
          <w:rFonts w:hAnsi="Times New Roman" w:cs="Times New Roman"/>
          <w:sz w:val="28"/>
          <w:szCs w:val="28"/>
        </w:rPr>
        <w:t xml:space="preserve">A juicio de la interviniente, permitir la práctica de la minería en las áreas de páramo implicaría i) una “hecatombe ambiental” en un contexto de cambio climático, que amenazaría </w:t>
      </w:r>
      <w:r w:rsidR="00EF74A0" w:rsidRPr="0078289D">
        <w:rPr>
          <w:rFonts w:hAnsi="Times New Roman" w:cs="Times New Roman"/>
          <w:sz w:val="28"/>
          <w:szCs w:val="28"/>
        </w:rPr>
        <w:t>los derechos fundamentales al agua, vida digna, salud y medio ambiente sano, ii) viola el principio de “no regresión” en materia ambiental</w:t>
      </w:r>
      <w:r w:rsidR="003A70A5" w:rsidRPr="0078289D">
        <w:rPr>
          <w:rFonts w:hAnsi="Times New Roman" w:cs="Times New Roman"/>
          <w:sz w:val="28"/>
          <w:szCs w:val="28"/>
        </w:rPr>
        <w:t>, pues en lugar de avanzar hacia la protección de los sistemas de páramo, se pretende devastarlos injustificadamente,</w:t>
      </w:r>
      <w:r w:rsidR="00EF74A0" w:rsidRPr="0078289D">
        <w:rPr>
          <w:rFonts w:hAnsi="Times New Roman" w:cs="Times New Roman"/>
          <w:sz w:val="28"/>
          <w:szCs w:val="28"/>
        </w:rPr>
        <w:t xml:space="preserve"> y iii) favorece el interés particular de algunas multinacionales, sobre el interés general de la ciudadanía colombiana</w:t>
      </w:r>
      <w:r w:rsidR="00EF74A0" w:rsidRPr="0078289D">
        <w:rPr>
          <w:rStyle w:val="Refdenotaalpie"/>
          <w:rFonts w:hAnsi="Times New Roman"/>
          <w:sz w:val="28"/>
          <w:szCs w:val="28"/>
        </w:rPr>
        <w:footnoteReference w:id="84"/>
      </w:r>
      <w:r w:rsidR="00EF74A0" w:rsidRPr="0078289D">
        <w:rPr>
          <w:rFonts w:hAnsi="Times New Roman" w:cs="Times New Roman"/>
          <w:sz w:val="28"/>
          <w:szCs w:val="28"/>
        </w:rPr>
        <w:t>.</w:t>
      </w:r>
    </w:p>
    <w:p w:rsidR="008C03AF" w:rsidRPr="0078289D" w:rsidRDefault="008C03AF" w:rsidP="0078289D">
      <w:pPr>
        <w:pBdr>
          <w:top w:val="none" w:sz="0" w:space="0" w:color="auto"/>
          <w:left w:val="none" w:sz="0" w:space="0" w:color="auto"/>
          <w:bottom w:val="none" w:sz="0" w:space="0" w:color="auto"/>
          <w:right w:val="none" w:sz="0" w:space="0" w:color="auto"/>
        </w:pBdr>
        <w:jc w:val="both"/>
        <w:rPr>
          <w:sz w:val="28"/>
          <w:szCs w:val="28"/>
          <w:lang w:val="es-ES_tradnl"/>
        </w:rPr>
      </w:pPr>
    </w:p>
    <w:p w:rsidR="008C03AF" w:rsidRPr="0078289D" w:rsidRDefault="008C03AF"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El Colectivo de Abogados José Alvear Restrepo </w:t>
      </w:r>
      <w:r w:rsidR="00E01398" w:rsidRPr="0078289D">
        <w:rPr>
          <w:rFonts w:hAnsi="Times New Roman" w:cs="Times New Roman"/>
          <w:sz w:val="28"/>
          <w:szCs w:val="28"/>
        </w:rPr>
        <w:t>solicit</w:t>
      </w:r>
      <w:r w:rsidR="001436C9" w:rsidRPr="0078289D">
        <w:rPr>
          <w:rFonts w:hAnsi="Times New Roman" w:cs="Times New Roman"/>
          <w:sz w:val="28"/>
          <w:szCs w:val="28"/>
        </w:rPr>
        <w:t>a</w:t>
      </w:r>
      <w:r w:rsidR="00E01398" w:rsidRPr="0078289D">
        <w:rPr>
          <w:rFonts w:hAnsi="Times New Roman" w:cs="Times New Roman"/>
          <w:sz w:val="28"/>
          <w:szCs w:val="28"/>
        </w:rPr>
        <w:t xml:space="preserve"> la declaratoria de </w:t>
      </w:r>
      <w:r w:rsidR="00E01398" w:rsidRPr="0078289D">
        <w:rPr>
          <w:rFonts w:hAnsi="Times New Roman" w:cs="Times New Roman"/>
          <w:b/>
          <w:sz w:val="28"/>
          <w:szCs w:val="28"/>
        </w:rPr>
        <w:t>inexequibilidad</w:t>
      </w:r>
      <w:r w:rsidR="00E01398" w:rsidRPr="0078289D">
        <w:rPr>
          <w:rFonts w:hAnsi="Times New Roman" w:cs="Times New Roman"/>
          <w:sz w:val="28"/>
          <w:szCs w:val="28"/>
        </w:rPr>
        <w:t xml:space="preserve"> de las normas acusadas. Indic</w:t>
      </w:r>
      <w:r w:rsidR="00FE6606" w:rsidRPr="0078289D">
        <w:rPr>
          <w:rFonts w:hAnsi="Times New Roman" w:cs="Times New Roman"/>
          <w:sz w:val="28"/>
          <w:szCs w:val="28"/>
        </w:rPr>
        <w:t>a</w:t>
      </w:r>
      <w:r w:rsidR="00E01398" w:rsidRPr="0078289D">
        <w:rPr>
          <w:rFonts w:hAnsi="Times New Roman" w:cs="Times New Roman"/>
          <w:sz w:val="28"/>
          <w:szCs w:val="28"/>
        </w:rPr>
        <w:t xml:space="preserve"> que no es razonable que a partir de un criterio arbitrario, como es la fecha de expedición de la licencia ambiental, se permita la exploración y explotación de minerales sin analizar, en cada caso concreto, su impacto en el ambiente. </w:t>
      </w:r>
    </w:p>
    <w:p w:rsidR="00FC439D" w:rsidRPr="0078289D" w:rsidRDefault="00FC439D" w:rsidP="0078289D">
      <w:pPr>
        <w:pBdr>
          <w:top w:val="none" w:sz="0" w:space="0" w:color="auto"/>
          <w:left w:val="none" w:sz="0" w:space="0" w:color="auto"/>
          <w:bottom w:val="none" w:sz="0" w:space="0" w:color="auto"/>
          <w:right w:val="none" w:sz="0" w:space="0" w:color="auto"/>
        </w:pBdr>
        <w:jc w:val="both"/>
        <w:rPr>
          <w:sz w:val="28"/>
          <w:szCs w:val="28"/>
          <w:lang w:val="es-ES_tradnl"/>
        </w:rPr>
      </w:pPr>
    </w:p>
    <w:p w:rsidR="00FC439D" w:rsidRPr="0078289D" w:rsidRDefault="00FC439D"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El CINEP </w:t>
      </w:r>
      <w:r w:rsidR="00FE6606" w:rsidRPr="0078289D">
        <w:rPr>
          <w:rFonts w:hAnsi="Times New Roman" w:cs="Times New Roman"/>
          <w:sz w:val="28"/>
          <w:szCs w:val="28"/>
        </w:rPr>
        <w:t>solicita</w:t>
      </w:r>
      <w:r w:rsidR="00E916B2" w:rsidRPr="0078289D">
        <w:rPr>
          <w:rFonts w:hAnsi="Times New Roman" w:cs="Times New Roman"/>
          <w:sz w:val="28"/>
          <w:szCs w:val="28"/>
        </w:rPr>
        <w:t xml:space="preserve"> la declaratoria de </w:t>
      </w:r>
      <w:r w:rsidR="00E916B2" w:rsidRPr="0078289D">
        <w:rPr>
          <w:rFonts w:hAnsi="Times New Roman" w:cs="Times New Roman"/>
          <w:b/>
          <w:sz w:val="28"/>
          <w:szCs w:val="28"/>
        </w:rPr>
        <w:t>inexequbilidad</w:t>
      </w:r>
      <w:r w:rsidR="00E916B2" w:rsidRPr="0078289D">
        <w:rPr>
          <w:rFonts w:hAnsi="Times New Roman" w:cs="Times New Roman"/>
          <w:sz w:val="28"/>
          <w:szCs w:val="28"/>
        </w:rPr>
        <w:t xml:space="preserve"> de las normas demandadas y resalt</w:t>
      </w:r>
      <w:r w:rsidR="00FE6606" w:rsidRPr="0078289D">
        <w:rPr>
          <w:rFonts w:hAnsi="Times New Roman" w:cs="Times New Roman"/>
          <w:sz w:val="28"/>
          <w:szCs w:val="28"/>
        </w:rPr>
        <w:t>a</w:t>
      </w:r>
      <w:r w:rsidR="00E916B2" w:rsidRPr="0078289D">
        <w:rPr>
          <w:rFonts w:hAnsi="Times New Roman" w:cs="Times New Roman"/>
          <w:sz w:val="28"/>
          <w:szCs w:val="28"/>
        </w:rPr>
        <w:t xml:space="preserve"> la obligación internacional de proteger el derecho al agua, la cual fue reconocida por el Comité de Derechos Económicos, Sociales y Culturales en su Observación General No. 15. </w:t>
      </w:r>
    </w:p>
    <w:p w:rsidR="00B333A1" w:rsidRPr="0078289D" w:rsidRDefault="00B333A1" w:rsidP="0078289D">
      <w:pPr>
        <w:pBdr>
          <w:top w:val="none" w:sz="0" w:space="0" w:color="auto"/>
          <w:left w:val="none" w:sz="0" w:space="0" w:color="auto"/>
          <w:bottom w:val="none" w:sz="0" w:space="0" w:color="auto"/>
          <w:right w:val="none" w:sz="0" w:space="0" w:color="auto"/>
        </w:pBdr>
        <w:jc w:val="both"/>
        <w:rPr>
          <w:sz w:val="28"/>
          <w:szCs w:val="28"/>
          <w:lang w:val="es-ES_tradnl"/>
        </w:rPr>
      </w:pPr>
    </w:p>
    <w:p w:rsidR="007155F7" w:rsidRPr="0078289D" w:rsidRDefault="007155F7"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La Asociación Colombiana de Minería se pronunci</w:t>
      </w:r>
      <w:r w:rsidR="00FE6606" w:rsidRPr="0078289D">
        <w:rPr>
          <w:rFonts w:hAnsi="Times New Roman" w:cs="Times New Roman"/>
          <w:sz w:val="28"/>
          <w:szCs w:val="28"/>
        </w:rPr>
        <w:t>a</w:t>
      </w:r>
      <w:r w:rsidRPr="0078289D">
        <w:rPr>
          <w:rFonts w:hAnsi="Times New Roman" w:cs="Times New Roman"/>
          <w:sz w:val="28"/>
          <w:szCs w:val="28"/>
        </w:rPr>
        <w:t xml:space="preserve"> a favor de la </w:t>
      </w:r>
      <w:r w:rsidRPr="0078289D">
        <w:rPr>
          <w:rFonts w:hAnsi="Times New Roman" w:cs="Times New Roman"/>
          <w:b/>
          <w:sz w:val="28"/>
          <w:szCs w:val="28"/>
        </w:rPr>
        <w:t>constitucionalidad</w:t>
      </w:r>
      <w:r w:rsidRPr="0078289D">
        <w:rPr>
          <w:rFonts w:hAnsi="Times New Roman" w:cs="Times New Roman"/>
          <w:sz w:val="28"/>
          <w:szCs w:val="28"/>
        </w:rPr>
        <w:t xml:space="preserve"> de</w:t>
      </w:r>
      <w:r w:rsidR="00FE6606" w:rsidRPr="0078289D">
        <w:rPr>
          <w:rFonts w:hAnsi="Times New Roman" w:cs="Times New Roman"/>
          <w:sz w:val="28"/>
          <w:szCs w:val="28"/>
        </w:rPr>
        <w:t xml:space="preserve"> la norma demandada. Así, indica</w:t>
      </w:r>
      <w:r w:rsidRPr="0078289D">
        <w:rPr>
          <w:rFonts w:hAnsi="Times New Roman" w:cs="Times New Roman"/>
          <w:sz w:val="28"/>
          <w:szCs w:val="28"/>
        </w:rPr>
        <w:t xml:space="preserve"> que la Corte Constitucional </w:t>
      </w:r>
      <w:r w:rsidR="001F7D5E" w:rsidRPr="0078289D">
        <w:rPr>
          <w:rFonts w:hAnsi="Times New Roman" w:cs="Times New Roman"/>
          <w:sz w:val="28"/>
          <w:szCs w:val="28"/>
        </w:rPr>
        <w:t xml:space="preserve">ha admitido </w:t>
      </w:r>
      <w:r w:rsidRPr="0078289D">
        <w:rPr>
          <w:rFonts w:hAnsi="Times New Roman" w:cs="Times New Roman"/>
          <w:sz w:val="28"/>
          <w:szCs w:val="28"/>
        </w:rPr>
        <w:t>la prevalencia del principio de seguridad jurídica frente a otro tipo de derechos, como es</w:t>
      </w:r>
      <w:r w:rsidR="001F7D5E" w:rsidRPr="0078289D">
        <w:rPr>
          <w:rFonts w:hAnsi="Times New Roman" w:cs="Times New Roman"/>
          <w:sz w:val="28"/>
          <w:szCs w:val="28"/>
        </w:rPr>
        <w:t xml:space="preserve"> el caso del derecho fundamental </w:t>
      </w:r>
      <w:r w:rsidRPr="0078289D">
        <w:rPr>
          <w:rFonts w:hAnsi="Times New Roman" w:cs="Times New Roman"/>
          <w:sz w:val="28"/>
          <w:szCs w:val="28"/>
        </w:rPr>
        <w:t xml:space="preserve">a la defensa, o los derechos a la verdad, justicia y </w:t>
      </w:r>
      <w:r w:rsidRPr="0078289D">
        <w:rPr>
          <w:rFonts w:hAnsi="Times New Roman" w:cs="Times New Roman"/>
          <w:sz w:val="28"/>
          <w:szCs w:val="28"/>
        </w:rPr>
        <w:lastRenderedPageBreak/>
        <w:t>reparación.</w:t>
      </w:r>
      <w:r w:rsidRPr="0078289D">
        <w:rPr>
          <w:rStyle w:val="Refdenotaalpie"/>
          <w:rFonts w:hAnsi="Times New Roman"/>
          <w:sz w:val="28"/>
          <w:szCs w:val="28"/>
        </w:rPr>
        <w:footnoteReference w:id="85"/>
      </w:r>
      <w:r w:rsidR="00E91C6C" w:rsidRPr="0078289D">
        <w:rPr>
          <w:rFonts w:hAnsi="Times New Roman" w:cs="Times New Roman"/>
          <w:sz w:val="28"/>
          <w:szCs w:val="28"/>
        </w:rPr>
        <w:t xml:space="preserve"> Considera que en el caso analizado, el Legislador ponderó la necesidad de proteger el medio ambiente y el interés general, y de garantizar los derechos adquiridos y los principios de seguridad jurídica y confianza legítima de aquellos terceros que cumplieron con los requisitos que en su momento se exigían para la obtención de una licencia ambiental o la suscripción de un contrato de concesión. </w:t>
      </w:r>
      <w:r w:rsidR="003F5BE4" w:rsidRPr="0078289D">
        <w:rPr>
          <w:rFonts w:hAnsi="Times New Roman" w:cs="Times New Roman"/>
          <w:sz w:val="28"/>
          <w:szCs w:val="28"/>
        </w:rPr>
        <w:t xml:space="preserve">Adicionalmente, facultó al Gobierno Nacional a revisar las licencias ambientales y a realizar un control y seguimiento a dichas licencias, con el fin de </w:t>
      </w:r>
      <w:r w:rsidR="00D30B02" w:rsidRPr="0078289D">
        <w:rPr>
          <w:rFonts w:hAnsi="Times New Roman" w:cs="Times New Roman"/>
          <w:sz w:val="28"/>
          <w:szCs w:val="28"/>
        </w:rPr>
        <w:t xml:space="preserve">proteger el derecho al ambiente sano. </w:t>
      </w:r>
    </w:p>
    <w:p w:rsidR="007155F7" w:rsidRPr="0078289D" w:rsidRDefault="007155F7" w:rsidP="0078289D">
      <w:pPr>
        <w:pBdr>
          <w:top w:val="none" w:sz="0" w:space="0" w:color="auto"/>
          <w:left w:val="none" w:sz="0" w:space="0" w:color="auto"/>
          <w:bottom w:val="none" w:sz="0" w:space="0" w:color="auto"/>
          <w:right w:val="none" w:sz="0" w:space="0" w:color="auto"/>
        </w:pBdr>
        <w:jc w:val="both"/>
        <w:rPr>
          <w:sz w:val="28"/>
          <w:szCs w:val="28"/>
          <w:lang w:val="es-ES_tradnl"/>
        </w:rPr>
      </w:pPr>
    </w:p>
    <w:p w:rsidR="008D7A81" w:rsidRPr="0078289D" w:rsidRDefault="008D7A81"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El Centro de Estudios de Derecho, Justicia y Equidad </w:t>
      </w:r>
      <w:r w:rsidR="001A4769" w:rsidRPr="0078289D">
        <w:rPr>
          <w:rFonts w:hAnsi="Times New Roman" w:cs="Times New Roman"/>
          <w:sz w:val="28"/>
          <w:szCs w:val="28"/>
        </w:rPr>
        <w:t>–</w:t>
      </w:r>
      <w:r w:rsidRPr="0078289D">
        <w:rPr>
          <w:rFonts w:hAnsi="Times New Roman" w:cs="Times New Roman"/>
          <w:sz w:val="28"/>
          <w:szCs w:val="28"/>
        </w:rPr>
        <w:t xml:space="preserve"> Dejusticia</w:t>
      </w:r>
      <w:r w:rsidR="0004553B" w:rsidRPr="0078289D">
        <w:rPr>
          <w:rFonts w:hAnsi="Times New Roman" w:cs="Times New Roman"/>
          <w:sz w:val="28"/>
          <w:szCs w:val="28"/>
        </w:rPr>
        <w:t xml:space="preserve">, </w:t>
      </w:r>
      <w:r w:rsidR="00813157" w:rsidRPr="0078289D">
        <w:rPr>
          <w:rFonts w:hAnsi="Times New Roman" w:cs="Times New Roman"/>
          <w:sz w:val="28"/>
          <w:szCs w:val="28"/>
        </w:rPr>
        <w:t>la Facultad de Jurídic</w:t>
      </w:r>
      <w:r w:rsidR="00CF7110" w:rsidRPr="0078289D">
        <w:rPr>
          <w:rFonts w:hAnsi="Times New Roman" w:cs="Times New Roman"/>
          <w:sz w:val="28"/>
          <w:szCs w:val="28"/>
        </w:rPr>
        <w:t xml:space="preserve">as de la Universidad de Caldas </w:t>
      </w:r>
      <w:r w:rsidR="00C968DA" w:rsidRPr="0078289D">
        <w:rPr>
          <w:rFonts w:hAnsi="Times New Roman" w:cs="Times New Roman"/>
          <w:sz w:val="28"/>
          <w:szCs w:val="28"/>
        </w:rPr>
        <w:t>y el ciudadano Esteban Rojas Moreno</w:t>
      </w:r>
      <w:r w:rsidR="009B6431" w:rsidRPr="0078289D">
        <w:rPr>
          <w:rFonts w:hAnsi="Times New Roman" w:cs="Times New Roman"/>
          <w:sz w:val="28"/>
          <w:szCs w:val="28"/>
        </w:rPr>
        <w:t xml:space="preserve"> </w:t>
      </w:r>
      <w:r w:rsidR="007B3B6D" w:rsidRPr="0078289D">
        <w:rPr>
          <w:rFonts w:hAnsi="Times New Roman" w:cs="Times New Roman"/>
          <w:sz w:val="28"/>
          <w:szCs w:val="28"/>
        </w:rPr>
        <w:t>solicitan</w:t>
      </w:r>
      <w:r w:rsidR="009B6431" w:rsidRPr="0078289D">
        <w:rPr>
          <w:rFonts w:hAnsi="Times New Roman" w:cs="Times New Roman"/>
          <w:sz w:val="28"/>
          <w:szCs w:val="28"/>
        </w:rPr>
        <w:t xml:space="preserve"> la declaratoria de </w:t>
      </w:r>
      <w:r w:rsidR="009B6431" w:rsidRPr="0078289D">
        <w:rPr>
          <w:rFonts w:hAnsi="Times New Roman" w:cs="Times New Roman"/>
          <w:b/>
          <w:sz w:val="28"/>
          <w:szCs w:val="28"/>
        </w:rPr>
        <w:t>inexequibilidad</w:t>
      </w:r>
      <w:r w:rsidR="009B6431" w:rsidRPr="0078289D">
        <w:rPr>
          <w:rFonts w:hAnsi="Times New Roman" w:cs="Times New Roman"/>
          <w:sz w:val="28"/>
          <w:szCs w:val="28"/>
        </w:rPr>
        <w:t xml:space="preserve"> de las normas demandadas. </w:t>
      </w:r>
      <w:r w:rsidR="002B2F5F" w:rsidRPr="0078289D">
        <w:rPr>
          <w:rFonts w:hAnsi="Times New Roman" w:cs="Times New Roman"/>
          <w:sz w:val="28"/>
          <w:szCs w:val="28"/>
        </w:rPr>
        <w:t xml:space="preserve">Sobre el particular, </w:t>
      </w:r>
      <w:r w:rsidR="00842CD2" w:rsidRPr="0078289D">
        <w:rPr>
          <w:rFonts w:hAnsi="Times New Roman" w:cs="Times New Roman"/>
          <w:sz w:val="28"/>
          <w:szCs w:val="28"/>
        </w:rPr>
        <w:t>señalan</w:t>
      </w:r>
      <w:r w:rsidR="002B2F5F" w:rsidRPr="0078289D">
        <w:rPr>
          <w:rFonts w:hAnsi="Times New Roman" w:cs="Times New Roman"/>
          <w:sz w:val="28"/>
          <w:szCs w:val="28"/>
        </w:rPr>
        <w:t xml:space="preserve"> que </w:t>
      </w:r>
      <w:r w:rsidR="00A47B22" w:rsidRPr="0078289D">
        <w:rPr>
          <w:rFonts w:hAnsi="Times New Roman" w:cs="Times New Roman"/>
          <w:sz w:val="28"/>
          <w:szCs w:val="28"/>
        </w:rPr>
        <w:t>la disposición acusada</w:t>
      </w:r>
      <w:r w:rsidR="007707BE" w:rsidRPr="0078289D">
        <w:rPr>
          <w:rFonts w:hAnsi="Times New Roman" w:cs="Times New Roman"/>
          <w:sz w:val="28"/>
          <w:szCs w:val="28"/>
        </w:rPr>
        <w:t xml:space="preserve"> viola el principio de “no regresividad” en materia de protección del medio ambiente. Puntualiza</w:t>
      </w:r>
      <w:r w:rsidR="00842CD2" w:rsidRPr="0078289D">
        <w:rPr>
          <w:rFonts w:hAnsi="Times New Roman" w:cs="Times New Roman"/>
          <w:sz w:val="28"/>
          <w:szCs w:val="28"/>
        </w:rPr>
        <w:t>n que</w:t>
      </w:r>
      <w:r w:rsidR="00A47B22" w:rsidRPr="0078289D">
        <w:rPr>
          <w:rFonts w:hAnsi="Times New Roman" w:cs="Times New Roman"/>
          <w:sz w:val="28"/>
          <w:szCs w:val="28"/>
        </w:rPr>
        <w:t xml:space="preserve"> </w:t>
      </w:r>
      <w:r w:rsidR="007707BE" w:rsidRPr="0078289D">
        <w:rPr>
          <w:rFonts w:hAnsi="Times New Roman" w:cs="Times New Roman"/>
          <w:sz w:val="28"/>
          <w:szCs w:val="28"/>
        </w:rPr>
        <w:t xml:space="preserve">la norma </w:t>
      </w:r>
      <w:r w:rsidR="00A47B22" w:rsidRPr="0078289D">
        <w:rPr>
          <w:rFonts w:hAnsi="Times New Roman" w:cs="Times New Roman"/>
          <w:sz w:val="28"/>
          <w:szCs w:val="28"/>
        </w:rPr>
        <w:t>constituye un retroceso injustificado</w:t>
      </w:r>
      <w:r w:rsidR="008A0B45" w:rsidRPr="0078289D">
        <w:rPr>
          <w:rFonts w:hAnsi="Times New Roman" w:cs="Times New Roman"/>
          <w:sz w:val="28"/>
          <w:szCs w:val="28"/>
        </w:rPr>
        <w:t xml:space="preserve">, toda vez que permite la ejecución de actividades de minería, pese a que éstas estaban prohibidas por el artículo 202 de la Ley 1450 de 2011. </w:t>
      </w:r>
    </w:p>
    <w:p w:rsidR="005926B3" w:rsidRPr="0078289D" w:rsidRDefault="005926B3" w:rsidP="0078289D">
      <w:pPr>
        <w:pBdr>
          <w:top w:val="none" w:sz="0" w:space="0" w:color="auto"/>
          <w:left w:val="none" w:sz="0" w:space="0" w:color="auto"/>
          <w:bottom w:val="none" w:sz="0" w:space="0" w:color="auto"/>
          <w:right w:val="none" w:sz="0" w:space="0" w:color="auto"/>
        </w:pBdr>
        <w:jc w:val="both"/>
        <w:rPr>
          <w:sz w:val="28"/>
          <w:szCs w:val="28"/>
          <w:lang w:val="es-ES_tradnl"/>
        </w:rPr>
      </w:pPr>
    </w:p>
    <w:p w:rsidR="005926B3" w:rsidRPr="0078289D" w:rsidRDefault="0008779B" w:rsidP="0078289D">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sz w:val="28"/>
          <w:szCs w:val="28"/>
        </w:rPr>
      </w:pPr>
      <w:r w:rsidRPr="0078289D">
        <w:rPr>
          <w:rFonts w:hAnsi="Times New Roman" w:cs="Times New Roman"/>
          <w:sz w:val="28"/>
          <w:szCs w:val="28"/>
        </w:rPr>
        <w:t>Los intervinientes consideran</w:t>
      </w:r>
      <w:r w:rsidR="005926B3" w:rsidRPr="0078289D">
        <w:rPr>
          <w:rFonts w:hAnsi="Times New Roman" w:cs="Times New Roman"/>
          <w:sz w:val="28"/>
          <w:szCs w:val="28"/>
        </w:rPr>
        <w:t xml:space="preserve"> que la medida adoptada por la norma no es necesaria ni proporcional, por cuanto i) </w:t>
      </w:r>
      <w:r w:rsidR="007B0788" w:rsidRPr="0078289D">
        <w:rPr>
          <w:rFonts w:hAnsi="Times New Roman" w:cs="Times New Roman"/>
          <w:sz w:val="28"/>
          <w:szCs w:val="28"/>
        </w:rPr>
        <w:t xml:space="preserve">pueden </w:t>
      </w:r>
      <w:r w:rsidR="00733E33" w:rsidRPr="0078289D">
        <w:rPr>
          <w:rFonts w:hAnsi="Times New Roman" w:cs="Times New Roman"/>
          <w:sz w:val="28"/>
          <w:szCs w:val="28"/>
        </w:rPr>
        <w:t xml:space="preserve">promoverse otro tipo de actividades que generen un desarrollo económico y que sean menos lesivas de los páramos, y ii) </w:t>
      </w:r>
      <w:r w:rsidR="00987636" w:rsidRPr="0078289D">
        <w:rPr>
          <w:rFonts w:hAnsi="Times New Roman" w:cs="Times New Roman"/>
          <w:sz w:val="28"/>
          <w:szCs w:val="28"/>
        </w:rPr>
        <w:t xml:space="preserve">tiene costos ambientales gravísimos, como es el caso de la afectación del derecho al agua. </w:t>
      </w:r>
    </w:p>
    <w:p w:rsidR="001576EE" w:rsidRPr="0078289D" w:rsidRDefault="001576EE" w:rsidP="0078289D">
      <w:pPr>
        <w:pBdr>
          <w:top w:val="none" w:sz="0" w:space="0" w:color="auto"/>
          <w:left w:val="none" w:sz="0" w:space="0" w:color="auto"/>
          <w:bottom w:val="none" w:sz="0" w:space="0" w:color="auto"/>
          <w:right w:val="none" w:sz="0" w:space="0" w:color="auto"/>
        </w:pBdr>
        <w:jc w:val="both"/>
        <w:rPr>
          <w:sz w:val="28"/>
          <w:szCs w:val="28"/>
          <w:lang w:val="es-ES_tradnl"/>
        </w:rPr>
      </w:pPr>
    </w:p>
    <w:p w:rsidR="002C027A" w:rsidRPr="0078289D" w:rsidRDefault="001576EE"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 xml:space="preserve">La Asociación Interamericana para la Defensa del Ambiente – AIDA </w:t>
      </w:r>
      <w:r w:rsidR="006A307D" w:rsidRPr="0078289D">
        <w:rPr>
          <w:rFonts w:hAnsi="Times New Roman" w:cs="Times New Roman"/>
          <w:sz w:val="28"/>
          <w:szCs w:val="28"/>
        </w:rPr>
        <w:t>se pronuncia</w:t>
      </w:r>
      <w:r w:rsidR="00852619" w:rsidRPr="0078289D">
        <w:rPr>
          <w:rFonts w:hAnsi="Times New Roman" w:cs="Times New Roman"/>
          <w:sz w:val="28"/>
          <w:szCs w:val="28"/>
        </w:rPr>
        <w:t xml:space="preserve"> </w:t>
      </w:r>
      <w:r w:rsidR="00E34B3B" w:rsidRPr="0078289D">
        <w:rPr>
          <w:rFonts w:hAnsi="Times New Roman" w:cs="Times New Roman"/>
          <w:sz w:val="28"/>
          <w:szCs w:val="28"/>
        </w:rPr>
        <w:t xml:space="preserve">solicitando la </w:t>
      </w:r>
      <w:r w:rsidR="00E34B3B" w:rsidRPr="0078289D">
        <w:rPr>
          <w:rFonts w:hAnsi="Times New Roman" w:cs="Times New Roman"/>
          <w:b/>
          <w:sz w:val="28"/>
          <w:szCs w:val="28"/>
        </w:rPr>
        <w:t>inexequibilidad</w:t>
      </w:r>
      <w:r w:rsidR="00E34B3B" w:rsidRPr="0078289D">
        <w:rPr>
          <w:rFonts w:hAnsi="Times New Roman" w:cs="Times New Roman"/>
          <w:sz w:val="28"/>
          <w:szCs w:val="28"/>
        </w:rPr>
        <w:t xml:space="preserve"> de la norma acusada. </w:t>
      </w:r>
      <w:r w:rsidR="006A307D" w:rsidRPr="0078289D">
        <w:rPr>
          <w:rFonts w:hAnsi="Times New Roman" w:cs="Times New Roman"/>
          <w:sz w:val="28"/>
          <w:szCs w:val="28"/>
        </w:rPr>
        <w:t>Resalta</w:t>
      </w:r>
      <w:r w:rsidR="00E34B3B" w:rsidRPr="0078289D">
        <w:rPr>
          <w:rFonts w:hAnsi="Times New Roman" w:cs="Times New Roman"/>
          <w:sz w:val="28"/>
          <w:szCs w:val="28"/>
        </w:rPr>
        <w:t xml:space="preserve"> </w:t>
      </w:r>
      <w:r w:rsidR="00837BAB" w:rsidRPr="0078289D">
        <w:rPr>
          <w:rFonts w:hAnsi="Times New Roman" w:cs="Times New Roman"/>
          <w:sz w:val="28"/>
          <w:szCs w:val="28"/>
        </w:rPr>
        <w:t>la importancia de la protección de los páramos</w:t>
      </w:r>
      <w:r w:rsidR="002C027A" w:rsidRPr="0078289D">
        <w:rPr>
          <w:rFonts w:hAnsi="Times New Roman" w:cs="Times New Roman"/>
          <w:sz w:val="28"/>
          <w:szCs w:val="28"/>
        </w:rPr>
        <w:t xml:space="preserve">, por cuanto </w:t>
      </w:r>
      <w:r w:rsidR="00032967" w:rsidRPr="0078289D">
        <w:rPr>
          <w:rFonts w:hAnsi="Times New Roman" w:cs="Times New Roman"/>
          <w:sz w:val="28"/>
          <w:szCs w:val="28"/>
        </w:rPr>
        <w:t xml:space="preserve">éstos i) </w:t>
      </w:r>
      <w:r w:rsidR="00E647D7" w:rsidRPr="0078289D">
        <w:rPr>
          <w:rFonts w:hAnsi="Times New Roman" w:cs="Times New Roman"/>
          <w:sz w:val="28"/>
          <w:szCs w:val="28"/>
        </w:rPr>
        <w:t>tienen una biodiversidad s</w:t>
      </w:r>
      <w:r w:rsidR="00567394" w:rsidRPr="0078289D">
        <w:rPr>
          <w:rFonts w:hAnsi="Times New Roman" w:cs="Times New Roman"/>
          <w:sz w:val="28"/>
          <w:szCs w:val="28"/>
        </w:rPr>
        <w:t>ignificativa, iii) son proveedores críticos para la región Andina, especialmente, para Colombia y Ecuador,</w:t>
      </w:r>
      <w:r w:rsidR="000675C7" w:rsidRPr="0078289D">
        <w:rPr>
          <w:rFonts w:hAnsi="Times New Roman" w:cs="Times New Roman"/>
          <w:sz w:val="28"/>
          <w:szCs w:val="28"/>
        </w:rPr>
        <w:t xml:space="preserve"> y</w:t>
      </w:r>
      <w:r w:rsidR="00567394" w:rsidRPr="0078289D">
        <w:rPr>
          <w:rFonts w:hAnsi="Times New Roman" w:cs="Times New Roman"/>
          <w:sz w:val="28"/>
          <w:szCs w:val="28"/>
        </w:rPr>
        <w:t xml:space="preserve"> iv) </w:t>
      </w:r>
      <w:r w:rsidR="000675C7" w:rsidRPr="0078289D">
        <w:rPr>
          <w:rFonts w:hAnsi="Times New Roman" w:cs="Times New Roman"/>
          <w:sz w:val="28"/>
          <w:szCs w:val="28"/>
        </w:rPr>
        <w:t xml:space="preserve">son cruciales para mitigar el cambio climático. </w:t>
      </w:r>
      <w:r w:rsidR="00EE3A54" w:rsidRPr="0078289D">
        <w:rPr>
          <w:rFonts w:hAnsi="Times New Roman" w:cs="Times New Roman"/>
          <w:sz w:val="28"/>
          <w:szCs w:val="28"/>
        </w:rPr>
        <w:t>Así mismo</w:t>
      </w:r>
      <w:r w:rsidR="002C027A" w:rsidRPr="0078289D">
        <w:rPr>
          <w:rFonts w:hAnsi="Times New Roman" w:cs="Times New Roman"/>
          <w:sz w:val="28"/>
          <w:szCs w:val="28"/>
        </w:rPr>
        <w:t xml:space="preserve">, </w:t>
      </w:r>
      <w:r w:rsidR="003714A6" w:rsidRPr="0078289D">
        <w:rPr>
          <w:rFonts w:hAnsi="Times New Roman" w:cs="Times New Roman"/>
          <w:sz w:val="28"/>
          <w:szCs w:val="28"/>
        </w:rPr>
        <w:t>pone de presente</w:t>
      </w:r>
      <w:r w:rsidR="002C027A" w:rsidRPr="0078289D">
        <w:rPr>
          <w:rFonts w:hAnsi="Times New Roman" w:cs="Times New Roman"/>
          <w:sz w:val="28"/>
          <w:szCs w:val="28"/>
        </w:rPr>
        <w:t xml:space="preserve"> </w:t>
      </w:r>
      <w:r w:rsidR="00196ECD" w:rsidRPr="0078289D">
        <w:rPr>
          <w:rFonts w:hAnsi="Times New Roman" w:cs="Times New Roman"/>
          <w:sz w:val="28"/>
          <w:szCs w:val="28"/>
        </w:rPr>
        <w:t xml:space="preserve">que el adelantamiento de la industria minera </w:t>
      </w:r>
      <w:r w:rsidR="00B41713" w:rsidRPr="0078289D">
        <w:rPr>
          <w:rFonts w:hAnsi="Times New Roman" w:cs="Times New Roman"/>
          <w:sz w:val="28"/>
          <w:szCs w:val="28"/>
        </w:rPr>
        <w:t xml:space="preserve">a gran escala </w:t>
      </w:r>
      <w:r w:rsidR="00196ECD" w:rsidRPr="0078289D">
        <w:rPr>
          <w:rFonts w:hAnsi="Times New Roman" w:cs="Times New Roman"/>
          <w:sz w:val="28"/>
          <w:szCs w:val="28"/>
        </w:rPr>
        <w:t xml:space="preserve">los ha puesto en peligro. </w:t>
      </w:r>
    </w:p>
    <w:p w:rsidR="00196ECD" w:rsidRPr="0078289D" w:rsidRDefault="00196ECD" w:rsidP="0078289D">
      <w:pPr>
        <w:pBdr>
          <w:top w:val="none" w:sz="0" w:space="0" w:color="auto"/>
          <w:left w:val="none" w:sz="0" w:space="0" w:color="auto"/>
          <w:bottom w:val="none" w:sz="0" w:space="0" w:color="auto"/>
          <w:right w:val="none" w:sz="0" w:space="0" w:color="auto"/>
        </w:pBdr>
        <w:jc w:val="both"/>
        <w:rPr>
          <w:sz w:val="28"/>
          <w:szCs w:val="28"/>
          <w:lang w:val="es-ES_tradnl"/>
        </w:rPr>
      </w:pPr>
    </w:p>
    <w:p w:rsidR="00196ECD" w:rsidRPr="0078289D" w:rsidRDefault="00F51751" w:rsidP="0078289D">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b/>
          <w:sz w:val="28"/>
          <w:szCs w:val="28"/>
        </w:rPr>
      </w:pPr>
      <w:r w:rsidRPr="0078289D">
        <w:rPr>
          <w:rFonts w:hAnsi="Times New Roman" w:cs="Times New Roman"/>
          <w:sz w:val="28"/>
          <w:szCs w:val="28"/>
        </w:rPr>
        <w:t>Manifiesta</w:t>
      </w:r>
      <w:r w:rsidR="007D396A" w:rsidRPr="0078289D">
        <w:rPr>
          <w:rFonts w:hAnsi="Times New Roman" w:cs="Times New Roman"/>
          <w:sz w:val="28"/>
          <w:szCs w:val="28"/>
        </w:rPr>
        <w:t xml:space="preserve"> que la Corte Constitucional ha indicado que existe </w:t>
      </w:r>
      <w:r w:rsidR="007D396A" w:rsidRPr="0078289D">
        <w:rPr>
          <w:rFonts w:hAnsi="Times New Roman" w:cs="Times New Roman"/>
          <w:i/>
          <w:sz w:val="28"/>
          <w:szCs w:val="28"/>
        </w:rPr>
        <w:t xml:space="preserve">un “deber estatal de delimitación </w:t>
      </w:r>
      <w:r w:rsidR="00073686" w:rsidRPr="0078289D">
        <w:rPr>
          <w:rFonts w:hAnsi="Times New Roman" w:cs="Times New Roman"/>
          <w:i/>
          <w:sz w:val="28"/>
          <w:szCs w:val="28"/>
        </w:rPr>
        <w:t xml:space="preserve">y protección </w:t>
      </w:r>
      <w:r w:rsidR="007D396A" w:rsidRPr="0078289D">
        <w:rPr>
          <w:rFonts w:hAnsi="Times New Roman" w:cs="Times New Roman"/>
          <w:i/>
          <w:sz w:val="28"/>
          <w:szCs w:val="28"/>
        </w:rPr>
        <w:t>de áreas de especial importancia ecológica, en particular, de los páramos”</w:t>
      </w:r>
      <w:r w:rsidR="00EC2F1A" w:rsidRPr="0078289D">
        <w:rPr>
          <w:rFonts w:hAnsi="Times New Roman" w:cs="Times New Roman"/>
          <w:sz w:val="28"/>
          <w:szCs w:val="28"/>
        </w:rPr>
        <w:t xml:space="preserve"> y que los páramos</w:t>
      </w:r>
      <w:r w:rsidR="00BC131F" w:rsidRPr="0078289D">
        <w:rPr>
          <w:rFonts w:hAnsi="Times New Roman" w:cs="Times New Roman"/>
          <w:sz w:val="28"/>
          <w:szCs w:val="28"/>
        </w:rPr>
        <w:t xml:space="preserve"> están excluidos de las zonas de explotación minera</w:t>
      </w:r>
      <w:r w:rsidR="00EC2F1A" w:rsidRPr="0078289D">
        <w:rPr>
          <w:rFonts w:hAnsi="Times New Roman" w:cs="Times New Roman"/>
          <w:sz w:val="28"/>
          <w:szCs w:val="28"/>
        </w:rPr>
        <w:t xml:space="preserve">. Para sustentar esta </w:t>
      </w:r>
      <w:r w:rsidR="003C781B" w:rsidRPr="0078289D">
        <w:rPr>
          <w:rFonts w:hAnsi="Times New Roman" w:cs="Times New Roman"/>
          <w:sz w:val="28"/>
          <w:szCs w:val="28"/>
        </w:rPr>
        <w:t>afirmación, cita</w:t>
      </w:r>
      <w:r w:rsidR="00547827" w:rsidRPr="0078289D">
        <w:rPr>
          <w:rFonts w:hAnsi="Times New Roman" w:cs="Times New Roman"/>
          <w:sz w:val="28"/>
          <w:szCs w:val="28"/>
        </w:rPr>
        <w:t xml:space="preserve">n las </w:t>
      </w:r>
      <w:r w:rsidR="00547827" w:rsidRPr="0078289D">
        <w:rPr>
          <w:rFonts w:hAnsi="Times New Roman" w:cs="Times New Roman"/>
          <w:b/>
          <w:sz w:val="28"/>
          <w:szCs w:val="28"/>
        </w:rPr>
        <w:t xml:space="preserve">Sentencias C-339 de 2002 </w:t>
      </w:r>
      <w:r w:rsidR="00547827" w:rsidRPr="0078289D">
        <w:rPr>
          <w:rFonts w:hAnsi="Times New Roman" w:cs="Times New Roman"/>
          <w:sz w:val="28"/>
          <w:szCs w:val="28"/>
        </w:rPr>
        <w:t xml:space="preserve">y </w:t>
      </w:r>
      <w:r w:rsidR="00547827" w:rsidRPr="0078289D">
        <w:rPr>
          <w:rFonts w:hAnsi="Times New Roman" w:cs="Times New Roman"/>
          <w:b/>
          <w:sz w:val="28"/>
          <w:szCs w:val="28"/>
        </w:rPr>
        <w:t xml:space="preserve">C-443 de 2009. </w:t>
      </w:r>
    </w:p>
    <w:p w:rsidR="00595269" w:rsidRPr="0078289D" w:rsidRDefault="00595269"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595269" w:rsidRPr="0078289D" w:rsidRDefault="00D33F13" w:rsidP="0078289D">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sz w:val="28"/>
          <w:szCs w:val="28"/>
        </w:rPr>
      </w:pPr>
      <w:r w:rsidRPr="0078289D">
        <w:rPr>
          <w:rFonts w:hAnsi="Times New Roman" w:cs="Times New Roman"/>
          <w:sz w:val="28"/>
          <w:szCs w:val="28"/>
        </w:rPr>
        <w:t>Indica</w:t>
      </w:r>
      <w:r w:rsidR="00595269" w:rsidRPr="0078289D">
        <w:rPr>
          <w:rFonts w:hAnsi="Times New Roman" w:cs="Times New Roman"/>
          <w:sz w:val="28"/>
          <w:szCs w:val="28"/>
        </w:rPr>
        <w:t xml:space="preserve"> </w:t>
      </w:r>
      <w:r w:rsidR="00871DC3" w:rsidRPr="0078289D">
        <w:rPr>
          <w:rFonts w:hAnsi="Times New Roman" w:cs="Times New Roman"/>
          <w:sz w:val="28"/>
          <w:szCs w:val="28"/>
        </w:rPr>
        <w:t xml:space="preserve">que el Gobierno Nacional, a través de la norma jurídica demandada, desmejoró el estándar jurídico de protección al autorizar </w:t>
      </w:r>
      <w:r w:rsidR="008C1B26" w:rsidRPr="0078289D">
        <w:rPr>
          <w:rFonts w:hAnsi="Times New Roman" w:cs="Times New Roman"/>
          <w:sz w:val="28"/>
          <w:szCs w:val="28"/>
        </w:rPr>
        <w:t xml:space="preserve">la ejecución de actividades mineras </w:t>
      </w:r>
      <w:r w:rsidR="00F37E9E" w:rsidRPr="0078289D">
        <w:rPr>
          <w:rFonts w:hAnsi="Times New Roman" w:cs="Times New Roman"/>
          <w:sz w:val="28"/>
          <w:szCs w:val="28"/>
        </w:rPr>
        <w:t xml:space="preserve">si existe un título minero y una licencia ambiental. En este sentido, la protección no se dirige hacia los </w:t>
      </w:r>
      <w:r w:rsidR="00F37E9E" w:rsidRPr="0078289D">
        <w:rPr>
          <w:rFonts w:hAnsi="Times New Roman" w:cs="Times New Roman"/>
          <w:sz w:val="28"/>
          <w:szCs w:val="28"/>
        </w:rPr>
        <w:lastRenderedPageBreak/>
        <w:t xml:space="preserve">páramos, sino hacia el </w:t>
      </w:r>
      <w:r w:rsidR="005F25BD" w:rsidRPr="0078289D">
        <w:rPr>
          <w:rFonts w:hAnsi="Times New Roman" w:cs="Times New Roman"/>
          <w:sz w:val="28"/>
          <w:szCs w:val="28"/>
        </w:rPr>
        <w:t xml:space="preserve">área que </w:t>
      </w:r>
      <w:r w:rsidR="00F37E9E" w:rsidRPr="0078289D">
        <w:rPr>
          <w:rFonts w:hAnsi="Times New Roman" w:cs="Times New Roman"/>
          <w:sz w:val="28"/>
          <w:szCs w:val="28"/>
        </w:rPr>
        <w:t>el Gobierno haya demarcado</w:t>
      </w:r>
      <w:r w:rsidR="005F25BD" w:rsidRPr="0078289D">
        <w:rPr>
          <w:rFonts w:hAnsi="Times New Roman" w:cs="Times New Roman"/>
          <w:sz w:val="28"/>
          <w:szCs w:val="28"/>
        </w:rPr>
        <w:t xml:space="preserve"> discrecionalmente</w:t>
      </w:r>
      <w:r w:rsidR="00F37E9E" w:rsidRPr="0078289D">
        <w:rPr>
          <w:rFonts w:hAnsi="Times New Roman" w:cs="Times New Roman"/>
          <w:sz w:val="28"/>
          <w:szCs w:val="28"/>
        </w:rPr>
        <w:t xml:space="preserve">. </w:t>
      </w:r>
    </w:p>
    <w:p w:rsidR="00205150" w:rsidRPr="0078289D" w:rsidRDefault="00205150" w:rsidP="0078289D">
      <w:pPr>
        <w:pBdr>
          <w:top w:val="none" w:sz="0" w:space="0" w:color="auto"/>
          <w:left w:val="none" w:sz="0" w:space="0" w:color="auto"/>
          <w:bottom w:val="none" w:sz="0" w:space="0" w:color="auto"/>
          <w:right w:val="none" w:sz="0" w:space="0" w:color="auto"/>
        </w:pBdr>
        <w:jc w:val="both"/>
        <w:rPr>
          <w:sz w:val="28"/>
          <w:szCs w:val="28"/>
          <w:lang w:val="es-ES_tradnl"/>
        </w:rPr>
      </w:pPr>
    </w:p>
    <w:p w:rsidR="00205150" w:rsidRPr="0078289D" w:rsidRDefault="00D33F13" w:rsidP="0078289D">
      <w:pPr>
        <w:pStyle w:val="Prrafodelista"/>
        <w:pBdr>
          <w:top w:val="none" w:sz="0" w:space="0" w:color="auto"/>
          <w:left w:val="none" w:sz="0" w:space="0" w:color="auto"/>
          <w:bottom w:val="none" w:sz="0" w:space="0" w:color="auto"/>
          <w:right w:val="none" w:sz="0" w:space="0" w:color="auto"/>
        </w:pBdr>
        <w:ind w:left="720"/>
        <w:jc w:val="both"/>
        <w:rPr>
          <w:rFonts w:hAnsi="Times New Roman" w:cs="Times New Roman"/>
          <w:sz w:val="28"/>
          <w:szCs w:val="28"/>
        </w:rPr>
      </w:pPr>
      <w:r w:rsidRPr="0078289D">
        <w:rPr>
          <w:rFonts w:hAnsi="Times New Roman" w:cs="Times New Roman"/>
          <w:sz w:val="28"/>
          <w:szCs w:val="28"/>
        </w:rPr>
        <w:t>Finalmente, resalta</w:t>
      </w:r>
      <w:r w:rsidR="00205150" w:rsidRPr="0078289D">
        <w:rPr>
          <w:rFonts w:hAnsi="Times New Roman" w:cs="Times New Roman"/>
          <w:sz w:val="28"/>
          <w:szCs w:val="28"/>
        </w:rPr>
        <w:t xml:space="preserve"> </w:t>
      </w:r>
      <w:r w:rsidR="00C704A5" w:rsidRPr="0078289D">
        <w:rPr>
          <w:rFonts w:hAnsi="Times New Roman" w:cs="Times New Roman"/>
          <w:sz w:val="28"/>
          <w:szCs w:val="28"/>
        </w:rPr>
        <w:t xml:space="preserve">que la norma jurídica contradice </w:t>
      </w:r>
      <w:r w:rsidR="00205150" w:rsidRPr="0078289D">
        <w:rPr>
          <w:rFonts w:hAnsi="Times New Roman" w:cs="Times New Roman"/>
          <w:sz w:val="28"/>
          <w:szCs w:val="28"/>
        </w:rPr>
        <w:t xml:space="preserve">las obligaciones de protección que Colombia ha adquirido por ser un Estado parte de la Convención de Ramsar, </w:t>
      </w:r>
      <w:r w:rsidR="00C704A5" w:rsidRPr="0078289D">
        <w:rPr>
          <w:rFonts w:hAnsi="Times New Roman" w:cs="Times New Roman"/>
          <w:sz w:val="28"/>
          <w:szCs w:val="28"/>
        </w:rPr>
        <w:t>el Convenio de Diversidad Biológica</w:t>
      </w:r>
      <w:r w:rsidR="00B70F70" w:rsidRPr="0078289D">
        <w:rPr>
          <w:rFonts w:hAnsi="Times New Roman" w:cs="Times New Roman"/>
          <w:sz w:val="28"/>
          <w:szCs w:val="28"/>
        </w:rPr>
        <w:t xml:space="preserve"> y demás instrumentos internacionales en materia de derecho ambiental. </w:t>
      </w:r>
    </w:p>
    <w:p w:rsidR="002600B0" w:rsidRPr="0078289D" w:rsidRDefault="002600B0"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579D5" w:rsidRPr="0078289D" w:rsidRDefault="002600B0" w:rsidP="0078289D">
      <w:pPr>
        <w:pStyle w:val="Prrafodelista"/>
        <w:numPr>
          <w:ilvl w:val="0"/>
          <w:numId w:val="17"/>
        </w:numPr>
        <w:pBdr>
          <w:top w:val="none" w:sz="0" w:space="0" w:color="auto"/>
          <w:left w:val="none" w:sz="0" w:space="0" w:color="auto"/>
          <w:bottom w:val="none" w:sz="0" w:space="0" w:color="auto"/>
          <w:right w:val="none" w:sz="0" w:space="0" w:color="auto"/>
        </w:pBdr>
        <w:jc w:val="both"/>
        <w:rPr>
          <w:rFonts w:hAnsi="Times New Roman" w:cs="Times New Roman"/>
          <w:sz w:val="28"/>
          <w:szCs w:val="28"/>
        </w:rPr>
      </w:pPr>
      <w:r w:rsidRPr="0078289D">
        <w:rPr>
          <w:rFonts w:hAnsi="Times New Roman" w:cs="Times New Roman"/>
          <w:sz w:val="28"/>
          <w:szCs w:val="28"/>
        </w:rPr>
        <w:t>El Semillero de Estudios Ambientales de la Escuela de Derecho y Ciencia Política de la Unive</w:t>
      </w:r>
      <w:r w:rsidR="000D51AA" w:rsidRPr="0078289D">
        <w:rPr>
          <w:rFonts w:hAnsi="Times New Roman" w:cs="Times New Roman"/>
          <w:sz w:val="28"/>
          <w:szCs w:val="28"/>
        </w:rPr>
        <w:t xml:space="preserve">rsidad Industrial de Santander y </w:t>
      </w:r>
      <w:r w:rsidRPr="0078289D">
        <w:rPr>
          <w:rFonts w:hAnsi="Times New Roman" w:cs="Times New Roman"/>
          <w:sz w:val="28"/>
          <w:szCs w:val="28"/>
        </w:rPr>
        <w:t>la Corporación Colectivo de Abogados Luis Carlos Pérez</w:t>
      </w:r>
      <w:r w:rsidR="000D51AA" w:rsidRPr="0078289D">
        <w:rPr>
          <w:rFonts w:hAnsi="Times New Roman" w:cs="Times New Roman"/>
          <w:sz w:val="28"/>
          <w:szCs w:val="28"/>
        </w:rPr>
        <w:t xml:space="preserve"> se pronuncian en favor de la </w:t>
      </w:r>
      <w:r w:rsidR="000D51AA" w:rsidRPr="0078289D">
        <w:rPr>
          <w:rFonts w:hAnsi="Times New Roman" w:cs="Times New Roman"/>
          <w:b/>
          <w:sz w:val="28"/>
          <w:szCs w:val="28"/>
        </w:rPr>
        <w:t>inexequibilidad</w:t>
      </w:r>
      <w:r w:rsidR="000D51AA" w:rsidRPr="0078289D">
        <w:rPr>
          <w:rFonts w:hAnsi="Times New Roman" w:cs="Times New Roman"/>
          <w:sz w:val="28"/>
          <w:szCs w:val="28"/>
        </w:rPr>
        <w:t xml:space="preserve"> de</w:t>
      </w:r>
      <w:r w:rsidR="00FD0856" w:rsidRPr="0078289D">
        <w:rPr>
          <w:rFonts w:hAnsi="Times New Roman" w:cs="Times New Roman"/>
          <w:sz w:val="28"/>
          <w:szCs w:val="28"/>
        </w:rPr>
        <w:t xml:space="preserve"> </w:t>
      </w:r>
      <w:r w:rsidR="000D51AA" w:rsidRPr="0078289D">
        <w:rPr>
          <w:rFonts w:hAnsi="Times New Roman" w:cs="Times New Roman"/>
          <w:sz w:val="28"/>
          <w:szCs w:val="28"/>
        </w:rPr>
        <w:t>la norma demandada. Así, indican que la posibilida</w:t>
      </w:r>
      <w:r w:rsidR="00290C0B" w:rsidRPr="0078289D">
        <w:rPr>
          <w:rFonts w:hAnsi="Times New Roman" w:cs="Times New Roman"/>
          <w:sz w:val="28"/>
          <w:szCs w:val="28"/>
        </w:rPr>
        <w:t xml:space="preserve">d </w:t>
      </w:r>
      <w:r w:rsidR="00C81A94" w:rsidRPr="0078289D">
        <w:rPr>
          <w:rFonts w:hAnsi="Times New Roman" w:cs="Times New Roman"/>
          <w:sz w:val="28"/>
          <w:szCs w:val="28"/>
        </w:rPr>
        <w:t xml:space="preserve">de hacer seguimiento a los instrumentos de manejo ambiental no se compadece con la gravedad de los daños que produce la actividad minera. </w:t>
      </w:r>
      <w:r w:rsidR="00EE3A54" w:rsidRPr="0078289D">
        <w:rPr>
          <w:rFonts w:hAnsi="Times New Roman" w:cs="Times New Roman"/>
          <w:sz w:val="28"/>
          <w:szCs w:val="28"/>
        </w:rPr>
        <w:t>Así mismo</w:t>
      </w:r>
      <w:r w:rsidR="00C212C5" w:rsidRPr="0078289D">
        <w:rPr>
          <w:rFonts w:hAnsi="Times New Roman" w:cs="Times New Roman"/>
          <w:sz w:val="28"/>
          <w:szCs w:val="28"/>
        </w:rPr>
        <w:t>, presentan</w:t>
      </w:r>
      <w:r w:rsidR="0041604A" w:rsidRPr="0078289D">
        <w:rPr>
          <w:rFonts w:hAnsi="Times New Roman" w:cs="Times New Roman"/>
          <w:sz w:val="28"/>
          <w:szCs w:val="28"/>
        </w:rPr>
        <w:t xml:space="preserve"> similares argumentos a los de AIDA, e indic</w:t>
      </w:r>
      <w:r w:rsidR="00C212C5" w:rsidRPr="0078289D">
        <w:rPr>
          <w:rFonts w:hAnsi="Times New Roman" w:cs="Times New Roman"/>
          <w:sz w:val="28"/>
          <w:szCs w:val="28"/>
        </w:rPr>
        <w:t>an</w:t>
      </w:r>
      <w:r w:rsidR="0041604A" w:rsidRPr="0078289D">
        <w:rPr>
          <w:rFonts w:hAnsi="Times New Roman" w:cs="Times New Roman"/>
          <w:sz w:val="28"/>
          <w:szCs w:val="28"/>
        </w:rPr>
        <w:t xml:space="preserve"> que la prohibición de ejecutar actividades mineras en páramos no </w:t>
      </w:r>
      <w:r w:rsidR="00BF35AF" w:rsidRPr="0078289D">
        <w:rPr>
          <w:rFonts w:hAnsi="Times New Roman" w:cs="Times New Roman"/>
          <w:sz w:val="28"/>
          <w:szCs w:val="28"/>
        </w:rPr>
        <w:t>rige desde la consagración expresa de la Ley 1382 de 2010,</w:t>
      </w:r>
      <w:r w:rsidR="00C212C5" w:rsidRPr="0078289D">
        <w:rPr>
          <w:rFonts w:hAnsi="Times New Roman" w:cs="Times New Roman"/>
          <w:sz w:val="28"/>
          <w:szCs w:val="28"/>
        </w:rPr>
        <w:t xml:space="preserve"> </w:t>
      </w:r>
      <w:r w:rsidR="00E50628" w:rsidRPr="0078289D">
        <w:rPr>
          <w:rFonts w:hAnsi="Times New Roman" w:cs="Times New Roman"/>
          <w:sz w:val="28"/>
          <w:szCs w:val="28"/>
        </w:rPr>
        <w:t>que fue declarado</w:t>
      </w:r>
      <w:r w:rsidR="00C212C5" w:rsidRPr="0078289D">
        <w:rPr>
          <w:rFonts w:hAnsi="Times New Roman" w:cs="Times New Roman"/>
          <w:sz w:val="28"/>
          <w:szCs w:val="28"/>
        </w:rPr>
        <w:t xml:space="preserve"> inexequible. Señalan</w:t>
      </w:r>
      <w:r w:rsidR="00BF35AF" w:rsidRPr="0078289D">
        <w:rPr>
          <w:rFonts w:hAnsi="Times New Roman" w:cs="Times New Roman"/>
          <w:sz w:val="28"/>
          <w:szCs w:val="28"/>
        </w:rPr>
        <w:t xml:space="preserve"> que la Corte Constitucional en </w:t>
      </w:r>
      <w:r w:rsidR="00BF35AF" w:rsidRPr="0078289D">
        <w:rPr>
          <w:rFonts w:hAnsi="Times New Roman" w:cs="Times New Roman"/>
          <w:b/>
          <w:sz w:val="28"/>
          <w:szCs w:val="28"/>
        </w:rPr>
        <w:t>Sentencia C-273 de 2011</w:t>
      </w:r>
      <w:r w:rsidR="003E11B2" w:rsidRPr="0078289D">
        <w:rPr>
          <w:rFonts w:hAnsi="Times New Roman" w:cs="Times New Roman"/>
          <w:b/>
          <w:sz w:val="28"/>
          <w:szCs w:val="28"/>
        </w:rPr>
        <w:t xml:space="preserve"> </w:t>
      </w:r>
      <w:r w:rsidR="008F7D62" w:rsidRPr="0078289D">
        <w:rPr>
          <w:rFonts w:hAnsi="Times New Roman" w:cs="Times New Roman"/>
          <w:sz w:val="28"/>
          <w:szCs w:val="28"/>
        </w:rPr>
        <w:t xml:space="preserve">mencionó que a través de la Ley 1382 de 2010 el Congreso protegió explícitamente los páramos, pero que, en todo caso, éstos estaban incluidos en la categoría de humedales. </w:t>
      </w:r>
    </w:p>
    <w:p w:rsidR="009579D5" w:rsidRPr="0078289D" w:rsidRDefault="009579D5" w:rsidP="0078289D">
      <w:pPr>
        <w:pBdr>
          <w:top w:val="none" w:sz="0" w:space="0" w:color="auto"/>
          <w:left w:val="none" w:sz="0" w:space="0" w:color="auto"/>
          <w:bottom w:val="none" w:sz="0" w:space="0" w:color="auto"/>
          <w:right w:val="none" w:sz="0" w:space="0" w:color="auto"/>
        </w:pBdr>
        <w:jc w:val="both"/>
        <w:rPr>
          <w:sz w:val="28"/>
          <w:szCs w:val="28"/>
          <w:lang w:val="es-ES_tradnl"/>
        </w:rPr>
      </w:pPr>
    </w:p>
    <w:p w:rsidR="009579D5" w:rsidRPr="0078289D" w:rsidRDefault="00EA0921" w:rsidP="0078289D">
      <w:pPr>
        <w:pBdr>
          <w:top w:val="none" w:sz="0" w:space="0" w:color="auto"/>
          <w:left w:val="none" w:sz="0" w:space="0" w:color="auto"/>
          <w:bottom w:val="none" w:sz="0" w:space="0" w:color="auto"/>
          <w:right w:val="none" w:sz="0" w:space="0" w:color="auto"/>
        </w:pBdr>
        <w:jc w:val="both"/>
        <w:rPr>
          <w:b/>
          <w:sz w:val="28"/>
          <w:szCs w:val="28"/>
          <w:lang w:val="es-ES_tradnl"/>
        </w:rPr>
      </w:pPr>
      <w:r w:rsidRPr="0078289D">
        <w:rPr>
          <w:b/>
          <w:sz w:val="28"/>
          <w:szCs w:val="28"/>
          <w:lang w:val="es-ES_tradnl"/>
        </w:rPr>
        <w:t>CONSIDERACIONES DE LA CORTE CONSTITUCIONAL</w:t>
      </w:r>
    </w:p>
    <w:p w:rsidR="009579D5" w:rsidRPr="0078289D" w:rsidRDefault="009579D5" w:rsidP="0078289D">
      <w:pPr>
        <w:pBdr>
          <w:top w:val="none" w:sz="0" w:space="0" w:color="auto"/>
          <w:left w:val="none" w:sz="0" w:space="0" w:color="auto"/>
          <w:bottom w:val="none" w:sz="0" w:space="0" w:color="auto"/>
          <w:right w:val="none" w:sz="0" w:space="0" w:color="auto"/>
        </w:pBdr>
        <w:jc w:val="both"/>
        <w:rPr>
          <w:b/>
          <w:sz w:val="28"/>
          <w:szCs w:val="28"/>
          <w:lang w:val="es-ES_tradnl"/>
        </w:rPr>
      </w:pPr>
    </w:p>
    <w:p w:rsidR="00023529" w:rsidRPr="0078289D" w:rsidRDefault="00EA0921" w:rsidP="0078289D">
      <w:pPr>
        <w:pBdr>
          <w:top w:val="none" w:sz="0" w:space="0" w:color="auto"/>
          <w:left w:val="none" w:sz="0" w:space="0" w:color="auto"/>
          <w:bottom w:val="none" w:sz="0" w:space="0" w:color="auto"/>
          <w:right w:val="none" w:sz="0" w:space="0" w:color="auto"/>
        </w:pBdr>
        <w:jc w:val="both"/>
        <w:rPr>
          <w:b/>
          <w:i/>
          <w:color w:val="000000"/>
          <w:sz w:val="28"/>
          <w:szCs w:val="28"/>
          <w:lang w:val="es-CO"/>
        </w:rPr>
      </w:pPr>
      <w:r w:rsidRPr="0078289D">
        <w:rPr>
          <w:b/>
          <w:i/>
          <w:color w:val="000000"/>
          <w:sz w:val="28"/>
          <w:szCs w:val="28"/>
          <w:lang w:val="es-CO"/>
        </w:rPr>
        <w:t>I</w:t>
      </w:r>
      <w:r w:rsidR="007F3BDD" w:rsidRPr="0078289D">
        <w:rPr>
          <w:b/>
          <w:i/>
          <w:color w:val="000000"/>
          <w:sz w:val="28"/>
          <w:szCs w:val="28"/>
          <w:lang w:val="es-CO"/>
        </w:rPr>
        <w:t>dentificación de los asuntos bajo revisión y planteamiento de los problemas jurídicos</w:t>
      </w:r>
    </w:p>
    <w:p w:rsidR="00023529" w:rsidRPr="0078289D" w:rsidRDefault="00023529" w:rsidP="0078289D">
      <w:pPr>
        <w:pBdr>
          <w:top w:val="none" w:sz="0" w:space="0" w:color="auto"/>
          <w:left w:val="none" w:sz="0" w:space="0" w:color="auto"/>
          <w:bottom w:val="none" w:sz="0" w:space="0" w:color="auto"/>
          <w:right w:val="none" w:sz="0" w:space="0" w:color="auto"/>
        </w:pBdr>
        <w:jc w:val="both"/>
        <w:rPr>
          <w:b/>
          <w:i/>
          <w:color w:val="000000"/>
          <w:sz w:val="28"/>
          <w:szCs w:val="28"/>
          <w:lang w:val="es-CO"/>
        </w:rPr>
      </w:pPr>
    </w:p>
    <w:p w:rsidR="00023529" w:rsidRPr="0078289D" w:rsidRDefault="00023529"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CO"/>
        </w:rPr>
        <w:t xml:space="preserve">115. </w:t>
      </w:r>
      <w:r w:rsidR="007F3BDD" w:rsidRPr="0078289D">
        <w:rPr>
          <w:color w:val="000000"/>
          <w:sz w:val="28"/>
          <w:szCs w:val="28"/>
          <w:lang w:val="es-ES_tradnl"/>
        </w:rPr>
        <w:t xml:space="preserve">El </w:t>
      </w:r>
      <w:r w:rsidR="00546B25" w:rsidRPr="0078289D">
        <w:rPr>
          <w:color w:val="000000"/>
          <w:sz w:val="28"/>
          <w:szCs w:val="28"/>
          <w:lang w:val="es-ES_tradnl"/>
        </w:rPr>
        <w:t>texto demandado</w:t>
      </w:r>
      <w:r w:rsidR="007F3BDD" w:rsidRPr="0078289D">
        <w:rPr>
          <w:color w:val="000000"/>
          <w:sz w:val="28"/>
          <w:szCs w:val="28"/>
          <w:lang w:val="es-ES_tradnl"/>
        </w:rPr>
        <w:t xml:space="preserve"> </w:t>
      </w:r>
      <w:r w:rsidR="002674EC" w:rsidRPr="0078289D">
        <w:rPr>
          <w:color w:val="000000"/>
          <w:sz w:val="28"/>
          <w:szCs w:val="28"/>
          <w:lang w:val="es-ES_tradnl"/>
        </w:rPr>
        <w:t>regula</w:t>
      </w:r>
      <w:r w:rsidR="007F3BDD" w:rsidRPr="0078289D">
        <w:rPr>
          <w:color w:val="000000"/>
          <w:sz w:val="28"/>
          <w:szCs w:val="28"/>
          <w:lang w:val="es-ES_tradnl"/>
        </w:rPr>
        <w:t xml:space="preserve"> distintas hipótesis </w:t>
      </w:r>
      <w:r w:rsidR="002674EC" w:rsidRPr="0078289D">
        <w:rPr>
          <w:color w:val="000000"/>
          <w:sz w:val="28"/>
          <w:szCs w:val="28"/>
          <w:lang w:val="es-ES_tradnl"/>
        </w:rPr>
        <w:t xml:space="preserve">o situaciones en las que se puede encontrar un particular que pretenda desarrollar </w:t>
      </w:r>
      <w:r w:rsidR="007F3BDD" w:rsidRPr="0078289D">
        <w:rPr>
          <w:color w:val="000000"/>
          <w:sz w:val="28"/>
          <w:szCs w:val="28"/>
          <w:lang w:val="es-ES_tradnl"/>
        </w:rPr>
        <w:t xml:space="preserve">actividades de exploración y explotación de recursos naturales no renovables al interior de las áreas delimitadas como páramos.  </w:t>
      </w:r>
    </w:p>
    <w:p w:rsidR="00023529" w:rsidRPr="0078289D" w:rsidRDefault="00023529"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A1021" w:rsidRPr="0078289D" w:rsidRDefault="00035DF7"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sz w:val="28"/>
          <w:szCs w:val="28"/>
          <w:lang w:val="es-ES_tradnl"/>
        </w:rPr>
        <w:t xml:space="preserve">116. </w:t>
      </w:r>
      <w:r w:rsidR="007F3BDD" w:rsidRPr="0078289D">
        <w:rPr>
          <w:color w:val="000000"/>
          <w:sz w:val="28"/>
          <w:szCs w:val="28"/>
          <w:lang w:val="es-ES_tradnl"/>
        </w:rPr>
        <w:t xml:space="preserve">La </w:t>
      </w:r>
      <w:r w:rsidR="007F3BDD" w:rsidRPr="0078289D">
        <w:rPr>
          <w:b/>
          <w:color w:val="000000"/>
          <w:sz w:val="28"/>
          <w:szCs w:val="28"/>
          <w:lang w:val="es-ES_tradnl"/>
        </w:rPr>
        <w:t>primera situación</w:t>
      </w:r>
      <w:r w:rsidR="007F3BDD" w:rsidRPr="0078289D">
        <w:rPr>
          <w:color w:val="000000"/>
          <w:sz w:val="28"/>
          <w:szCs w:val="28"/>
          <w:lang w:val="es-ES_tradnl"/>
        </w:rPr>
        <w:t xml:space="preserve"> </w:t>
      </w:r>
      <w:r w:rsidR="008F0E76" w:rsidRPr="0078289D">
        <w:rPr>
          <w:color w:val="000000"/>
          <w:sz w:val="28"/>
          <w:szCs w:val="28"/>
          <w:lang w:val="es-ES_tradnl"/>
        </w:rPr>
        <w:t>que regula</w:t>
      </w:r>
      <w:r w:rsidR="007F3BDD" w:rsidRPr="0078289D">
        <w:rPr>
          <w:color w:val="000000"/>
          <w:sz w:val="28"/>
          <w:szCs w:val="28"/>
          <w:lang w:val="es-ES_tradnl"/>
        </w:rPr>
        <w:t xml:space="preserve"> el texto acusado hace referencia a las actividades de exploración y explotación de recursos naturales no renovables </w:t>
      </w:r>
      <w:r w:rsidR="004D1E37" w:rsidRPr="0078289D">
        <w:rPr>
          <w:color w:val="000000"/>
          <w:sz w:val="28"/>
          <w:szCs w:val="28"/>
          <w:lang w:val="es-ES_tradnl"/>
        </w:rPr>
        <w:t xml:space="preserve">que se realicen en áreas </w:t>
      </w:r>
      <w:r w:rsidR="009D4C3E" w:rsidRPr="0078289D">
        <w:rPr>
          <w:color w:val="000000"/>
          <w:sz w:val="28"/>
          <w:szCs w:val="28"/>
          <w:lang w:val="es-ES_tradnl"/>
        </w:rPr>
        <w:t xml:space="preserve">que han sido </w:t>
      </w:r>
      <w:r w:rsidR="004D1E37" w:rsidRPr="0078289D">
        <w:rPr>
          <w:color w:val="000000"/>
          <w:sz w:val="28"/>
          <w:szCs w:val="28"/>
          <w:lang w:val="es-ES_tradnl"/>
        </w:rPr>
        <w:t xml:space="preserve">delimitadas como páramos, y </w:t>
      </w:r>
      <w:r w:rsidR="004B6E3B" w:rsidRPr="0078289D">
        <w:rPr>
          <w:color w:val="000000"/>
          <w:sz w:val="28"/>
          <w:szCs w:val="28"/>
          <w:lang w:val="es-ES_tradnl"/>
        </w:rPr>
        <w:t>que cuenta</w:t>
      </w:r>
      <w:r w:rsidR="007F3BDD" w:rsidRPr="0078289D">
        <w:rPr>
          <w:color w:val="000000"/>
          <w:sz w:val="28"/>
          <w:szCs w:val="28"/>
          <w:lang w:val="es-ES_tradnl"/>
        </w:rPr>
        <w:t xml:space="preserve">n con </w:t>
      </w:r>
      <w:r w:rsidR="004D1E37" w:rsidRPr="0078289D">
        <w:rPr>
          <w:color w:val="000000"/>
          <w:sz w:val="28"/>
          <w:szCs w:val="28"/>
          <w:lang w:val="es-ES_tradnl"/>
        </w:rPr>
        <w:t xml:space="preserve">una </w:t>
      </w:r>
      <w:r w:rsidR="007F3BDD" w:rsidRPr="0078289D">
        <w:rPr>
          <w:color w:val="000000"/>
          <w:sz w:val="28"/>
          <w:szCs w:val="28"/>
          <w:lang w:val="es-ES_tradnl"/>
        </w:rPr>
        <w:t xml:space="preserve">licencia ambiental (con el instrumento de control y manejo ambiental equivalente) y </w:t>
      </w:r>
      <w:r w:rsidR="004D1E37" w:rsidRPr="0078289D">
        <w:rPr>
          <w:color w:val="000000"/>
          <w:sz w:val="28"/>
          <w:szCs w:val="28"/>
          <w:lang w:val="es-ES_tradnl"/>
        </w:rPr>
        <w:t>con un contrato</w:t>
      </w:r>
      <w:r w:rsidR="004B6E3B" w:rsidRPr="0078289D">
        <w:rPr>
          <w:color w:val="000000"/>
          <w:sz w:val="28"/>
          <w:szCs w:val="28"/>
          <w:lang w:val="es-ES_tradnl"/>
        </w:rPr>
        <w:t xml:space="preserve"> de concesión</w:t>
      </w:r>
      <w:r w:rsidR="004D1E37" w:rsidRPr="0078289D">
        <w:rPr>
          <w:color w:val="000000"/>
          <w:sz w:val="28"/>
          <w:szCs w:val="28"/>
          <w:lang w:val="es-ES_tradnl"/>
        </w:rPr>
        <w:t xml:space="preserve">, </w:t>
      </w:r>
      <w:r w:rsidR="005057EF" w:rsidRPr="0078289D">
        <w:rPr>
          <w:color w:val="000000"/>
          <w:sz w:val="28"/>
          <w:szCs w:val="28"/>
          <w:lang w:val="es-ES_tradnl"/>
        </w:rPr>
        <w:t>anteriores a la entrada en vigor de las prohibiciones legales para ejercer dichas actividades en páramos</w:t>
      </w:r>
      <w:r w:rsidR="00C207B1" w:rsidRPr="0078289D">
        <w:rPr>
          <w:color w:val="000000"/>
          <w:sz w:val="28"/>
          <w:szCs w:val="28"/>
          <w:lang w:val="es-ES_tradnl"/>
        </w:rPr>
        <w:t>. En tal situación</w:t>
      </w:r>
      <w:r w:rsidR="00907D9B" w:rsidRPr="0078289D">
        <w:rPr>
          <w:color w:val="000000"/>
          <w:sz w:val="28"/>
          <w:szCs w:val="28"/>
          <w:lang w:val="es-ES_tradnl"/>
        </w:rPr>
        <w:t xml:space="preserve">, </w:t>
      </w:r>
      <w:r w:rsidR="0091279E" w:rsidRPr="0078289D">
        <w:rPr>
          <w:color w:val="000000"/>
          <w:sz w:val="28"/>
          <w:szCs w:val="28"/>
          <w:lang w:val="es-ES_tradnl"/>
        </w:rPr>
        <w:t>las actividades</w:t>
      </w:r>
      <w:r w:rsidR="007F3BDD" w:rsidRPr="0078289D">
        <w:rPr>
          <w:color w:val="000000"/>
          <w:sz w:val="28"/>
          <w:szCs w:val="28"/>
          <w:lang w:val="es-ES_tradnl"/>
        </w:rPr>
        <w:t xml:space="preserve"> pueden continuar realizándose hasta su terminación, </w:t>
      </w:r>
      <w:r w:rsidR="004B6E3B" w:rsidRPr="0078289D">
        <w:rPr>
          <w:color w:val="000000"/>
          <w:sz w:val="28"/>
          <w:szCs w:val="28"/>
          <w:lang w:val="es-ES_tradnl"/>
        </w:rPr>
        <w:t>pero no hay</w:t>
      </w:r>
      <w:r w:rsidR="007F3BDD" w:rsidRPr="0078289D">
        <w:rPr>
          <w:color w:val="000000"/>
          <w:sz w:val="28"/>
          <w:szCs w:val="28"/>
          <w:lang w:val="es-ES_tradnl"/>
        </w:rPr>
        <w:t xml:space="preserve"> lugar a </w:t>
      </w:r>
      <w:r w:rsidR="004B6E3B" w:rsidRPr="0078289D">
        <w:rPr>
          <w:color w:val="000000"/>
          <w:sz w:val="28"/>
          <w:szCs w:val="28"/>
          <w:lang w:val="es-ES_tradnl"/>
        </w:rPr>
        <w:t xml:space="preserve">la </w:t>
      </w:r>
      <w:r w:rsidR="007F3BDD" w:rsidRPr="0078289D">
        <w:rPr>
          <w:color w:val="000000"/>
          <w:sz w:val="28"/>
          <w:szCs w:val="28"/>
          <w:lang w:val="es-ES_tradnl"/>
        </w:rPr>
        <w:t>prórroga</w:t>
      </w:r>
      <w:r w:rsidR="0091279E" w:rsidRPr="0078289D">
        <w:rPr>
          <w:color w:val="000000"/>
          <w:sz w:val="28"/>
          <w:szCs w:val="28"/>
          <w:lang w:val="es-ES_tradnl"/>
        </w:rPr>
        <w:t xml:space="preserve"> del contrato</w:t>
      </w:r>
      <w:r w:rsidR="007F3BDD" w:rsidRPr="0078289D">
        <w:rPr>
          <w:color w:val="000000"/>
          <w:sz w:val="28"/>
          <w:szCs w:val="28"/>
          <w:lang w:val="es-ES_tradnl"/>
        </w:rPr>
        <w:t xml:space="preserve">. </w:t>
      </w:r>
      <w:r w:rsidR="00352D51" w:rsidRPr="0078289D">
        <w:rPr>
          <w:color w:val="000000"/>
          <w:sz w:val="28"/>
          <w:szCs w:val="28"/>
          <w:lang w:val="es-ES_tradnl"/>
        </w:rPr>
        <w:t>La autorización conferida por la disposición acusada en esta hipótesis</w:t>
      </w:r>
      <w:r w:rsidR="007F3BDD" w:rsidRPr="0078289D">
        <w:rPr>
          <w:color w:val="000000"/>
          <w:sz w:val="28"/>
          <w:szCs w:val="28"/>
          <w:lang w:val="es-ES_tradnl"/>
        </w:rPr>
        <w:t xml:space="preserve"> tiene una restricción temporal, dependiendo del tipo de actividad de que se trate, así:</w:t>
      </w:r>
      <w:r w:rsidR="007F3BDD" w:rsidRPr="0078289D">
        <w:rPr>
          <w:sz w:val="28"/>
          <w:szCs w:val="28"/>
          <w:lang w:val="es-ES_tradnl"/>
        </w:rPr>
        <w:t xml:space="preserve"> </w:t>
      </w:r>
    </w:p>
    <w:p w:rsidR="00BA1021" w:rsidRPr="0078289D" w:rsidRDefault="00BA1021" w:rsidP="0078289D">
      <w:pPr>
        <w:pBdr>
          <w:top w:val="none" w:sz="0" w:space="0" w:color="auto"/>
          <w:left w:val="none" w:sz="0" w:space="0" w:color="auto"/>
          <w:bottom w:val="none" w:sz="0" w:space="0" w:color="auto"/>
          <w:right w:val="none" w:sz="0" w:space="0" w:color="auto"/>
        </w:pBdr>
        <w:jc w:val="both"/>
        <w:rPr>
          <w:sz w:val="28"/>
          <w:szCs w:val="28"/>
          <w:lang w:val="es-ES_tradnl"/>
        </w:rPr>
      </w:pPr>
    </w:p>
    <w:p w:rsidR="00BA1021" w:rsidRPr="0078289D" w:rsidRDefault="00681047"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Para que se puedan realizar actividades mineras</w:t>
      </w:r>
      <w:r w:rsidR="007F3BDD" w:rsidRPr="0078289D">
        <w:rPr>
          <w:color w:val="000000"/>
          <w:sz w:val="28"/>
          <w:szCs w:val="28"/>
          <w:lang w:val="es-ES_tradnl"/>
        </w:rPr>
        <w:t xml:space="preserve"> </w:t>
      </w:r>
      <w:r w:rsidR="00352D51" w:rsidRPr="0078289D">
        <w:rPr>
          <w:color w:val="000000"/>
          <w:sz w:val="28"/>
          <w:szCs w:val="28"/>
          <w:lang w:val="es-ES_tradnl"/>
        </w:rPr>
        <w:t xml:space="preserve">se requiere </w:t>
      </w:r>
      <w:r w:rsidR="007F3BDD" w:rsidRPr="0078289D">
        <w:rPr>
          <w:color w:val="000000"/>
          <w:sz w:val="28"/>
          <w:szCs w:val="28"/>
          <w:lang w:val="es-ES_tradnl"/>
        </w:rPr>
        <w:t>que el contrato y licencia ambiental hayan sido otorgados con anter</w:t>
      </w:r>
      <w:r w:rsidR="0043171F" w:rsidRPr="0078289D">
        <w:rPr>
          <w:color w:val="000000"/>
          <w:sz w:val="28"/>
          <w:szCs w:val="28"/>
          <w:lang w:val="es-ES_tradnl"/>
        </w:rPr>
        <w:t xml:space="preserve">ioridad al 9 de febrero de 2010, fecha en que se entiende que </w:t>
      </w:r>
      <w:r w:rsidR="00C220CC" w:rsidRPr="0078289D">
        <w:rPr>
          <w:color w:val="000000"/>
          <w:sz w:val="28"/>
          <w:szCs w:val="28"/>
          <w:lang w:val="es-ES_tradnl"/>
        </w:rPr>
        <w:t xml:space="preserve">entró en vigencia la prohibición de llevar a cabo actividades mineras </w:t>
      </w:r>
      <w:r w:rsidR="003636A7" w:rsidRPr="0078289D">
        <w:rPr>
          <w:color w:val="000000"/>
          <w:sz w:val="28"/>
          <w:szCs w:val="28"/>
          <w:lang w:val="es-ES_tradnl"/>
        </w:rPr>
        <w:t xml:space="preserve">del </w:t>
      </w:r>
      <w:r w:rsidR="00C220CC" w:rsidRPr="0078289D">
        <w:rPr>
          <w:color w:val="000000"/>
          <w:sz w:val="28"/>
          <w:szCs w:val="28"/>
          <w:lang w:val="es-ES_tradnl"/>
        </w:rPr>
        <w:t>artículo 3º</w:t>
      </w:r>
      <w:r w:rsidR="003636A7" w:rsidRPr="0078289D">
        <w:rPr>
          <w:color w:val="000000"/>
          <w:sz w:val="28"/>
          <w:szCs w:val="28"/>
          <w:lang w:val="es-ES_tradnl"/>
        </w:rPr>
        <w:t xml:space="preserve"> de la Ley 1382 de 2010, por la cual se expidió</w:t>
      </w:r>
      <w:r w:rsidR="00EC2B00" w:rsidRPr="0078289D">
        <w:rPr>
          <w:color w:val="000000"/>
          <w:sz w:val="28"/>
          <w:szCs w:val="28"/>
          <w:lang w:val="es-ES_tradnl"/>
        </w:rPr>
        <w:t xml:space="preserve"> el Cód</w:t>
      </w:r>
      <w:r w:rsidR="003636A7" w:rsidRPr="0078289D">
        <w:rPr>
          <w:color w:val="000000"/>
          <w:sz w:val="28"/>
          <w:szCs w:val="28"/>
          <w:lang w:val="es-ES_tradnl"/>
        </w:rPr>
        <w:t>igo de Minas</w:t>
      </w:r>
      <w:r w:rsidR="0043171F" w:rsidRPr="0078289D">
        <w:rPr>
          <w:color w:val="000000"/>
          <w:sz w:val="28"/>
          <w:szCs w:val="28"/>
          <w:lang w:val="es-ES_tradnl"/>
        </w:rPr>
        <w:t>.</w:t>
      </w:r>
    </w:p>
    <w:p w:rsidR="00BA1021" w:rsidRPr="0078289D" w:rsidRDefault="00BA1021"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A1021"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Para </w:t>
      </w:r>
      <w:r w:rsidR="00681047" w:rsidRPr="0078289D">
        <w:rPr>
          <w:color w:val="000000"/>
          <w:sz w:val="28"/>
          <w:szCs w:val="28"/>
          <w:lang w:val="es-ES_tradnl"/>
        </w:rPr>
        <w:t xml:space="preserve">que se puedan realizar </w:t>
      </w:r>
      <w:r w:rsidRPr="0078289D">
        <w:rPr>
          <w:color w:val="000000"/>
          <w:sz w:val="28"/>
          <w:szCs w:val="28"/>
          <w:lang w:val="es-ES_tradnl"/>
        </w:rPr>
        <w:t>la</w:t>
      </w:r>
      <w:r w:rsidR="00681047" w:rsidRPr="0078289D">
        <w:rPr>
          <w:color w:val="000000"/>
          <w:sz w:val="28"/>
          <w:szCs w:val="28"/>
          <w:lang w:val="es-ES_tradnl"/>
        </w:rPr>
        <w:t>s</w:t>
      </w:r>
      <w:r w:rsidRPr="0078289D">
        <w:rPr>
          <w:color w:val="000000"/>
          <w:sz w:val="28"/>
          <w:szCs w:val="28"/>
          <w:lang w:val="es-ES_tradnl"/>
        </w:rPr>
        <w:t xml:space="preserve"> actividad</w:t>
      </w:r>
      <w:r w:rsidR="00681047" w:rsidRPr="0078289D">
        <w:rPr>
          <w:color w:val="000000"/>
          <w:sz w:val="28"/>
          <w:szCs w:val="28"/>
          <w:lang w:val="es-ES_tradnl"/>
        </w:rPr>
        <w:t>es</w:t>
      </w:r>
      <w:r w:rsidRPr="0078289D">
        <w:rPr>
          <w:color w:val="000000"/>
          <w:sz w:val="28"/>
          <w:szCs w:val="28"/>
          <w:lang w:val="es-ES_tradnl"/>
        </w:rPr>
        <w:t xml:space="preserve"> de hidrocarbur</w:t>
      </w:r>
      <w:r w:rsidR="00681047" w:rsidRPr="0078289D">
        <w:rPr>
          <w:color w:val="000000"/>
          <w:sz w:val="28"/>
          <w:szCs w:val="28"/>
          <w:lang w:val="es-ES_tradnl"/>
        </w:rPr>
        <w:t>os</w:t>
      </w:r>
      <w:r w:rsidRPr="0078289D">
        <w:rPr>
          <w:color w:val="000000"/>
          <w:sz w:val="28"/>
          <w:szCs w:val="28"/>
          <w:lang w:val="es-ES_tradnl"/>
        </w:rPr>
        <w:t xml:space="preserve"> </w:t>
      </w:r>
      <w:r w:rsidR="00352D51" w:rsidRPr="0078289D">
        <w:rPr>
          <w:color w:val="000000"/>
          <w:sz w:val="28"/>
          <w:szCs w:val="28"/>
          <w:lang w:val="es-ES_tradnl"/>
        </w:rPr>
        <w:t xml:space="preserve">se requiere </w:t>
      </w:r>
      <w:r w:rsidRPr="0078289D">
        <w:rPr>
          <w:color w:val="000000"/>
          <w:sz w:val="28"/>
          <w:szCs w:val="28"/>
          <w:lang w:val="es-ES_tradnl"/>
        </w:rPr>
        <w:t>que el contrato y licencia ambiental hayan sido otorgados con ante</w:t>
      </w:r>
      <w:r w:rsidR="0043171F" w:rsidRPr="0078289D">
        <w:rPr>
          <w:color w:val="000000"/>
          <w:sz w:val="28"/>
          <w:szCs w:val="28"/>
          <w:lang w:val="es-ES_tradnl"/>
        </w:rPr>
        <w:t xml:space="preserve">rioridad al 16 de junio de 2011, fecha en que se entiende que </w:t>
      </w:r>
      <w:r w:rsidR="00555B04" w:rsidRPr="0078289D">
        <w:rPr>
          <w:color w:val="000000"/>
          <w:sz w:val="28"/>
          <w:szCs w:val="28"/>
          <w:lang w:val="es-ES_tradnl"/>
        </w:rPr>
        <w:t xml:space="preserve">entró en vigencia la prohibición </w:t>
      </w:r>
      <w:r w:rsidR="00666F2B" w:rsidRPr="0078289D">
        <w:rPr>
          <w:color w:val="000000"/>
          <w:sz w:val="28"/>
          <w:szCs w:val="28"/>
          <w:lang w:val="es-ES_tradnl"/>
        </w:rPr>
        <w:t xml:space="preserve">de las actividades de exploración y explotación de hidrocarburos en zonas delimitadas como páramos, </w:t>
      </w:r>
      <w:r w:rsidR="00555B04" w:rsidRPr="0078289D">
        <w:rPr>
          <w:color w:val="000000"/>
          <w:sz w:val="28"/>
          <w:szCs w:val="28"/>
          <w:lang w:val="es-ES_tradnl"/>
        </w:rPr>
        <w:t xml:space="preserve">establecida en el parágrafo 2º del artículo 202 </w:t>
      </w:r>
      <w:r w:rsidR="00666F2B" w:rsidRPr="0078289D">
        <w:rPr>
          <w:color w:val="000000"/>
          <w:sz w:val="28"/>
          <w:szCs w:val="28"/>
          <w:lang w:val="es-ES_tradnl"/>
        </w:rPr>
        <w:t xml:space="preserve">de la Ley 1450 de 2011, por medio de la cual se expidió </w:t>
      </w:r>
      <w:r w:rsidR="009444CC" w:rsidRPr="0078289D">
        <w:rPr>
          <w:color w:val="000000"/>
          <w:sz w:val="28"/>
          <w:szCs w:val="28"/>
          <w:lang w:val="es-ES_tradnl"/>
        </w:rPr>
        <w:t>el Plan Nacional de Desarrollo anterior</w:t>
      </w:r>
      <w:r w:rsidR="003377CC" w:rsidRPr="0078289D">
        <w:rPr>
          <w:color w:val="000000"/>
          <w:sz w:val="28"/>
          <w:szCs w:val="28"/>
          <w:lang w:val="es-ES_tradnl"/>
        </w:rPr>
        <w:t>.</w:t>
      </w:r>
    </w:p>
    <w:p w:rsidR="00BA1021" w:rsidRPr="0078289D" w:rsidRDefault="00BA1021"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A1021" w:rsidRPr="0078289D" w:rsidRDefault="00891B56"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sz w:val="28"/>
          <w:szCs w:val="28"/>
          <w:lang w:val="es-ES_tradnl"/>
        </w:rPr>
        <w:t xml:space="preserve">117. </w:t>
      </w:r>
      <w:r w:rsidR="007F3BDD" w:rsidRPr="0078289D">
        <w:rPr>
          <w:color w:val="000000"/>
          <w:sz w:val="28"/>
          <w:szCs w:val="28"/>
          <w:lang w:val="es-ES_tradnl"/>
        </w:rPr>
        <w:t xml:space="preserve">La </w:t>
      </w:r>
      <w:r w:rsidR="007F3BDD" w:rsidRPr="0078289D">
        <w:rPr>
          <w:b/>
          <w:color w:val="000000"/>
          <w:sz w:val="28"/>
          <w:szCs w:val="28"/>
          <w:lang w:val="es-ES_tradnl"/>
        </w:rPr>
        <w:t>segunda situación</w:t>
      </w:r>
      <w:r w:rsidR="007F3BDD" w:rsidRPr="0078289D">
        <w:rPr>
          <w:color w:val="000000"/>
          <w:sz w:val="28"/>
          <w:szCs w:val="28"/>
          <w:lang w:val="es-ES_tradnl"/>
        </w:rPr>
        <w:t xml:space="preserve"> </w:t>
      </w:r>
      <w:r w:rsidR="004D745C" w:rsidRPr="0078289D">
        <w:rPr>
          <w:color w:val="000000"/>
          <w:sz w:val="28"/>
          <w:szCs w:val="28"/>
          <w:lang w:val="es-ES_tradnl"/>
        </w:rPr>
        <w:t xml:space="preserve">regulada </w:t>
      </w:r>
      <w:r w:rsidR="009817AA" w:rsidRPr="0078289D">
        <w:rPr>
          <w:color w:val="000000"/>
          <w:sz w:val="28"/>
          <w:szCs w:val="28"/>
          <w:lang w:val="es-ES_tradnl"/>
        </w:rPr>
        <w:t>tiene relación con</w:t>
      </w:r>
      <w:r w:rsidR="007F3BDD" w:rsidRPr="0078289D">
        <w:rPr>
          <w:color w:val="000000"/>
          <w:sz w:val="28"/>
          <w:szCs w:val="28"/>
          <w:lang w:val="es-ES_tradnl"/>
        </w:rPr>
        <w:t xml:space="preserve"> las actividades mineras y de hidrocarburos que cuent</w:t>
      </w:r>
      <w:r w:rsidR="0091279E" w:rsidRPr="0078289D">
        <w:rPr>
          <w:color w:val="000000"/>
          <w:sz w:val="28"/>
          <w:szCs w:val="28"/>
          <w:lang w:val="es-ES_tradnl"/>
        </w:rPr>
        <w:t>en con licencia ambiental</w:t>
      </w:r>
      <w:r w:rsidR="009817AA" w:rsidRPr="0078289D">
        <w:rPr>
          <w:color w:val="000000"/>
          <w:sz w:val="28"/>
          <w:szCs w:val="28"/>
          <w:lang w:val="es-ES_tradnl"/>
        </w:rPr>
        <w:t xml:space="preserve"> expedida con anterioridad a la entrada en vigor de las prohibiciones</w:t>
      </w:r>
      <w:r w:rsidR="0091279E" w:rsidRPr="0078289D">
        <w:rPr>
          <w:color w:val="000000"/>
          <w:sz w:val="28"/>
          <w:szCs w:val="28"/>
          <w:lang w:val="es-ES_tradnl"/>
        </w:rPr>
        <w:t xml:space="preserve">, sin que </w:t>
      </w:r>
      <w:r w:rsidR="007F3BDD" w:rsidRPr="0078289D">
        <w:rPr>
          <w:color w:val="000000"/>
          <w:sz w:val="28"/>
          <w:szCs w:val="28"/>
          <w:lang w:val="es-ES_tradnl"/>
        </w:rPr>
        <w:t xml:space="preserve">la norma </w:t>
      </w:r>
      <w:r w:rsidR="0091279E" w:rsidRPr="0078289D">
        <w:rPr>
          <w:color w:val="000000"/>
          <w:sz w:val="28"/>
          <w:szCs w:val="28"/>
          <w:lang w:val="es-ES_tradnl"/>
        </w:rPr>
        <w:t>establezca</w:t>
      </w:r>
      <w:r w:rsidR="007F3BDD" w:rsidRPr="0078289D">
        <w:rPr>
          <w:color w:val="000000"/>
          <w:sz w:val="28"/>
          <w:szCs w:val="28"/>
          <w:lang w:val="es-ES_tradnl"/>
        </w:rPr>
        <w:t xml:space="preserve"> como requisito contar </w:t>
      </w:r>
      <w:r w:rsidR="00300911" w:rsidRPr="0078289D">
        <w:rPr>
          <w:color w:val="000000"/>
          <w:sz w:val="28"/>
          <w:szCs w:val="28"/>
          <w:lang w:val="es-ES_tradnl"/>
        </w:rPr>
        <w:t xml:space="preserve">también </w:t>
      </w:r>
      <w:r w:rsidR="007F3BDD" w:rsidRPr="0078289D">
        <w:rPr>
          <w:color w:val="000000"/>
          <w:sz w:val="28"/>
          <w:szCs w:val="28"/>
          <w:lang w:val="es-ES_tradnl"/>
        </w:rPr>
        <w:t>con un contrato</w:t>
      </w:r>
      <w:r w:rsidR="007F3BDD" w:rsidRPr="0078289D">
        <w:rPr>
          <w:rStyle w:val="Refdenotaalpie"/>
          <w:sz w:val="28"/>
          <w:szCs w:val="28"/>
          <w:lang w:val="es-ES_tradnl"/>
        </w:rPr>
        <w:footnoteReference w:id="86"/>
      </w:r>
      <w:r w:rsidR="007F3BDD" w:rsidRPr="0078289D">
        <w:rPr>
          <w:color w:val="000000"/>
          <w:sz w:val="28"/>
          <w:szCs w:val="28"/>
          <w:lang w:val="es-ES_tradnl"/>
        </w:rPr>
        <w:t xml:space="preserve">. </w:t>
      </w:r>
      <w:r w:rsidR="003E0F6D" w:rsidRPr="0078289D">
        <w:rPr>
          <w:color w:val="000000"/>
          <w:sz w:val="28"/>
          <w:szCs w:val="28"/>
          <w:lang w:val="es-ES_tradnl"/>
        </w:rPr>
        <w:t>En</w:t>
      </w:r>
      <w:r w:rsidR="007F3BDD" w:rsidRPr="0078289D">
        <w:rPr>
          <w:color w:val="000000"/>
          <w:sz w:val="28"/>
          <w:szCs w:val="28"/>
          <w:lang w:val="es-ES_tradnl"/>
        </w:rPr>
        <w:t xml:space="preserve"> este supuesto, las licencias otorgadas antes de la entrada en vigencia de la prohibición, en las áreas de páramo delimitadas, estarán sujetas a</w:t>
      </w:r>
      <w:r w:rsidR="007F3BDD" w:rsidRPr="0078289D">
        <w:rPr>
          <w:sz w:val="28"/>
          <w:szCs w:val="28"/>
          <w:lang w:val="es-ES_tradnl"/>
        </w:rPr>
        <w:t xml:space="preserve"> </w:t>
      </w:r>
      <w:r w:rsidR="007F3BDD" w:rsidRPr="0078289D">
        <w:rPr>
          <w:color w:val="000000"/>
          <w:sz w:val="28"/>
          <w:szCs w:val="28"/>
          <w:lang w:val="es-ES_tradnl"/>
        </w:rPr>
        <w:t>control, seguimiento y revisión</w:t>
      </w:r>
      <w:r w:rsidR="007F3BDD" w:rsidRPr="0078289D">
        <w:rPr>
          <w:sz w:val="28"/>
          <w:szCs w:val="28"/>
          <w:lang w:val="es-ES_tradnl"/>
        </w:rPr>
        <w:t xml:space="preserve"> </w:t>
      </w:r>
      <w:r w:rsidR="007F3BDD" w:rsidRPr="0078289D">
        <w:rPr>
          <w:color w:val="000000"/>
          <w:sz w:val="28"/>
          <w:szCs w:val="28"/>
          <w:lang w:val="es-ES_tradnl"/>
        </w:rPr>
        <w:t>por parte de las autoridades mineras, de hidrocarburos y ambientales, con base en las directrices que defina el Ministerio de Ambiente y Desarrollo Sostenible para tal efecto.</w:t>
      </w:r>
      <w:r w:rsidR="003E0F6D" w:rsidRPr="0078289D">
        <w:rPr>
          <w:color w:val="000000"/>
          <w:sz w:val="28"/>
          <w:szCs w:val="28"/>
          <w:lang w:val="es-ES_tradnl"/>
        </w:rPr>
        <w:t xml:space="preserve"> Sin embargo, como se analizará m</w:t>
      </w:r>
      <w:r w:rsidR="003377CC" w:rsidRPr="0078289D">
        <w:rPr>
          <w:color w:val="000000"/>
          <w:sz w:val="28"/>
          <w:szCs w:val="28"/>
          <w:lang w:val="es-ES_tradnl"/>
        </w:rPr>
        <w:t>á</w:t>
      </w:r>
      <w:r w:rsidR="003E0F6D" w:rsidRPr="0078289D">
        <w:rPr>
          <w:color w:val="000000"/>
          <w:sz w:val="28"/>
          <w:szCs w:val="28"/>
          <w:lang w:val="es-ES_tradnl"/>
        </w:rPr>
        <w:t xml:space="preserve">s adelante, la disposición no establece en qué consisten, ni cómo se llevan a cabo el control, seguimiento y </w:t>
      </w:r>
      <w:r w:rsidR="00EE5C92" w:rsidRPr="0078289D">
        <w:rPr>
          <w:color w:val="000000"/>
          <w:sz w:val="28"/>
          <w:szCs w:val="28"/>
          <w:lang w:val="es-ES_tradnl"/>
        </w:rPr>
        <w:t xml:space="preserve">revisión al que están sujetas </w:t>
      </w:r>
      <w:r w:rsidR="00427D47" w:rsidRPr="0078289D">
        <w:rPr>
          <w:color w:val="000000"/>
          <w:sz w:val="28"/>
          <w:szCs w:val="28"/>
          <w:lang w:val="es-ES_tradnl"/>
        </w:rPr>
        <w:t>estas</w:t>
      </w:r>
      <w:r w:rsidR="00EE5C92" w:rsidRPr="0078289D">
        <w:rPr>
          <w:color w:val="000000"/>
          <w:sz w:val="28"/>
          <w:szCs w:val="28"/>
          <w:lang w:val="es-ES_tradnl"/>
        </w:rPr>
        <w:t xml:space="preserve"> licencias.</w:t>
      </w:r>
    </w:p>
    <w:p w:rsidR="00BA1021" w:rsidRPr="0078289D" w:rsidRDefault="00BA1021"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A1021"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Adicionalmente, </w:t>
      </w:r>
      <w:r w:rsidR="00EE5C92" w:rsidRPr="0078289D">
        <w:rPr>
          <w:color w:val="000000"/>
          <w:sz w:val="28"/>
          <w:szCs w:val="28"/>
          <w:lang w:val="es-ES_tradnl"/>
        </w:rPr>
        <w:t>la disposición acusada</w:t>
      </w:r>
      <w:r w:rsidRPr="0078289D">
        <w:rPr>
          <w:color w:val="000000"/>
          <w:sz w:val="28"/>
          <w:szCs w:val="28"/>
          <w:lang w:val="es-ES_tradnl"/>
        </w:rPr>
        <w:t xml:space="preserve"> establece de manera genérica que el incumplimiento de los términos y condiciones en los cuales se otorgaron las autorizaciones mine</w:t>
      </w:r>
      <w:r w:rsidR="008D0002" w:rsidRPr="0078289D">
        <w:rPr>
          <w:color w:val="000000"/>
          <w:sz w:val="28"/>
          <w:szCs w:val="28"/>
          <w:lang w:val="es-ES_tradnl"/>
        </w:rPr>
        <w:t>ras o ambientales sobre páramos</w:t>
      </w:r>
      <w:r w:rsidRPr="0078289D">
        <w:rPr>
          <w:color w:val="000000"/>
          <w:sz w:val="28"/>
          <w:szCs w:val="28"/>
          <w:lang w:val="es-ES_tradnl"/>
        </w:rPr>
        <w:t xml:space="preserve"> dará lugar a la caducidad del título minero</w:t>
      </w:r>
      <w:r w:rsidR="008D0002" w:rsidRPr="0078289D">
        <w:rPr>
          <w:color w:val="000000"/>
          <w:sz w:val="28"/>
          <w:szCs w:val="28"/>
          <w:lang w:val="es-ES_tradnl"/>
        </w:rPr>
        <w:t>,</w:t>
      </w:r>
      <w:r w:rsidRPr="0078289D">
        <w:rPr>
          <w:color w:val="000000"/>
          <w:sz w:val="28"/>
          <w:szCs w:val="28"/>
          <w:lang w:val="es-ES_tradnl"/>
        </w:rPr>
        <w:t xml:space="preserve"> o </w:t>
      </w:r>
      <w:r w:rsidR="008D0002" w:rsidRPr="0078289D">
        <w:rPr>
          <w:color w:val="000000"/>
          <w:sz w:val="28"/>
          <w:szCs w:val="28"/>
          <w:lang w:val="es-ES_tradnl"/>
        </w:rPr>
        <w:t xml:space="preserve">a </w:t>
      </w:r>
      <w:r w:rsidRPr="0078289D">
        <w:rPr>
          <w:color w:val="000000"/>
          <w:sz w:val="28"/>
          <w:szCs w:val="28"/>
          <w:lang w:val="es-ES_tradnl"/>
        </w:rPr>
        <w:t>la revocatoria directa de la licencia ambiental</w:t>
      </w:r>
      <w:r w:rsidR="008D0002" w:rsidRPr="0078289D">
        <w:rPr>
          <w:color w:val="000000"/>
          <w:sz w:val="28"/>
          <w:szCs w:val="28"/>
          <w:lang w:val="es-ES_tradnl"/>
        </w:rPr>
        <w:t>,</w:t>
      </w:r>
      <w:r w:rsidRPr="0078289D">
        <w:rPr>
          <w:color w:val="000000"/>
          <w:sz w:val="28"/>
          <w:szCs w:val="28"/>
          <w:lang w:val="es-ES_tradnl"/>
        </w:rPr>
        <w:t xml:space="preserve"> sin el consentimiento del titular y sin lugar a compensación alguna.</w:t>
      </w:r>
    </w:p>
    <w:p w:rsidR="00BA1021" w:rsidRPr="0078289D" w:rsidRDefault="00BA1021"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A1021" w:rsidRPr="0078289D" w:rsidRDefault="00591EC3"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sz w:val="28"/>
          <w:szCs w:val="28"/>
          <w:lang w:val="es-ES_tradnl"/>
        </w:rPr>
        <w:t xml:space="preserve">118. </w:t>
      </w:r>
      <w:r w:rsidR="007F3BDD" w:rsidRPr="0078289D">
        <w:rPr>
          <w:color w:val="000000"/>
          <w:sz w:val="28"/>
          <w:szCs w:val="28"/>
          <w:bdr w:val="none" w:sz="0" w:space="0" w:color="auto" w:frame="1"/>
          <w:lang w:val="es-ES_tradnl"/>
        </w:rPr>
        <w:t xml:space="preserve">La </w:t>
      </w:r>
      <w:r w:rsidR="007F3BDD" w:rsidRPr="0078289D">
        <w:rPr>
          <w:b/>
          <w:color w:val="000000"/>
          <w:sz w:val="28"/>
          <w:szCs w:val="28"/>
          <w:bdr w:val="none" w:sz="0" w:space="0" w:color="auto" w:frame="1"/>
          <w:lang w:val="es-ES_tradnl"/>
        </w:rPr>
        <w:t>tercera situación</w:t>
      </w:r>
      <w:r w:rsidR="007F3BDD" w:rsidRPr="0078289D">
        <w:rPr>
          <w:color w:val="000000"/>
          <w:sz w:val="28"/>
          <w:szCs w:val="28"/>
          <w:bdr w:val="none" w:sz="0" w:space="0" w:color="auto" w:frame="1"/>
          <w:lang w:val="es-ES_tradnl"/>
        </w:rPr>
        <w:t xml:space="preserve"> que regula la norma acusada </w:t>
      </w:r>
      <w:r w:rsidR="00537EB1" w:rsidRPr="0078289D">
        <w:rPr>
          <w:color w:val="000000"/>
          <w:sz w:val="28"/>
          <w:szCs w:val="28"/>
          <w:bdr w:val="none" w:sz="0" w:space="0" w:color="auto" w:frame="1"/>
          <w:lang w:val="es-ES_tradnl"/>
        </w:rPr>
        <w:t xml:space="preserve">también </w:t>
      </w:r>
      <w:r w:rsidR="008D0002" w:rsidRPr="0078289D">
        <w:rPr>
          <w:color w:val="000000"/>
          <w:sz w:val="28"/>
          <w:szCs w:val="28"/>
          <w:bdr w:val="none" w:sz="0" w:space="0" w:color="auto" w:frame="1"/>
          <w:lang w:val="es-ES_tradnl"/>
        </w:rPr>
        <w:t>se refiere a</w:t>
      </w:r>
      <w:r w:rsidR="007F3BDD" w:rsidRPr="0078289D">
        <w:rPr>
          <w:color w:val="000000"/>
          <w:sz w:val="28"/>
          <w:szCs w:val="28"/>
          <w:bdr w:val="none" w:sz="0" w:space="0" w:color="auto" w:frame="1"/>
          <w:lang w:val="es-ES_tradnl"/>
        </w:rPr>
        <w:t xml:space="preserve"> </w:t>
      </w:r>
      <w:r w:rsidR="007F3BDD" w:rsidRPr="0078289D">
        <w:rPr>
          <w:color w:val="000000"/>
          <w:sz w:val="28"/>
          <w:szCs w:val="28"/>
          <w:lang w:val="es-ES_tradnl"/>
        </w:rPr>
        <w:t>las actividades mineras que cuenten con licencia ambiental</w:t>
      </w:r>
      <w:r w:rsidR="00537EB1" w:rsidRPr="0078289D">
        <w:rPr>
          <w:color w:val="000000"/>
          <w:sz w:val="28"/>
          <w:szCs w:val="28"/>
          <w:lang w:val="es-ES_tradnl"/>
        </w:rPr>
        <w:t>, sin especificar si se incluyen aquellas que adicionalmente tienen un contrato de concesión</w:t>
      </w:r>
      <w:r w:rsidR="00512378" w:rsidRPr="0078289D">
        <w:rPr>
          <w:color w:val="000000"/>
          <w:sz w:val="28"/>
          <w:szCs w:val="28"/>
          <w:lang w:val="es-ES_tradnl"/>
        </w:rPr>
        <w:t xml:space="preserve"> o no</w:t>
      </w:r>
      <w:r w:rsidR="007F3BDD" w:rsidRPr="0078289D">
        <w:rPr>
          <w:color w:val="000000"/>
          <w:sz w:val="28"/>
          <w:szCs w:val="28"/>
          <w:lang w:val="es-ES_tradnl"/>
        </w:rPr>
        <w:t xml:space="preserve">. En este caso, la norma dispone que aún en el evento </w:t>
      </w:r>
      <w:r w:rsidR="002A3AB5" w:rsidRPr="0078289D">
        <w:rPr>
          <w:color w:val="000000"/>
          <w:sz w:val="28"/>
          <w:szCs w:val="28"/>
          <w:lang w:val="es-ES_tradnl"/>
        </w:rPr>
        <w:t xml:space="preserve">en el cual </w:t>
      </w:r>
      <w:r w:rsidR="00E55B3B" w:rsidRPr="0078289D">
        <w:rPr>
          <w:color w:val="000000"/>
          <w:sz w:val="28"/>
          <w:szCs w:val="28"/>
          <w:lang w:val="es-ES_tradnl"/>
        </w:rPr>
        <w:t>una persona cuente</w:t>
      </w:r>
      <w:r w:rsidR="007F3BDD" w:rsidRPr="0078289D">
        <w:rPr>
          <w:color w:val="000000"/>
          <w:sz w:val="28"/>
          <w:szCs w:val="28"/>
          <w:lang w:val="es-ES_tradnl"/>
        </w:rPr>
        <w:t xml:space="preserve"> </w:t>
      </w:r>
      <w:r w:rsidR="00E55B3B" w:rsidRPr="0078289D">
        <w:rPr>
          <w:color w:val="000000"/>
          <w:sz w:val="28"/>
          <w:szCs w:val="28"/>
          <w:lang w:val="es-ES_tradnl"/>
        </w:rPr>
        <w:t>con un</w:t>
      </w:r>
      <w:r w:rsidR="007F3BDD" w:rsidRPr="0078289D">
        <w:rPr>
          <w:color w:val="000000"/>
          <w:sz w:val="28"/>
          <w:szCs w:val="28"/>
          <w:lang w:val="es-ES_tradnl"/>
        </w:rPr>
        <w:t>a licencia ambiental, si no es posible prevenir, mitigar, corregir o compensar los posibles daños ambientales sobre el ecosistema de páramo, la actividad minera no podrá seguir desarrollándose.</w:t>
      </w:r>
    </w:p>
    <w:p w:rsidR="00BA1021" w:rsidRPr="0078289D" w:rsidRDefault="00BA1021"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9C5842" w:rsidRPr="0078289D" w:rsidRDefault="00591EC3"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119.</w:t>
      </w:r>
      <w:r w:rsidR="004C7657" w:rsidRPr="0078289D">
        <w:rPr>
          <w:color w:val="000000"/>
          <w:sz w:val="28"/>
          <w:szCs w:val="28"/>
          <w:lang w:val="es-ES_tradnl"/>
        </w:rPr>
        <w:tab/>
      </w:r>
      <w:r w:rsidR="0073256F" w:rsidRPr="0078289D">
        <w:rPr>
          <w:color w:val="000000"/>
          <w:sz w:val="28"/>
          <w:szCs w:val="28"/>
          <w:lang w:val="es-ES_tradnl"/>
        </w:rPr>
        <w:t>En términos generales,</w:t>
      </w:r>
      <w:r w:rsidR="004C7657" w:rsidRPr="0078289D">
        <w:rPr>
          <w:color w:val="000000"/>
          <w:sz w:val="28"/>
          <w:szCs w:val="28"/>
          <w:lang w:val="es-ES_tradnl"/>
        </w:rPr>
        <w:t xml:space="preserve"> los primeros tres incisos del parágrafo primero del artículo 173 de la Ley 1753 de 2015 </w:t>
      </w:r>
      <w:r w:rsidR="00B41FE9" w:rsidRPr="0078289D">
        <w:rPr>
          <w:color w:val="000000"/>
          <w:sz w:val="28"/>
          <w:szCs w:val="28"/>
          <w:lang w:val="es-ES_tradnl"/>
        </w:rPr>
        <w:t xml:space="preserve">restablecen la posibilidad de que los particulares </w:t>
      </w:r>
      <w:r w:rsidR="004B595A" w:rsidRPr="0078289D">
        <w:rPr>
          <w:color w:val="000000"/>
          <w:sz w:val="28"/>
          <w:szCs w:val="28"/>
          <w:lang w:val="es-ES_tradnl"/>
        </w:rPr>
        <w:t>desarrollen</w:t>
      </w:r>
      <w:r w:rsidR="00B41FE9" w:rsidRPr="0078289D">
        <w:rPr>
          <w:color w:val="000000"/>
          <w:sz w:val="28"/>
          <w:szCs w:val="28"/>
          <w:lang w:val="es-ES_tradnl"/>
        </w:rPr>
        <w:t xml:space="preserve"> proyectos y actividades de exploración y explotación </w:t>
      </w:r>
      <w:r w:rsidR="008A5E28" w:rsidRPr="0078289D">
        <w:rPr>
          <w:color w:val="000000"/>
          <w:sz w:val="28"/>
          <w:szCs w:val="28"/>
          <w:lang w:val="es-ES_tradnl"/>
        </w:rPr>
        <w:t xml:space="preserve">de </w:t>
      </w:r>
      <w:r w:rsidR="00486EDA" w:rsidRPr="0078289D">
        <w:rPr>
          <w:color w:val="000000"/>
          <w:sz w:val="28"/>
          <w:szCs w:val="28"/>
          <w:lang w:val="es-ES_tradnl"/>
        </w:rPr>
        <w:t xml:space="preserve">recursos mineros y de hidrocarburos, </w:t>
      </w:r>
      <w:r w:rsidR="004B595A" w:rsidRPr="0078289D">
        <w:rPr>
          <w:color w:val="000000"/>
          <w:sz w:val="28"/>
          <w:szCs w:val="28"/>
          <w:lang w:val="es-ES_tradnl"/>
        </w:rPr>
        <w:t>la</w:t>
      </w:r>
      <w:r w:rsidR="002720FC" w:rsidRPr="0078289D">
        <w:rPr>
          <w:color w:val="000000"/>
          <w:sz w:val="28"/>
          <w:szCs w:val="28"/>
          <w:lang w:val="es-ES_tradnl"/>
        </w:rPr>
        <w:t>s</w:t>
      </w:r>
      <w:r w:rsidR="004B595A" w:rsidRPr="0078289D">
        <w:rPr>
          <w:color w:val="000000"/>
          <w:sz w:val="28"/>
          <w:szCs w:val="28"/>
          <w:lang w:val="es-ES_tradnl"/>
        </w:rPr>
        <w:t xml:space="preserve"> cual</w:t>
      </w:r>
      <w:r w:rsidR="002720FC" w:rsidRPr="0078289D">
        <w:rPr>
          <w:color w:val="000000"/>
          <w:sz w:val="28"/>
          <w:szCs w:val="28"/>
          <w:lang w:val="es-ES_tradnl"/>
        </w:rPr>
        <w:t>es</w:t>
      </w:r>
      <w:r w:rsidR="004B595A" w:rsidRPr="0078289D">
        <w:rPr>
          <w:color w:val="000000"/>
          <w:sz w:val="28"/>
          <w:szCs w:val="28"/>
          <w:lang w:val="es-ES_tradnl"/>
        </w:rPr>
        <w:t xml:space="preserve"> se había</w:t>
      </w:r>
      <w:r w:rsidR="002720FC" w:rsidRPr="0078289D">
        <w:rPr>
          <w:color w:val="000000"/>
          <w:sz w:val="28"/>
          <w:szCs w:val="28"/>
          <w:lang w:val="es-ES_tradnl"/>
        </w:rPr>
        <w:t>n</w:t>
      </w:r>
      <w:r w:rsidR="009C5842" w:rsidRPr="0078289D">
        <w:rPr>
          <w:color w:val="000000"/>
          <w:sz w:val="28"/>
          <w:szCs w:val="28"/>
          <w:lang w:val="es-ES_tradnl"/>
        </w:rPr>
        <w:t xml:space="preserve"> prohibido en las L</w:t>
      </w:r>
      <w:r w:rsidR="004B595A" w:rsidRPr="0078289D">
        <w:rPr>
          <w:color w:val="000000"/>
          <w:sz w:val="28"/>
          <w:szCs w:val="28"/>
          <w:lang w:val="es-ES_tradnl"/>
        </w:rPr>
        <w:t xml:space="preserve">eyes </w:t>
      </w:r>
      <w:r w:rsidR="008677B1" w:rsidRPr="0078289D">
        <w:rPr>
          <w:color w:val="000000"/>
          <w:sz w:val="28"/>
          <w:szCs w:val="28"/>
          <w:lang w:val="es-ES_tradnl"/>
        </w:rPr>
        <w:t xml:space="preserve">1382 de 2010 y 1450 de 2011. </w:t>
      </w:r>
      <w:r w:rsidR="009C5842" w:rsidRPr="0078289D">
        <w:rPr>
          <w:color w:val="000000"/>
          <w:sz w:val="28"/>
          <w:szCs w:val="28"/>
          <w:lang w:val="es-ES_tradnl"/>
        </w:rPr>
        <w:t xml:space="preserve">En efecto, estas disposiciones están dirigidas a evitar la ocurrencia de la pérdida de fuerza ejecutoria de los actos administrativos que se expidieron con anterioridad a la prohibición indicada, pues al haberse modificado la norma con base en la cual se expidieron, dichas decisiones administrativas decaerían. </w:t>
      </w:r>
    </w:p>
    <w:p w:rsidR="009C5842" w:rsidRPr="0078289D" w:rsidRDefault="009C5842"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0B2270" w:rsidRPr="0078289D" w:rsidRDefault="0078076A"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En esa medida, </w:t>
      </w:r>
      <w:r w:rsidR="00422221" w:rsidRPr="0078289D">
        <w:rPr>
          <w:color w:val="000000"/>
          <w:sz w:val="28"/>
          <w:szCs w:val="28"/>
          <w:lang w:val="es-ES_tradnl"/>
        </w:rPr>
        <w:t xml:space="preserve">la disposición demandada </w:t>
      </w:r>
      <w:r w:rsidR="009C5842" w:rsidRPr="0078289D">
        <w:rPr>
          <w:color w:val="000000"/>
          <w:sz w:val="28"/>
          <w:szCs w:val="28"/>
          <w:lang w:val="es-ES_tradnl"/>
        </w:rPr>
        <w:t>revive</w:t>
      </w:r>
      <w:r w:rsidR="00422221" w:rsidRPr="0078289D">
        <w:rPr>
          <w:color w:val="000000"/>
          <w:sz w:val="28"/>
          <w:szCs w:val="28"/>
          <w:lang w:val="es-ES_tradnl"/>
        </w:rPr>
        <w:t xml:space="preserve"> </w:t>
      </w:r>
      <w:r w:rsidR="00D12B8C" w:rsidRPr="0078289D">
        <w:rPr>
          <w:color w:val="000000"/>
          <w:sz w:val="28"/>
          <w:szCs w:val="28"/>
          <w:lang w:val="es-ES_tradnl"/>
        </w:rPr>
        <w:t xml:space="preserve">el fundamento jurídico </w:t>
      </w:r>
      <w:r w:rsidR="002720FC" w:rsidRPr="0078289D">
        <w:rPr>
          <w:color w:val="000000"/>
          <w:sz w:val="28"/>
          <w:szCs w:val="28"/>
          <w:lang w:val="es-ES_tradnl"/>
        </w:rPr>
        <w:t>con base en el cual</w:t>
      </w:r>
      <w:r w:rsidR="00D12B8C" w:rsidRPr="0078289D">
        <w:rPr>
          <w:color w:val="000000"/>
          <w:sz w:val="28"/>
          <w:szCs w:val="28"/>
          <w:lang w:val="es-ES_tradnl"/>
        </w:rPr>
        <w:t xml:space="preserve"> </w:t>
      </w:r>
      <w:r w:rsidR="00B0145A" w:rsidRPr="0078289D">
        <w:rPr>
          <w:color w:val="000000"/>
          <w:sz w:val="28"/>
          <w:szCs w:val="28"/>
          <w:lang w:val="es-ES_tradnl"/>
        </w:rPr>
        <w:t xml:space="preserve">la Administración </w:t>
      </w:r>
      <w:r w:rsidR="00DB701E" w:rsidRPr="0078289D">
        <w:rPr>
          <w:color w:val="000000"/>
          <w:sz w:val="28"/>
          <w:szCs w:val="28"/>
          <w:lang w:val="es-ES_tradnl"/>
        </w:rPr>
        <w:t>expidió</w:t>
      </w:r>
      <w:r w:rsidR="00422221" w:rsidRPr="0078289D">
        <w:rPr>
          <w:color w:val="000000"/>
          <w:sz w:val="28"/>
          <w:szCs w:val="28"/>
          <w:lang w:val="es-ES_tradnl"/>
        </w:rPr>
        <w:t xml:space="preserve"> licencias ambientales y </w:t>
      </w:r>
      <w:r w:rsidR="00DB701E" w:rsidRPr="0078289D">
        <w:rPr>
          <w:color w:val="000000"/>
          <w:sz w:val="28"/>
          <w:szCs w:val="28"/>
          <w:lang w:val="es-ES_tradnl"/>
        </w:rPr>
        <w:t>suscribió</w:t>
      </w:r>
      <w:r w:rsidR="002720FC" w:rsidRPr="0078289D">
        <w:rPr>
          <w:color w:val="000000"/>
          <w:sz w:val="28"/>
          <w:szCs w:val="28"/>
          <w:lang w:val="es-ES_tradnl"/>
        </w:rPr>
        <w:t xml:space="preserve"> </w:t>
      </w:r>
      <w:r w:rsidR="00422221" w:rsidRPr="0078289D">
        <w:rPr>
          <w:color w:val="000000"/>
          <w:sz w:val="28"/>
          <w:szCs w:val="28"/>
          <w:lang w:val="es-ES_tradnl"/>
        </w:rPr>
        <w:t>contratos de concesión</w:t>
      </w:r>
      <w:r w:rsidR="00DB701E" w:rsidRPr="0078289D">
        <w:rPr>
          <w:color w:val="000000"/>
          <w:sz w:val="28"/>
          <w:szCs w:val="28"/>
          <w:lang w:val="es-ES_tradnl"/>
        </w:rPr>
        <w:t>,</w:t>
      </w:r>
      <w:r w:rsidR="00422221" w:rsidRPr="0078289D">
        <w:rPr>
          <w:color w:val="000000"/>
          <w:sz w:val="28"/>
          <w:szCs w:val="28"/>
          <w:lang w:val="es-ES_tradnl"/>
        </w:rPr>
        <w:t xml:space="preserve"> </w:t>
      </w:r>
      <w:r w:rsidR="002D6A2A" w:rsidRPr="0078289D">
        <w:rPr>
          <w:color w:val="000000"/>
          <w:sz w:val="28"/>
          <w:szCs w:val="28"/>
          <w:lang w:val="es-ES_tradnl"/>
        </w:rPr>
        <w:t xml:space="preserve">que </w:t>
      </w:r>
      <w:r w:rsidR="00D12B8C" w:rsidRPr="0078289D">
        <w:rPr>
          <w:color w:val="000000"/>
          <w:sz w:val="28"/>
          <w:szCs w:val="28"/>
          <w:lang w:val="es-ES_tradnl"/>
        </w:rPr>
        <w:t>lo habían</w:t>
      </w:r>
      <w:r w:rsidR="002A3262" w:rsidRPr="0078289D">
        <w:rPr>
          <w:color w:val="000000"/>
          <w:sz w:val="28"/>
          <w:szCs w:val="28"/>
          <w:lang w:val="es-ES_tradnl"/>
        </w:rPr>
        <w:t xml:space="preserve"> perdido </w:t>
      </w:r>
      <w:r w:rsidR="0014769A" w:rsidRPr="0078289D">
        <w:rPr>
          <w:color w:val="000000"/>
          <w:sz w:val="28"/>
          <w:szCs w:val="28"/>
          <w:lang w:val="es-ES_tradnl"/>
        </w:rPr>
        <w:t>al entrar en vigor las prohibicion</w:t>
      </w:r>
      <w:r w:rsidR="003D3A94" w:rsidRPr="0078289D">
        <w:rPr>
          <w:color w:val="000000"/>
          <w:sz w:val="28"/>
          <w:szCs w:val="28"/>
          <w:lang w:val="es-ES_tradnl"/>
        </w:rPr>
        <w:t>es contempladas en el artículo 3</w:t>
      </w:r>
      <w:r w:rsidR="0014769A" w:rsidRPr="0078289D">
        <w:rPr>
          <w:color w:val="000000"/>
          <w:sz w:val="28"/>
          <w:szCs w:val="28"/>
          <w:lang w:val="es-ES_tradnl"/>
        </w:rPr>
        <w:t>º de la Ley 1382 de 2010</w:t>
      </w:r>
      <w:r w:rsidR="003723D9" w:rsidRPr="0078289D">
        <w:rPr>
          <w:color w:val="000000"/>
          <w:sz w:val="28"/>
          <w:szCs w:val="28"/>
          <w:lang w:val="es-ES_tradnl"/>
        </w:rPr>
        <w:t>,</w:t>
      </w:r>
      <w:r w:rsidR="0014769A" w:rsidRPr="0078289D">
        <w:rPr>
          <w:color w:val="000000"/>
          <w:sz w:val="28"/>
          <w:szCs w:val="28"/>
          <w:lang w:val="es-ES_tradnl"/>
        </w:rPr>
        <w:t xml:space="preserve"> y en el </w:t>
      </w:r>
      <w:r w:rsidR="003D3A94" w:rsidRPr="0078289D">
        <w:rPr>
          <w:color w:val="000000"/>
          <w:sz w:val="28"/>
          <w:szCs w:val="28"/>
          <w:lang w:val="es-ES_tradnl"/>
        </w:rPr>
        <w:t xml:space="preserve">parágrafo segundo del </w:t>
      </w:r>
      <w:r w:rsidR="0014769A" w:rsidRPr="0078289D">
        <w:rPr>
          <w:color w:val="000000"/>
          <w:sz w:val="28"/>
          <w:szCs w:val="28"/>
          <w:lang w:val="es-ES_tradnl"/>
        </w:rPr>
        <w:t xml:space="preserve">artículo 202 de la Ley 1450 de 2011. </w:t>
      </w:r>
    </w:p>
    <w:p w:rsidR="000B2270" w:rsidRPr="0078289D" w:rsidRDefault="000B2270"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2A3AB5" w:rsidRPr="0078289D" w:rsidRDefault="004C7657"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color w:val="000000"/>
          <w:sz w:val="28"/>
          <w:szCs w:val="28"/>
          <w:lang w:val="es-ES_tradnl"/>
        </w:rPr>
        <w:t>120.</w:t>
      </w:r>
      <w:r w:rsidRPr="0078289D">
        <w:rPr>
          <w:color w:val="000000"/>
          <w:sz w:val="28"/>
          <w:szCs w:val="28"/>
          <w:lang w:val="es-ES_tradnl"/>
        </w:rPr>
        <w:tab/>
      </w:r>
      <w:r w:rsidR="007F3BDD" w:rsidRPr="0078289D">
        <w:rPr>
          <w:color w:val="000000"/>
          <w:sz w:val="28"/>
          <w:szCs w:val="28"/>
          <w:lang w:val="es-ES_tradnl"/>
        </w:rPr>
        <w:t>Los demandantes consideran que la disposición demandada vulnera los derechos i) al ambiente sano, ii) al agua, y iii) al patrimonio público</w:t>
      </w:r>
      <w:r w:rsidR="00023529" w:rsidRPr="0078289D">
        <w:rPr>
          <w:color w:val="000000"/>
          <w:sz w:val="28"/>
          <w:szCs w:val="28"/>
          <w:lang w:val="es-ES_tradnl"/>
        </w:rPr>
        <w:t xml:space="preserve">. </w:t>
      </w:r>
    </w:p>
    <w:p w:rsidR="007F3BDD" w:rsidRPr="0078289D" w:rsidRDefault="007F3BDD" w:rsidP="0078289D">
      <w:pPr>
        <w:pStyle w:val="Ttulo3"/>
        <w:pBdr>
          <w:top w:val="none" w:sz="0" w:space="0" w:color="auto"/>
          <w:left w:val="none" w:sz="0" w:space="0" w:color="auto"/>
          <w:bottom w:val="none" w:sz="0" w:space="0" w:color="auto"/>
          <w:right w:val="none" w:sz="0" w:space="0" w:color="auto"/>
        </w:pBdr>
        <w:spacing w:before="0"/>
        <w:jc w:val="both"/>
        <w:rPr>
          <w:rFonts w:ascii="Times New Roman" w:hAnsi="Times New Roman"/>
          <w:color w:val="000000"/>
          <w:sz w:val="28"/>
          <w:szCs w:val="28"/>
          <w:bdr w:val="none" w:sz="0" w:space="0" w:color="auto" w:frame="1"/>
          <w:lang w:val="es-ES_tradnl"/>
        </w:rPr>
      </w:pPr>
      <w:r w:rsidRPr="0078289D">
        <w:rPr>
          <w:rFonts w:ascii="Times New Roman" w:hAnsi="Times New Roman"/>
          <w:color w:val="000000"/>
          <w:sz w:val="28"/>
          <w:szCs w:val="28"/>
          <w:lang w:val="es-ES_tradnl"/>
        </w:rPr>
        <w:t>En relación con el derecho al ambiente sano, sostienen que la creación de un régimen de transición que permita el desarrollo de actividades mineras y de hidrocarburos en páramos conllevaría la afectación de los recursos naturales en estos ecosistemas</w:t>
      </w:r>
      <w:r w:rsidR="009D1BB3" w:rsidRPr="0078289D">
        <w:rPr>
          <w:rFonts w:ascii="Times New Roman" w:hAnsi="Times New Roman"/>
          <w:color w:val="000000"/>
          <w:sz w:val="28"/>
          <w:szCs w:val="28"/>
          <w:lang w:val="es-ES_tradnl"/>
        </w:rPr>
        <w:t>,</w:t>
      </w:r>
      <w:r w:rsidRPr="0078289D">
        <w:rPr>
          <w:rFonts w:ascii="Times New Roman" w:hAnsi="Times New Roman"/>
          <w:color w:val="000000"/>
          <w:sz w:val="28"/>
          <w:szCs w:val="28"/>
          <w:lang w:val="es-ES_tradnl"/>
        </w:rPr>
        <w:t xml:space="preserve"> por cuanto </w:t>
      </w:r>
      <w:r w:rsidR="009D1BB3" w:rsidRPr="0078289D">
        <w:rPr>
          <w:rFonts w:ascii="Times New Roman" w:hAnsi="Times New Roman"/>
          <w:color w:val="000000"/>
          <w:sz w:val="28"/>
          <w:szCs w:val="28"/>
          <w:lang w:val="es-ES_tradnl"/>
        </w:rPr>
        <w:t>tales</w:t>
      </w:r>
      <w:r w:rsidRPr="0078289D">
        <w:rPr>
          <w:rFonts w:ascii="Times New Roman" w:hAnsi="Times New Roman"/>
          <w:color w:val="000000"/>
          <w:sz w:val="28"/>
          <w:szCs w:val="28"/>
          <w:lang w:val="es-ES_tradnl"/>
        </w:rPr>
        <w:t xml:space="preserve"> actividades </w:t>
      </w:r>
      <w:r w:rsidRPr="0078289D">
        <w:rPr>
          <w:rFonts w:ascii="Times New Roman" w:hAnsi="Times New Roman"/>
          <w:color w:val="000000"/>
          <w:sz w:val="28"/>
          <w:szCs w:val="28"/>
          <w:bdr w:val="none" w:sz="0" w:space="0" w:color="auto" w:frame="1"/>
          <w:lang w:val="es-ES_tradnl"/>
        </w:rPr>
        <w:t>acarrean consecuencias negativas en las coberturas vegetales</w:t>
      </w:r>
      <w:r w:rsidR="009D1BB3" w:rsidRPr="0078289D">
        <w:rPr>
          <w:rFonts w:ascii="Times New Roman" w:hAnsi="Times New Roman"/>
          <w:color w:val="000000"/>
          <w:sz w:val="28"/>
          <w:szCs w:val="28"/>
          <w:bdr w:val="none" w:sz="0" w:space="0" w:color="auto" w:frame="1"/>
          <w:lang w:val="es-ES_tradnl"/>
        </w:rPr>
        <w:t>,</w:t>
      </w:r>
      <w:r w:rsidRPr="0078289D">
        <w:rPr>
          <w:rFonts w:ascii="Times New Roman" w:hAnsi="Times New Roman"/>
          <w:color w:val="000000"/>
          <w:sz w:val="28"/>
          <w:szCs w:val="28"/>
          <w:bdr w:val="none" w:sz="0" w:space="0" w:color="auto" w:frame="1"/>
          <w:lang w:val="es-ES_tradnl"/>
        </w:rPr>
        <w:t xml:space="preserve"> </w:t>
      </w:r>
      <w:r w:rsidR="009D1BB3" w:rsidRPr="0078289D">
        <w:rPr>
          <w:rFonts w:ascii="Times New Roman" w:hAnsi="Times New Roman"/>
          <w:color w:val="000000"/>
          <w:sz w:val="28"/>
          <w:szCs w:val="28"/>
          <w:bdr w:val="none" w:sz="0" w:space="0" w:color="auto" w:frame="1"/>
          <w:lang w:val="es-ES_tradnl"/>
        </w:rPr>
        <w:t>así como</w:t>
      </w:r>
      <w:r w:rsidRPr="0078289D">
        <w:rPr>
          <w:rFonts w:ascii="Times New Roman" w:hAnsi="Times New Roman"/>
          <w:color w:val="000000"/>
          <w:sz w:val="28"/>
          <w:szCs w:val="28"/>
          <w:bdr w:val="none" w:sz="0" w:space="0" w:color="auto" w:frame="1"/>
          <w:lang w:val="es-ES_tradnl"/>
        </w:rPr>
        <w:t xml:space="preserve"> cambios geomorfológicos y físico-químicos en el suelo y subsuelo.</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bdr w:val="none" w:sz="0" w:space="0" w:color="auto" w:frame="1"/>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bdr w:val="none" w:sz="0" w:space="0" w:color="auto" w:frame="1"/>
          <w:lang w:val="es-ES_tradnl"/>
        </w:rPr>
      </w:pPr>
      <w:r w:rsidRPr="0078289D">
        <w:rPr>
          <w:color w:val="000000"/>
          <w:sz w:val="28"/>
          <w:szCs w:val="28"/>
          <w:bdr w:val="none" w:sz="0" w:space="0" w:color="auto" w:frame="1"/>
          <w:lang w:val="es-ES_tradnl"/>
        </w:rPr>
        <w:t xml:space="preserve">Respecto del derecho al agua, los demandantes aducen que resulta inconstitucional autorizar el desarrollo de actividades mineras y de hidrocarburos en zonas de páramo, debido a que se desconoce la obligación del Estado de </w:t>
      </w:r>
      <w:r w:rsidR="00494683" w:rsidRPr="0078289D">
        <w:rPr>
          <w:color w:val="000000"/>
          <w:sz w:val="28"/>
          <w:szCs w:val="28"/>
          <w:bdr w:val="none" w:sz="0" w:space="0" w:color="auto" w:frame="1"/>
          <w:lang w:val="es-ES_tradnl"/>
        </w:rPr>
        <w:t xml:space="preserve">garantizar </w:t>
      </w:r>
      <w:r w:rsidRPr="0078289D">
        <w:rPr>
          <w:color w:val="000000"/>
          <w:sz w:val="28"/>
          <w:szCs w:val="28"/>
          <w:bdr w:val="none" w:sz="0" w:space="0" w:color="auto" w:frame="1"/>
          <w:lang w:val="es-ES_tradnl"/>
        </w:rPr>
        <w:t xml:space="preserve">el derecho al agua, ya que dichos ecosistemas son una fuente fundamental de agua dulce. En esa medida, el desarrollo de actividades extractivas en estos biomas </w:t>
      </w:r>
      <w:r w:rsidR="00494683" w:rsidRPr="0078289D">
        <w:rPr>
          <w:color w:val="000000"/>
          <w:sz w:val="28"/>
          <w:szCs w:val="28"/>
          <w:bdr w:val="none" w:sz="0" w:space="0" w:color="auto" w:frame="1"/>
          <w:lang w:val="es-ES_tradnl"/>
        </w:rPr>
        <w:t>pone</w:t>
      </w:r>
      <w:r w:rsidRPr="0078289D">
        <w:rPr>
          <w:color w:val="000000"/>
          <w:sz w:val="28"/>
          <w:szCs w:val="28"/>
          <w:bdr w:val="none" w:sz="0" w:space="0" w:color="auto" w:frame="1"/>
          <w:lang w:val="es-ES_tradnl"/>
        </w:rPr>
        <w:t xml:space="preserve"> en peligro el derecho fundamental mencionado en sus componentes de disponibilidad y cantidad.</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bdr w:val="none" w:sz="0" w:space="0" w:color="auto" w:frame="1"/>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bdr w:val="none" w:sz="0" w:space="0" w:color="auto" w:frame="1"/>
          <w:lang w:val="es-ES_tradnl"/>
        </w:rPr>
      </w:pPr>
      <w:r w:rsidRPr="0078289D">
        <w:rPr>
          <w:color w:val="000000"/>
          <w:sz w:val="28"/>
          <w:szCs w:val="28"/>
          <w:bdr w:val="none" w:sz="0" w:space="0" w:color="auto" w:frame="1"/>
          <w:lang w:val="es-ES_tradnl"/>
        </w:rPr>
        <w:t xml:space="preserve">Así mismo, advierten la posible violación </w:t>
      </w:r>
      <w:r w:rsidR="00D32F33" w:rsidRPr="0078289D">
        <w:rPr>
          <w:color w:val="000000"/>
          <w:sz w:val="28"/>
          <w:szCs w:val="28"/>
          <w:bdr w:val="none" w:sz="0" w:space="0" w:color="auto" w:frame="1"/>
          <w:lang w:val="es-ES_tradnl"/>
        </w:rPr>
        <w:t>de</w:t>
      </w:r>
      <w:r w:rsidRPr="0078289D">
        <w:rPr>
          <w:color w:val="000000"/>
          <w:sz w:val="28"/>
          <w:szCs w:val="28"/>
          <w:bdr w:val="none" w:sz="0" w:space="0" w:color="auto" w:frame="1"/>
          <w:lang w:val="es-ES_tradnl"/>
        </w:rPr>
        <w:t>l patrimonio público como consecuencia de los altos costos derivados de los daños ocasionados por las actividades mineras y de hidrocarburos</w:t>
      </w:r>
      <w:r w:rsidR="00384E10" w:rsidRPr="0078289D">
        <w:rPr>
          <w:color w:val="000000"/>
          <w:sz w:val="28"/>
          <w:szCs w:val="28"/>
          <w:bdr w:val="none" w:sz="0" w:space="0" w:color="auto" w:frame="1"/>
          <w:lang w:val="es-ES_tradnl"/>
        </w:rPr>
        <w:t>,</w:t>
      </w:r>
      <w:r w:rsidRPr="0078289D">
        <w:rPr>
          <w:color w:val="000000"/>
          <w:sz w:val="28"/>
          <w:szCs w:val="28"/>
          <w:bdr w:val="none" w:sz="0" w:space="0" w:color="auto" w:frame="1"/>
          <w:lang w:val="es-ES_tradnl"/>
        </w:rPr>
        <w:t xml:space="preserve"> y por aquellos en que tendría que incurrir el Estado para la recuperación de los páramos afectados, así como la consecución de nuevas fuentes de producción de agua dulce para soportar su demanda.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bdr w:val="none" w:sz="0" w:space="0" w:color="auto" w:frame="1"/>
          <w:lang w:val="es-ES_tradnl"/>
        </w:rPr>
      </w:pPr>
    </w:p>
    <w:p w:rsidR="007D7FEE" w:rsidRPr="0078289D" w:rsidRDefault="007F3BDD" w:rsidP="0078289D">
      <w:pPr>
        <w:pStyle w:val="Listavistosa-nfasis11"/>
        <w:spacing w:line="240" w:lineRule="auto"/>
        <w:ind w:left="0"/>
        <w:jc w:val="both"/>
        <w:rPr>
          <w:color w:val="000000"/>
          <w:sz w:val="28"/>
          <w:szCs w:val="28"/>
          <w:bdr w:val="none" w:sz="0" w:space="0" w:color="auto" w:frame="1"/>
          <w:lang w:val="es-ES_tradnl"/>
        </w:rPr>
      </w:pPr>
      <w:r w:rsidRPr="0078289D">
        <w:rPr>
          <w:color w:val="000000"/>
          <w:sz w:val="28"/>
          <w:szCs w:val="28"/>
          <w:bdr w:val="none" w:sz="0" w:space="0" w:color="auto" w:frame="1"/>
          <w:lang w:val="es-ES_tradnl"/>
        </w:rPr>
        <w:t>El Procurador General de la Nación solicita la declaratoria de exequibilidad condicionada del parágrafo primero del artículo 173 de la Ley 1753 de 2015, al considerar que la redacción actual del texto puede llevar a una interpretación que sugiera que el plazo para la adopción de la decisión de suspender el proyecto es indeterminado. Por ende, sugiere que se condicione la interpretación de la norma, bajo el entendido de que la prohibición del desarrollo de las actividades mineras se tome una vez se hayan revisado las licencias ambientales y los efectos que dichas actividades han causado sobre los páramos. Añade que la referida revisión se debería realizar con posterioridad a la entrada en vigencia de la prohibición contenida en el artículo 173 de la Ley 1753 de 2015.</w:t>
      </w:r>
      <w:r w:rsidR="00396B74" w:rsidRPr="0078289D">
        <w:rPr>
          <w:color w:val="000000"/>
          <w:sz w:val="28"/>
          <w:szCs w:val="28"/>
          <w:bdr w:val="none" w:sz="0" w:space="0" w:color="auto" w:frame="1"/>
          <w:lang w:val="es-ES_tradnl"/>
        </w:rPr>
        <w:t xml:space="preserve"> </w:t>
      </w:r>
      <w:r w:rsidRPr="0078289D">
        <w:rPr>
          <w:color w:val="000000"/>
          <w:sz w:val="28"/>
          <w:szCs w:val="28"/>
          <w:bdr w:val="none" w:sz="0" w:space="0" w:color="auto" w:frame="1"/>
          <w:lang w:val="es-ES_tradnl"/>
        </w:rPr>
        <w:t>Finalmente, respecto de la tercera situación contemplada en el texto acusado, solicita que se amplíe el ámbito de aplicación a la actividad de hidrocarburos, pues la norma excluyó de manera injustificada dicha actividad.</w:t>
      </w:r>
    </w:p>
    <w:p w:rsidR="007D7FEE" w:rsidRPr="0078289D" w:rsidRDefault="007D7FEE" w:rsidP="0078289D">
      <w:pPr>
        <w:pStyle w:val="Listavistosa-nfasis11"/>
        <w:spacing w:line="240" w:lineRule="auto"/>
        <w:ind w:left="0"/>
        <w:jc w:val="both"/>
        <w:rPr>
          <w:color w:val="000000"/>
          <w:sz w:val="28"/>
          <w:szCs w:val="28"/>
          <w:bdr w:val="none" w:sz="0" w:space="0" w:color="auto" w:frame="1"/>
          <w:lang w:val="es-ES_tradnl"/>
        </w:rPr>
      </w:pPr>
    </w:p>
    <w:p w:rsidR="00850DD5" w:rsidRPr="0078289D" w:rsidRDefault="007F3BDD" w:rsidP="0078289D">
      <w:pPr>
        <w:pStyle w:val="Listavistosa-nfasis11"/>
        <w:spacing w:line="240" w:lineRule="auto"/>
        <w:ind w:left="0"/>
        <w:jc w:val="both"/>
        <w:rPr>
          <w:color w:val="000000"/>
          <w:sz w:val="28"/>
          <w:szCs w:val="28"/>
          <w:bdr w:val="none" w:sz="0" w:space="0" w:color="auto" w:frame="1"/>
          <w:lang w:val="es-ES_tradnl"/>
        </w:rPr>
      </w:pPr>
      <w:r w:rsidRPr="0078289D">
        <w:rPr>
          <w:color w:val="000000"/>
          <w:sz w:val="28"/>
          <w:szCs w:val="28"/>
          <w:bdr w:val="none" w:sz="0" w:space="0" w:color="auto" w:frame="1"/>
          <w:lang w:val="es-ES_tradnl"/>
        </w:rPr>
        <w:t xml:space="preserve">El Ministerio de Ambiente y Desarrollo Sostenible solicita la declaratoria de exequibilidad de la norma acusada, al considerar que el objetivo de la misma </w:t>
      </w:r>
      <w:r w:rsidRPr="0078289D">
        <w:rPr>
          <w:color w:val="000000"/>
          <w:sz w:val="28"/>
          <w:szCs w:val="28"/>
          <w:bdr w:val="none" w:sz="0" w:space="0" w:color="auto" w:frame="1"/>
          <w:lang w:val="es-ES_tradnl"/>
        </w:rPr>
        <w:lastRenderedPageBreak/>
        <w:t>es proteger de manera especial los ecosistemas de páramo. Así mismo, aduce que la disposición atacada no contempla una excepción a la prohibición de realizar actividades mineras en páramos, sino que da aplicación al principio de legalidad, y particularmente, de irretroactividad de la ley.</w:t>
      </w:r>
    </w:p>
    <w:p w:rsidR="00850DD5" w:rsidRPr="0078289D" w:rsidRDefault="00850DD5" w:rsidP="0078289D">
      <w:pPr>
        <w:pStyle w:val="Listavistosa-nfasis11"/>
        <w:spacing w:line="240" w:lineRule="auto"/>
        <w:ind w:left="0"/>
        <w:jc w:val="both"/>
        <w:rPr>
          <w:color w:val="000000"/>
          <w:sz w:val="28"/>
          <w:szCs w:val="28"/>
          <w:bdr w:val="none" w:sz="0" w:space="0" w:color="auto" w:frame="1"/>
          <w:lang w:val="es-ES_tradnl"/>
        </w:rPr>
      </w:pPr>
    </w:p>
    <w:p w:rsidR="00BF03F5" w:rsidRPr="0078289D" w:rsidRDefault="007F3BDD" w:rsidP="0078289D">
      <w:pPr>
        <w:pStyle w:val="Listavistosa-nfasis11"/>
        <w:spacing w:line="240" w:lineRule="auto"/>
        <w:ind w:left="0"/>
        <w:jc w:val="both"/>
        <w:rPr>
          <w:color w:val="000000"/>
          <w:sz w:val="28"/>
          <w:szCs w:val="28"/>
          <w:bdr w:val="none" w:sz="0" w:space="0" w:color="auto" w:frame="1"/>
          <w:lang w:val="es-ES_tradnl"/>
        </w:rPr>
      </w:pPr>
      <w:r w:rsidRPr="0078289D">
        <w:rPr>
          <w:color w:val="000000"/>
          <w:sz w:val="28"/>
          <w:szCs w:val="28"/>
          <w:bdr w:val="none" w:sz="0" w:space="0" w:color="auto" w:frame="1"/>
          <w:lang w:val="es-ES_tradnl"/>
        </w:rPr>
        <w:t xml:space="preserve">Por el contrario, varias de las intervenciones ciudadanas solicitaron la declaratoria de inexequibilidad de la norma, al considerar que </w:t>
      </w:r>
      <w:r w:rsidR="00396B74" w:rsidRPr="0078289D">
        <w:rPr>
          <w:color w:val="000000"/>
          <w:sz w:val="28"/>
          <w:szCs w:val="28"/>
          <w:bdr w:val="none" w:sz="0" w:space="0" w:color="auto" w:frame="1"/>
          <w:lang w:val="es-ES_tradnl"/>
        </w:rPr>
        <w:t>va en contra</w:t>
      </w:r>
      <w:r w:rsidRPr="0078289D">
        <w:rPr>
          <w:color w:val="000000"/>
          <w:sz w:val="28"/>
          <w:szCs w:val="28"/>
          <w:bdr w:val="none" w:sz="0" w:space="0" w:color="auto" w:frame="1"/>
          <w:lang w:val="es-ES_tradnl"/>
        </w:rPr>
        <w:t xml:space="preserve"> de la obligación del Estado de proteger los recursos naturales, en particular el agua, lo cual es una medida regresiva en materia ambiental.</w:t>
      </w:r>
    </w:p>
    <w:p w:rsidR="00BF03F5" w:rsidRPr="0078289D" w:rsidRDefault="00BF03F5" w:rsidP="0078289D">
      <w:pPr>
        <w:pStyle w:val="Listavistosa-nfasis11"/>
        <w:spacing w:line="240" w:lineRule="auto"/>
        <w:ind w:left="0"/>
        <w:jc w:val="both"/>
        <w:rPr>
          <w:color w:val="000000"/>
          <w:sz w:val="28"/>
          <w:szCs w:val="28"/>
          <w:bdr w:val="none" w:sz="0" w:space="0" w:color="auto" w:frame="1"/>
          <w:lang w:val="es-ES_tradnl"/>
        </w:rPr>
      </w:pPr>
    </w:p>
    <w:p w:rsidR="00B120BC" w:rsidRPr="0078289D" w:rsidRDefault="0025491F" w:rsidP="0078289D">
      <w:pPr>
        <w:pStyle w:val="Listavistosa-nfasis11"/>
        <w:spacing w:line="240" w:lineRule="auto"/>
        <w:ind w:left="0"/>
        <w:jc w:val="both"/>
        <w:rPr>
          <w:color w:val="000000"/>
          <w:sz w:val="28"/>
          <w:szCs w:val="28"/>
          <w:lang w:val="es-ES_tradnl"/>
        </w:rPr>
      </w:pPr>
      <w:r w:rsidRPr="0078289D">
        <w:rPr>
          <w:color w:val="000000"/>
          <w:sz w:val="28"/>
          <w:szCs w:val="28"/>
          <w:lang w:val="es-ES_tradnl"/>
        </w:rPr>
        <w:t xml:space="preserve">122. Teniendo en cuenta el alcance de las disposiciones demandadas, </w:t>
      </w:r>
      <w:r w:rsidR="00864FA5" w:rsidRPr="0078289D">
        <w:rPr>
          <w:color w:val="000000"/>
          <w:sz w:val="28"/>
          <w:szCs w:val="28"/>
          <w:lang w:val="es-ES_tradnl"/>
        </w:rPr>
        <w:t>los cargos planteados</w:t>
      </w:r>
      <w:r w:rsidRPr="0078289D">
        <w:rPr>
          <w:color w:val="000000"/>
          <w:sz w:val="28"/>
          <w:szCs w:val="28"/>
          <w:lang w:val="es-ES_tradnl"/>
        </w:rPr>
        <w:t xml:space="preserve"> </w:t>
      </w:r>
      <w:r w:rsidR="00864FA5" w:rsidRPr="0078289D">
        <w:rPr>
          <w:color w:val="000000"/>
          <w:sz w:val="28"/>
          <w:szCs w:val="28"/>
          <w:lang w:val="es-ES_tradnl"/>
        </w:rPr>
        <w:t>y las intervenciones</w:t>
      </w:r>
      <w:r w:rsidRPr="0078289D">
        <w:rPr>
          <w:color w:val="000000"/>
          <w:sz w:val="28"/>
          <w:szCs w:val="28"/>
          <w:lang w:val="es-ES_tradnl"/>
        </w:rPr>
        <w:t>, e</w:t>
      </w:r>
      <w:r w:rsidR="007F3BDD" w:rsidRPr="0078289D">
        <w:rPr>
          <w:color w:val="000000"/>
          <w:sz w:val="28"/>
          <w:szCs w:val="28"/>
          <w:lang w:val="es-ES_tradnl"/>
        </w:rPr>
        <w:t xml:space="preserve">l problema jurídico que la Corte debe resolver es el siguiente: </w:t>
      </w:r>
    </w:p>
    <w:p w:rsidR="0062678A" w:rsidRPr="0078289D" w:rsidRDefault="0062678A" w:rsidP="0078289D">
      <w:pPr>
        <w:pStyle w:val="Listavistosa-nfasis11"/>
        <w:spacing w:line="240" w:lineRule="auto"/>
        <w:ind w:left="0"/>
        <w:jc w:val="both"/>
        <w:rPr>
          <w:color w:val="000000"/>
          <w:sz w:val="28"/>
          <w:szCs w:val="28"/>
          <w:bdr w:val="none" w:sz="0" w:space="0" w:color="auto" w:frame="1"/>
          <w:lang w:val="es-ES_tradnl"/>
        </w:rPr>
      </w:pPr>
    </w:p>
    <w:p w:rsidR="002A0118" w:rsidRPr="0078289D" w:rsidRDefault="007F3BDD" w:rsidP="0078289D">
      <w:pPr>
        <w:pStyle w:val="Ttulo3"/>
        <w:pBdr>
          <w:top w:val="none" w:sz="0" w:space="0" w:color="auto"/>
          <w:left w:val="none" w:sz="0" w:space="0" w:color="auto"/>
          <w:bottom w:val="none" w:sz="0" w:space="0" w:color="auto"/>
          <w:right w:val="none" w:sz="0" w:space="0" w:color="auto"/>
        </w:pBdr>
        <w:tabs>
          <w:tab w:val="left" w:pos="284"/>
        </w:tabs>
        <w:spacing w:before="0"/>
        <w:jc w:val="both"/>
        <w:rPr>
          <w:rFonts w:ascii="Times New Roman" w:hAnsi="Times New Roman"/>
          <w:color w:val="000000"/>
          <w:sz w:val="28"/>
          <w:szCs w:val="28"/>
          <w:lang w:val="es-ES_tradnl"/>
        </w:rPr>
      </w:pPr>
      <w:r w:rsidRPr="0078289D">
        <w:rPr>
          <w:rFonts w:ascii="Times New Roman" w:hAnsi="Times New Roman"/>
          <w:color w:val="000000"/>
          <w:sz w:val="28"/>
          <w:szCs w:val="28"/>
          <w:lang w:val="es-ES_tradnl"/>
        </w:rPr>
        <w:t>¿</w:t>
      </w:r>
      <w:r w:rsidR="00ED42DC" w:rsidRPr="0078289D">
        <w:rPr>
          <w:rFonts w:ascii="Times New Roman" w:hAnsi="Times New Roman"/>
          <w:color w:val="000000"/>
          <w:sz w:val="28"/>
          <w:szCs w:val="28"/>
          <w:lang w:val="es-ES_tradnl"/>
        </w:rPr>
        <w:t>El restablecimiento</w:t>
      </w:r>
      <w:r w:rsidR="00302CC1" w:rsidRPr="0078289D">
        <w:rPr>
          <w:rFonts w:ascii="Times New Roman" w:hAnsi="Times New Roman"/>
          <w:color w:val="000000"/>
          <w:sz w:val="28"/>
          <w:szCs w:val="28"/>
          <w:lang w:val="es-ES_tradnl"/>
        </w:rPr>
        <w:t xml:space="preserve"> </w:t>
      </w:r>
      <w:r w:rsidR="00ED42DC" w:rsidRPr="0078289D">
        <w:rPr>
          <w:rFonts w:ascii="Times New Roman" w:hAnsi="Times New Roman"/>
          <w:color w:val="000000"/>
          <w:sz w:val="28"/>
          <w:szCs w:val="28"/>
          <w:lang w:val="es-ES_tradnl"/>
        </w:rPr>
        <w:t xml:space="preserve">de los fundamentos jurídicos </w:t>
      </w:r>
      <w:r w:rsidR="00E47A8B" w:rsidRPr="0078289D">
        <w:rPr>
          <w:rFonts w:ascii="Times New Roman" w:hAnsi="Times New Roman"/>
          <w:color w:val="000000"/>
          <w:sz w:val="28"/>
          <w:szCs w:val="28"/>
          <w:lang w:val="es-ES_tradnl"/>
        </w:rPr>
        <w:t xml:space="preserve">con base en los cuales </w:t>
      </w:r>
      <w:r w:rsidR="002C0094" w:rsidRPr="0078289D">
        <w:rPr>
          <w:rFonts w:ascii="Times New Roman" w:hAnsi="Times New Roman"/>
          <w:color w:val="000000"/>
          <w:sz w:val="28"/>
          <w:szCs w:val="28"/>
          <w:lang w:val="es-ES_tradnl"/>
        </w:rPr>
        <w:t>la Administración otorgó</w:t>
      </w:r>
      <w:r w:rsidR="00ED42DC" w:rsidRPr="0078289D">
        <w:rPr>
          <w:rFonts w:ascii="Times New Roman" w:hAnsi="Times New Roman"/>
          <w:color w:val="000000"/>
          <w:sz w:val="28"/>
          <w:szCs w:val="28"/>
          <w:lang w:val="es-ES_tradnl"/>
        </w:rPr>
        <w:t xml:space="preserve"> </w:t>
      </w:r>
      <w:r w:rsidR="008D1EDB" w:rsidRPr="0078289D">
        <w:rPr>
          <w:rFonts w:ascii="Times New Roman" w:hAnsi="Times New Roman"/>
          <w:color w:val="000000"/>
          <w:sz w:val="28"/>
          <w:szCs w:val="28"/>
          <w:lang w:val="es-ES_tradnl"/>
        </w:rPr>
        <w:t>licencias ambientales</w:t>
      </w:r>
      <w:r w:rsidR="003920B2" w:rsidRPr="0078289D">
        <w:rPr>
          <w:rFonts w:ascii="Times New Roman" w:hAnsi="Times New Roman"/>
          <w:color w:val="000000"/>
          <w:sz w:val="28"/>
          <w:szCs w:val="28"/>
          <w:lang w:val="es-ES_tradnl"/>
        </w:rPr>
        <w:t xml:space="preserve"> y/o contratos de concesió</w:t>
      </w:r>
      <w:r w:rsidR="00302CC1" w:rsidRPr="0078289D">
        <w:rPr>
          <w:rFonts w:ascii="Times New Roman" w:hAnsi="Times New Roman"/>
          <w:color w:val="000000"/>
          <w:sz w:val="28"/>
          <w:szCs w:val="28"/>
          <w:lang w:val="es-ES_tradnl"/>
        </w:rPr>
        <w:t>n</w:t>
      </w:r>
      <w:r w:rsidR="00BF03F5" w:rsidRPr="0078289D">
        <w:rPr>
          <w:rFonts w:ascii="Times New Roman" w:hAnsi="Times New Roman"/>
          <w:color w:val="000000"/>
          <w:sz w:val="28"/>
          <w:szCs w:val="28"/>
          <w:lang w:val="es-ES_tradnl"/>
        </w:rPr>
        <w:t>, para preservar los derechos adquiridos,</w:t>
      </w:r>
      <w:r w:rsidR="00211579" w:rsidRPr="0078289D">
        <w:rPr>
          <w:rFonts w:ascii="Times New Roman" w:hAnsi="Times New Roman"/>
          <w:color w:val="000000"/>
          <w:sz w:val="28"/>
          <w:szCs w:val="28"/>
          <w:lang w:val="es-ES_tradnl"/>
        </w:rPr>
        <w:t xml:space="preserve"> </w:t>
      </w:r>
      <w:r w:rsidR="00192916" w:rsidRPr="0078289D">
        <w:rPr>
          <w:rFonts w:ascii="Times New Roman" w:hAnsi="Times New Roman"/>
          <w:color w:val="000000"/>
          <w:sz w:val="28"/>
          <w:szCs w:val="28"/>
          <w:lang w:val="es-ES_tradnl"/>
        </w:rPr>
        <w:t xml:space="preserve">justifica constitucionalmente </w:t>
      </w:r>
      <w:r w:rsidR="003315B4" w:rsidRPr="0078289D">
        <w:rPr>
          <w:rFonts w:ascii="Times New Roman" w:hAnsi="Times New Roman"/>
          <w:color w:val="000000"/>
          <w:sz w:val="28"/>
          <w:szCs w:val="28"/>
          <w:lang w:val="es-ES_tradnl"/>
        </w:rPr>
        <w:t xml:space="preserve">el levantamiento de la prohibición </w:t>
      </w:r>
      <w:r w:rsidR="00BD3991" w:rsidRPr="0078289D">
        <w:rPr>
          <w:rFonts w:ascii="Times New Roman" w:hAnsi="Times New Roman"/>
          <w:color w:val="000000"/>
          <w:sz w:val="28"/>
          <w:szCs w:val="28"/>
          <w:lang w:val="es-ES_tradnl"/>
        </w:rPr>
        <w:t xml:space="preserve">para desarrollar </w:t>
      </w:r>
      <w:r w:rsidR="00ED42DC" w:rsidRPr="0078289D">
        <w:rPr>
          <w:rFonts w:ascii="Times New Roman" w:hAnsi="Times New Roman"/>
          <w:color w:val="000000"/>
          <w:sz w:val="28"/>
          <w:szCs w:val="28"/>
          <w:lang w:val="es-ES_tradnl"/>
        </w:rPr>
        <w:t xml:space="preserve">proyectos y </w:t>
      </w:r>
      <w:r w:rsidR="00BD3991" w:rsidRPr="0078289D">
        <w:rPr>
          <w:rFonts w:ascii="Times New Roman" w:hAnsi="Times New Roman"/>
          <w:color w:val="000000"/>
          <w:sz w:val="28"/>
          <w:szCs w:val="28"/>
          <w:lang w:val="es-ES_tradnl"/>
        </w:rPr>
        <w:t xml:space="preserve">actividades mineras y de hidrocarburos en </w:t>
      </w:r>
      <w:r w:rsidR="00211579" w:rsidRPr="0078289D">
        <w:rPr>
          <w:rFonts w:ascii="Times New Roman" w:hAnsi="Times New Roman"/>
          <w:color w:val="000000"/>
          <w:sz w:val="28"/>
          <w:szCs w:val="28"/>
          <w:lang w:val="es-ES_tradnl"/>
        </w:rPr>
        <w:t xml:space="preserve">ecosistemas de páramo </w:t>
      </w:r>
      <w:r w:rsidR="003315B4" w:rsidRPr="0078289D">
        <w:rPr>
          <w:rFonts w:ascii="Times New Roman" w:hAnsi="Times New Roman"/>
          <w:color w:val="000000"/>
          <w:sz w:val="28"/>
          <w:szCs w:val="28"/>
          <w:lang w:val="es-ES_tradnl"/>
        </w:rPr>
        <w:t>a sus titulares</w:t>
      </w:r>
      <w:r w:rsidRPr="0078289D">
        <w:rPr>
          <w:rFonts w:ascii="Times New Roman" w:hAnsi="Times New Roman"/>
          <w:color w:val="000000"/>
          <w:sz w:val="28"/>
          <w:szCs w:val="28"/>
          <w:lang w:val="es-ES_tradnl"/>
        </w:rPr>
        <w:t xml:space="preserve">? </w:t>
      </w:r>
    </w:p>
    <w:p w:rsidR="0062678A" w:rsidRPr="0078289D" w:rsidRDefault="0062678A" w:rsidP="0078289D">
      <w:pPr>
        <w:pBdr>
          <w:top w:val="none" w:sz="0" w:space="0" w:color="auto"/>
          <w:left w:val="none" w:sz="0" w:space="0" w:color="auto"/>
          <w:bottom w:val="none" w:sz="0" w:space="0" w:color="auto"/>
          <w:right w:val="none" w:sz="0" w:space="0" w:color="auto"/>
        </w:pBdr>
        <w:rPr>
          <w:sz w:val="28"/>
          <w:szCs w:val="28"/>
          <w:lang w:val="es-ES_tradnl"/>
        </w:rPr>
      </w:pPr>
    </w:p>
    <w:p w:rsidR="007F3BDD" w:rsidRPr="0078289D" w:rsidRDefault="007F3BDD" w:rsidP="0078289D">
      <w:pPr>
        <w:pStyle w:val="Ttulo3"/>
        <w:pBdr>
          <w:top w:val="none" w:sz="0" w:space="0" w:color="auto"/>
          <w:left w:val="none" w:sz="0" w:space="0" w:color="auto"/>
          <w:bottom w:val="none" w:sz="0" w:space="0" w:color="auto"/>
          <w:right w:val="none" w:sz="0" w:space="0" w:color="auto"/>
        </w:pBdr>
        <w:tabs>
          <w:tab w:val="left" w:pos="426"/>
        </w:tabs>
        <w:spacing w:before="0"/>
        <w:jc w:val="both"/>
        <w:rPr>
          <w:rFonts w:ascii="Times New Roman" w:hAnsi="Times New Roman"/>
          <w:color w:val="000000"/>
          <w:sz w:val="28"/>
          <w:szCs w:val="28"/>
          <w:lang w:val="es-ES_tradnl"/>
        </w:rPr>
      </w:pPr>
      <w:r w:rsidRPr="0078289D">
        <w:rPr>
          <w:rFonts w:ascii="Times New Roman" w:hAnsi="Times New Roman"/>
          <w:color w:val="000000"/>
          <w:sz w:val="28"/>
          <w:szCs w:val="28"/>
          <w:lang w:val="es-ES_tradnl"/>
        </w:rPr>
        <w:t>Para poder resolver el problema jurídico planteado, la Corte debe abordar los siguientes temas:</w:t>
      </w:r>
    </w:p>
    <w:p w:rsidR="007F3BDD" w:rsidRPr="0078289D" w:rsidRDefault="007F3BDD" w:rsidP="0078289D">
      <w:pPr>
        <w:pBdr>
          <w:top w:val="none" w:sz="0" w:space="0" w:color="auto"/>
          <w:left w:val="none" w:sz="0" w:space="0" w:color="auto"/>
          <w:bottom w:val="none" w:sz="0" w:space="0" w:color="auto"/>
          <w:right w:val="none" w:sz="0" w:space="0" w:color="auto"/>
        </w:pBdr>
        <w:rPr>
          <w:sz w:val="28"/>
          <w:szCs w:val="28"/>
          <w:lang w:val="es-ES_tradnl"/>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La libertad económica, específicamente sus alcances en relación con el desarrollo de actividades de extracción de recursos no renovables.</w:t>
      </w:r>
    </w:p>
    <w:p w:rsidR="007F3BDD" w:rsidRPr="0078289D" w:rsidRDefault="007F3BDD" w:rsidP="0078289D">
      <w:pPr>
        <w:pStyle w:val="Listavistosa-nfasis11"/>
        <w:spacing w:line="240" w:lineRule="auto"/>
        <w:jc w:val="both"/>
        <w:rPr>
          <w:bCs/>
          <w:color w:val="000000"/>
          <w:sz w:val="28"/>
          <w:szCs w:val="28"/>
          <w:lang w:val="es-ES_tradnl" w:eastAsia="es-ES"/>
        </w:rPr>
      </w:pPr>
    </w:p>
    <w:p w:rsidR="007F3BDD" w:rsidRPr="0078289D" w:rsidRDefault="00B120BC"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La i</w:t>
      </w:r>
      <w:r w:rsidR="007F3BDD" w:rsidRPr="0078289D">
        <w:rPr>
          <w:bCs/>
          <w:color w:val="000000"/>
          <w:sz w:val="28"/>
          <w:szCs w:val="28"/>
          <w:lang w:val="es-ES_tradnl" w:eastAsia="es-ES"/>
        </w:rPr>
        <w:t>ntervención del Estado en la actividad económica de extracción de recursos naturales no renovables</w:t>
      </w:r>
      <w:r w:rsidR="006138B4" w:rsidRPr="0078289D">
        <w:rPr>
          <w:bCs/>
          <w:color w:val="000000"/>
          <w:sz w:val="28"/>
          <w:szCs w:val="28"/>
          <w:lang w:val="es-ES_tradnl" w:eastAsia="es-ES"/>
        </w:rPr>
        <w:t xml:space="preserve">, y el alcance de los derechos otorgados mediante las licencias ambientales y los contratos de concesión para la </w:t>
      </w:r>
      <w:r w:rsidR="002125F3" w:rsidRPr="0078289D">
        <w:rPr>
          <w:bCs/>
          <w:color w:val="000000"/>
          <w:sz w:val="28"/>
          <w:szCs w:val="28"/>
          <w:lang w:val="es-ES_tradnl" w:eastAsia="es-ES"/>
        </w:rPr>
        <w:t>extracción de recursos del Estado</w:t>
      </w:r>
      <w:r w:rsidR="007F3BDD" w:rsidRPr="0078289D">
        <w:rPr>
          <w:bCs/>
          <w:color w:val="000000"/>
          <w:sz w:val="28"/>
          <w:szCs w:val="28"/>
          <w:lang w:val="es-ES_tradnl" w:eastAsia="es-ES"/>
        </w:rPr>
        <w:t>.</w:t>
      </w:r>
    </w:p>
    <w:p w:rsidR="007F3BDD" w:rsidRPr="0078289D" w:rsidRDefault="007F3BDD" w:rsidP="0078289D">
      <w:pPr>
        <w:pStyle w:val="Listavistosa-nfasis11"/>
        <w:spacing w:line="240" w:lineRule="auto"/>
        <w:jc w:val="both"/>
        <w:rPr>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La Constitución Ecológica y su relación con el concepto de desarrollo sostenible.</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color w:val="000000"/>
          <w:sz w:val="28"/>
          <w:szCs w:val="28"/>
          <w:lang w:val="es-ES_tradnl"/>
        </w:rPr>
        <w:t>El alcance del deber del Estado de conservar las áreas de especial importancia ecológica.</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El problema de la determinación del concepto de páramo.</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B120BC"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Los p</w:t>
      </w:r>
      <w:r w:rsidR="007F3BDD" w:rsidRPr="0078289D">
        <w:rPr>
          <w:bCs/>
          <w:color w:val="000000"/>
          <w:sz w:val="28"/>
          <w:szCs w:val="28"/>
          <w:lang w:val="es-ES_tradnl" w:eastAsia="es-ES"/>
        </w:rPr>
        <w:t>arámetros para la delimitación del páramo; diferencias entre el concepto de área de referencia y el de área delimitada.</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Las características del ecosistema de páramo y servicios ambientales que presta.</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El páramo como regulador del ciclo hídrico.</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El páramo como sistema de captura de carbono.</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rPr>
          <w:bCs/>
          <w:color w:val="000000"/>
          <w:sz w:val="28"/>
          <w:szCs w:val="28"/>
          <w:lang w:val="es-ES_tradnl" w:eastAsia="es-ES"/>
        </w:rPr>
      </w:pPr>
      <w:r w:rsidRPr="0078289D">
        <w:rPr>
          <w:bCs/>
          <w:color w:val="000000"/>
          <w:sz w:val="28"/>
          <w:szCs w:val="28"/>
          <w:lang w:val="es-ES_tradnl" w:eastAsia="es-ES"/>
        </w:rPr>
        <w:t>La biodiversidad en el ecosistema de páramo.</w:t>
      </w:r>
    </w:p>
    <w:p w:rsidR="007F3BDD" w:rsidRPr="0078289D" w:rsidRDefault="007F3BDD" w:rsidP="0078289D">
      <w:pPr>
        <w:pBdr>
          <w:top w:val="none" w:sz="0" w:space="0" w:color="auto"/>
          <w:left w:val="none" w:sz="0" w:space="0" w:color="auto"/>
          <w:bottom w:val="none" w:sz="0" w:space="0" w:color="auto"/>
          <w:right w:val="none" w:sz="0" w:space="0" w:color="auto"/>
        </w:pBdr>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La interacción entre los distintos recursos del páramo y relación de interdependencia entre el páramo y el bosque que lo rodea.</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eastAsia="es-ES"/>
        </w:rPr>
      </w:pPr>
      <w:r w:rsidRPr="0078289D">
        <w:rPr>
          <w:bCs/>
          <w:color w:val="000000"/>
          <w:sz w:val="28"/>
          <w:szCs w:val="28"/>
          <w:lang w:val="es-ES_tradnl" w:eastAsia="es-ES"/>
        </w:rPr>
        <w:t>Vulnerabilidad, fragilidad y capacidad de recuperación del ecosistema de páramo.</w:t>
      </w:r>
    </w:p>
    <w:p w:rsidR="007F3BDD" w:rsidRPr="0078289D" w:rsidRDefault="007F3BDD" w:rsidP="0078289D">
      <w:pPr>
        <w:pBdr>
          <w:top w:val="none" w:sz="0" w:space="0" w:color="auto"/>
          <w:left w:val="none" w:sz="0" w:space="0" w:color="auto"/>
          <w:bottom w:val="none" w:sz="0" w:space="0" w:color="auto"/>
          <w:right w:val="none" w:sz="0" w:space="0" w:color="auto"/>
        </w:pBdr>
        <w:jc w:val="both"/>
        <w:rPr>
          <w:rFonts w:eastAsia="Times New Roman"/>
          <w:bCs/>
          <w:color w:val="000000"/>
          <w:sz w:val="28"/>
          <w:szCs w:val="28"/>
          <w:lang w:val="es-ES_tradnl" w:eastAsia="es-ES"/>
        </w:rPr>
      </w:pPr>
    </w:p>
    <w:p w:rsidR="007F3BDD" w:rsidRPr="0078289D" w:rsidRDefault="007F3BDD" w:rsidP="0078289D">
      <w:pPr>
        <w:pStyle w:val="Listavistosa-nfasis11"/>
        <w:numPr>
          <w:ilvl w:val="0"/>
          <w:numId w:val="18"/>
        </w:numPr>
        <w:spacing w:line="240" w:lineRule="auto"/>
        <w:jc w:val="both"/>
        <w:rPr>
          <w:bCs/>
          <w:color w:val="000000"/>
          <w:sz w:val="28"/>
          <w:szCs w:val="28"/>
          <w:lang w:val="es-ES_tradnl"/>
        </w:rPr>
      </w:pPr>
      <w:r w:rsidRPr="0078289D">
        <w:rPr>
          <w:bCs/>
          <w:color w:val="000000"/>
          <w:sz w:val="28"/>
          <w:szCs w:val="28"/>
          <w:lang w:val="es-ES_tradnl"/>
        </w:rPr>
        <w:t>El agua como derecho fundamental la ubicación estratégica de los ecosistemas de páramo.</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La libertad económica para el desarrollo de actividades de extracción de recursos no renovables</w:t>
      </w:r>
    </w:p>
    <w:p w:rsidR="007F3BDD" w:rsidRPr="0078289D" w:rsidRDefault="007F3BDD" w:rsidP="0078289D">
      <w:pPr>
        <w:pBdr>
          <w:top w:val="none" w:sz="0" w:space="0" w:color="auto"/>
          <w:left w:val="none" w:sz="0" w:space="0" w:color="auto"/>
          <w:bottom w:val="none" w:sz="0" w:space="0" w:color="auto"/>
          <w:right w:val="none" w:sz="0" w:space="0" w:color="auto"/>
        </w:pBdr>
        <w:jc w:val="both"/>
        <w:rPr>
          <w:b/>
          <w:color w:val="000000"/>
          <w:sz w:val="28"/>
          <w:szCs w:val="28"/>
          <w:lang w:val="es-ES_tradnl"/>
        </w:rPr>
      </w:pPr>
    </w:p>
    <w:p w:rsidR="007F3BDD" w:rsidRPr="0078289D" w:rsidRDefault="00101B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123. L</w:t>
      </w:r>
      <w:r w:rsidR="007F3BDD" w:rsidRPr="0078289D">
        <w:rPr>
          <w:color w:val="000000"/>
          <w:sz w:val="28"/>
          <w:szCs w:val="28"/>
          <w:lang w:val="es-ES_tradnl"/>
        </w:rPr>
        <w:t xml:space="preserve">a Constitución Política </w:t>
      </w:r>
      <w:r w:rsidRPr="0078289D">
        <w:rPr>
          <w:color w:val="000000"/>
          <w:sz w:val="28"/>
          <w:szCs w:val="28"/>
          <w:lang w:val="es-ES_tradnl"/>
        </w:rPr>
        <w:t>reconoce</w:t>
      </w:r>
      <w:r w:rsidR="007F3BDD" w:rsidRPr="0078289D">
        <w:rPr>
          <w:color w:val="000000"/>
          <w:sz w:val="28"/>
          <w:szCs w:val="28"/>
          <w:lang w:val="es-ES_tradnl"/>
        </w:rPr>
        <w:t xml:space="preserve"> la libertad </w:t>
      </w:r>
      <w:r w:rsidR="00BE166B" w:rsidRPr="0078289D">
        <w:rPr>
          <w:color w:val="000000"/>
          <w:sz w:val="28"/>
          <w:szCs w:val="28"/>
          <w:lang w:val="es-ES_tradnl"/>
        </w:rPr>
        <w:t xml:space="preserve">económica y </w:t>
      </w:r>
      <w:r w:rsidR="00D4036B" w:rsidRPr="0078289D">
        <w:rPr>
          <w:color w:val="000000"/>
          <w:sz w:val="28"/>
          <w:szCs w:val="28"/>
          <w:lang w:val="es-ES_tradnl"/>
        </w:rPr>
        <w:t>de empresa</w:t>
      </w:r>
      <w:r w:rsidR="007F3BDD" w:rsidRPr="0078289D">
        <w:rPr>
          <w:color w:val="000000"/>
          <w:sz w:val="28"/>
          <w:szCs w:val="28"/>
          <w:lang w:val="es-ES_tradnl"/>
        </w:rPr>
        <w:t xml:space="preserve"> como pilares del modelo económico colombiano. En este sentido, según el artículo 333, la actividad económica y la iniciativa privada son libres y se podrán ejercer sin que nadie pueda exigir permisos previos ni requisitos, sin autorización de la ley. Lo anterior, por cuanto se trata de </w:t>
      </w:r>
      <w:r w:rsidR="007F3BDD" w:rsidRPr="0078289D">
        <w:rPr>
          <w:color w:val="000000"/>
          <w:sz w:val="28"/>
          <w:szCs w:val="28"/>
          <w:shd w:val="clear" w:color="auto" w:fill="FFFFFF"/>
          <w:lang w:val="es-ES_tradnl"/>
        </w:rPr>
        <w:t>garantías indispensables para el logro del desarrollo económico y la prosperidad general</w:t>
      </w:r>
      <w:r w:rsidR="007F3BDD" w:rsidRPr="0078289D">
        <w:rPr>
          <w:rStyle w:val="Refdenotaalpie"/>
          <w:sz w:val="28"/>
          <w:szCs w:val="28"/>
          <w:shd w:val="clear" w:color="auto" w:fill="FFFFFF"/>
          <w:lang w:val="es-ES_tradnl"/>
        </w:rPr>
        <w:footnoteReference w:id="87"/>
      </w:r>
      <w:r w:rsidR="007F3BDD" w:rsidRPr="0078289D">
        <w:rPr>
          <w:color w:val="000000"/>
          <w:sz w:val="28"/>
          <w:szCs w:val="28"/>
          <w:shd w:val="clear" w:color="auto" w:fill="FFFFFF"/>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A67EEB"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Esta libertad presupone la facultad que tiene toda persona de realizar actividades de carácter económico, según sus preferencias o habilidades, con el fin de crear, mantener o incrementar su patrimonio</w:t>
      </w:r>
      <w:r w:rsidRPr="0078289D">
        <w:rPr>
          <w:rStyle w:val="Refdenotaalpie"/>
          <w:sz w:val="28"/>
          <w:szCs w:val="28"/>
          <w:lang w:val="es-ES_tradnl"/>
        </w:rPr>
        <w:footnoteReference w:id="88"/>
      </w:r>
      <w:r w:rsidRPr="0078289D">
        <w:rPr>
          <w:color w:val="000000"/>
          <w:sz w:val="28"/>
          <w:szCs w:val="28"/>
          <w:lang w:val="es-ES_tradnl"/>
        </w:rPr>
        <w:t>.</w:t>
      </w:r>
      <w:r w:rsidR="00101B57" w:rsidRPr="0078289D">
        <w:rPr>
          <w:color w:val="000000"/>
          <w:sz w:val="28"/>
          <w:szCs w:val="28"/>
          <w:lang w:val="es-ES_tradnl"/>
        </w:rPr>
        <w:t xml:space="preserve"> </w:t>
      </w:r>
      <w:r w:rsidRPr="0078289D">
        <w:rPr>
          <w:color w:val="000000"/>
          <w:sz w:val="28"/>
          <w:szCs w:val="28"/>
          <w:lang w:val="es-ES_tradnl"/>
        </w:rPr>
        <w:t xml:space="preserve">Sin embargo, la libertad económica no es un derecho absoluto, </w:t>
      </w:r>
      <w:r w:rsidR="00A67EEB" w:rsidRPr="0078289D">
        <w:rPr>
          <w:color w:val="000000"/>
          <w:sz w:val="28"/>
          <w:szCs w:val="28"/>
          <w:lang w:val="es-ES_tradnl"/>
        </w:rPr>
        <w:t xml:space="preserve">pues en nuestro sistema constitucional tanto la propiedad </w:t>
      </w:r>
      <w:r w:rsidR="00932B95" w:rsidRPr="0078289D">
        <w:rPr>
          <w:color w:val="000000"/>
          <w:sz w:val="28"/>
          <w:szCs w:val="28"/>
          <w:lang w:val="es-ES_tradnl"/>
        </w:rPr>
        <w:t xml:space="preserve">(artículo 58) </w:t>
      </w:r>
      <w:r w:rsidR="00A67EEB" w:rsidRPr="0078289D">
        <w:rPr>
          <w:color w:val="000000"/>
          <w:sz w:val="28"/>
          <w:szCs w:val="28"/>
          <w:lang w:val="es-ES_tradnl"/>
        </w:rPr>
        <w:t xml:space="preserve">como la empresa </w:t>
      </w:r>
      <w:r w:rsidR="00932B95" w:rsidRPr="0078289D">
        <w:rPr>
          <w:color w:val="000000"/>
          <w:sz w:val="28"/>
          <w:szCs w:val="28"/>
          <w:lang w:val="es-ES_tradnl"/>
        </w:rPr>
        <w:t xml:space="preserve">(artículo 333) </w:t>
      </w:r>
      <w:r w:rsidR="00A67EEB" w:rsidRPr="0078289D">
        <w:rPr>
          <w:color w:val="000000"/>
          <w:sz w:val="28"/>
          <w:szCs w:val="28"/>
          <w:lang w:val="es-ES_tradnl"/>
        </w:rPr>
        <w:t>deben cumplir una función social</w:t>
      </w:r>
      <w:r w:rsidR="00932B95" w:rsidRPr="0078289D">
        <w:rPr>
          <w:color w:val="000000"/>
          <w:sz w:val="28"/>
          <w:szCs w:val="28"/>
          <w:lang w:val="es-ES_tradnl"/>
        </w:rPr>
        <w:t xml:space="preserve"> que implica obligaciones</w:t>
      </w:r>
      <w:r w:rsidR="00A67EEB" w:rsidRPr="0078289D">
        <w:rPr>
          <w:color w:val="000000"/>
          <w:sz w:val="28"/>
          <w:szCs w:val="28"/>
          <w:lang w:val="es-ES_tradnl"/>
        </w:rPr>
        <w:t>.</w:t>
      </w:r>
    </w:p>
    <w:p w:rsidR="00A67EEB" w:rsidRPr="0078289D" w:rsidRDefault="00A67EEB" w:rsidP="0078289D">
      <w:pPr>
        <w:pStyle w:val="Listavistosa-nfasis11"/>
        <w:tabs>
          <w:tab w:val="left" w:pos="426"/>
        </w:tabs>
        <w:spacing w:line="240" w:lineRule="auto"/>
        <w:ind w:left="0"/>
        <w:jc w:val="both"/>
        <w:rPr>
          <w:color w:val="000000"/>
          <w:sz w:val="28"/>
          <w:szCs w:val="28"/>
          <w:lang w:val="es-ES_tradnl"/>
        </w:rPr>
      </w:pPr>
    </w:p>
    <w:p w:rsidR="007F3BDD" w:rsidRPr="0078289D" w:rsidRDefault="00932B95"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Por tal motivo,</w:t>
      </w:r>
      <w:r w:rsidR="007F3BDD" w:rsidRPr="0078289D">
        <w:rPr>
          <w:color w:val="000000"/>
          <w:sz w:val="28"/>
          <w:szCs w:val="28"/>
          <w:lang w:val="es-ES_tradnl"/>
        </w:rPr>
        <w:t xml:space="preserve"> la misma Carta Política establece ciertos límites </w:t>
      </w:r>
      <w:r w:rsidR="000700DE" w:rsidRPr="0078289D">
        <w:rPr>
          <w:color w:val="000000"/>
          <w:sz w:val="28"/>
          <w:szCs w:val="28"/>
          <w:lang w:val="es-ES_tradnl"/>
        </w:rPr>
        <w:t xml:space="preserve">al </w:t>
      </w:r>
      <w:r w:rsidR="007F3BDD" w:rsidRPr="0078289D">
        <w:rPr>
          <w:color w:val="000000"/>
          <w:sz w:val="28"/>
          <w:szCs w:val="28"/>
          <w:lang w:val="es-ES_tradnl"/>
        </w:rPr>
        <w:t>ejercicio</w:t>
      </w:r>
      <w:r w:rsidR="000700DE" w:rsidRPr="0078289D">
        <w:rPr>
          <w:color w:val="000000"/>
          <w:sz w:val="28"/>
          <w:szCs w:val="28"/>
          <w:lang w:val="es-ES_tradnl"/>
        </w:rPr>
        <w:t xml:space="preserve"> de la libertad económica y de empresa</w:t>
      </w:r>
      <w:r w:rsidR="007F3BDD" w:rsidRPr="0078289D">
        <w:rPr>
          <w:color w:val="000000"/>
          <w:sz w:val="28"/>
          <w:szCs w:val="28"/>
          <w:lang w:val="es-ES_tradnl"/>
        </w:rPr>
        <w:t xml:space="preserve">. </w:t>
      </w:r>
      <w:r w:rsidR="000700DE" w:rsidRPr="0078289D">
        <w:rPr>
          <w:color w:val="000000"/>
          <w:sz w:val="28"/>
          <w:szCs w:val="28"/>
          <w:lang w:val="es-ES_tradnl"/>
        </w:rPr>
        <w:t>Esta</w:t>
      </w:r>
      <w:r w:rsidR="00B27D9E" w:rsidRPr="0078289D">
        <w:rPr>
          <w:color w:val="000000"/>
          <w:sz w:val="28"/>
          <w:szCs w:val="28"/>
          <w:lang w:val="es-ES_tradnl"/>
        </w:rPr>
        <w:t>s</w:t>
      </w:r>
      <w:r w:rsidR="000700DE" w:rsidRPr="0078289D">
        <w:rPr>
          <w:color w:val="000000"/>
          <w:sz w:val="28"/>
          <w:szCs w:val="28"/>
          <w:lang w:val="es-ES_tradnl"/>
        </w:rPr>
        <w:t xml:space="preserve"> libertad</w:t>
      </w:r>
      <w:r w:rsidR="00B27D9E" w:rsidRPr="0078289D">
        <w:rPr>
          <w:color w:val="000000"/>
          <w:sz w:val="28"/>
          <w:szCs w:val="28"/>
          <w:lang w:val="es-ES_tradnl"/>
        </w:rPr>
        <w:t>es</w:t>
      </w:r>
      <w:r w:rsidR="000700DE" w:rsidRPr="0078289D">
        <w:rPr>
          <w:color w:val="000000"/>
          <w:sz w:val="28"/>
          <w:szCs w:val="28"/>
          <w:lang w:val="es-ES_tradnl"/>
        </w:rPr>
        <w:t xml:space="preserve"> </w:t>
      </w:r>
      <w:r w:rsidR="007F3BDD" w:rsidRPr="0078289D">
        <w:rPr>
          <w:color w:val="000000"/>
          <w:sz w:val="28"/>
          <w:szCs w:val="28"/>
          <w:lang w:val="es-ES_tradnl"/>
        </w:rPr>
        <w:t>debe</w:t>
      </w:r>
      <w:r w:rsidR="00B27D9E" w:rsidRPr="0078289D">
        <w:rPr>
          <w:color w:val="000000"/>
          <w:sz w:val="28"/>
          <w:szCs w:val="28"/>
          <w:lang w:val="es-ES_tradnl"/>
        </w:rPr>
        <w:t>n</w:t>
      </w:r>
      <w:r w:rsidR="007F3BDD" w:rsidRPr="0078289D">
        <w:rPr>
          <w:color w:val="000000"/>
          <w:sz w:val="28"/>
          <w:szCs w:val="28"/>
          <w:lang w:val="es-ES_tradnl"/>
        </w:rPr>
        <w:t xml:space="preserve"> ejercerse dentro de los límites del bien común y de conformidad con los alcances que fije la ley cuando así lo exijan el interés social, el ambiente</w:t>
      </w:r>
      <w:r w:rsidR="004E3830" w:rsidRPr="0078289D">
        <w:rPr>
          <w:color w:val="000000"/>
          <w:sz w:val="28"/>
          <w:szCs w:val="28"/>
          <w:lang w:val="es-ES_tradnl"/>
        </w:rPr>
        <w:t>,</w:t>
      </w:r>
      <w:r w:rsidR="007F3BDD" w:rsidRPr="0078289D">
        <w:rPr>
          <w:color w:val="000000"/>
          <w:sz w:val="28"/>
          <w:szCs w:val="28"/>
          <w:lang w:val="es-ES_tradnl"/>
        </w:rPr>
        <w:t xml:space="preserve"> y el patrimonio cultural de la Nación.</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6D0DC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Para garantizar que ello sea así, y que la prosperidad </w:t>
      </w:r>
      <w:r w:rsidR="00282629" w:rsidRPr="0078289D">
        <w:rPr>
          <w:color w:val="000000"/>
          <w:sz w:val="28"/>
          <w:szCs w:val="28"/>
          <w:lang w:val="es-ES_tradnl"/>
        </w:rPr>
        <w:t xml:space="preserve">económica se traduzca en la realidad en beneficios que se distribuyen al interior de la sociedad para garantizar la igualdad de oportunidades, la Constitución le impone al Estado el deber de </w:t>
      </w:r>
      <w:r w:rsidR="000563DD" w:rsidRPr="0078289D">
        <w:rPr>
          <w:color w:val="000000"/>
          <w:sz w:val="28"/>
          <w:szCs w:val="28"/>
          <w:lang w:val="es-ES_tradnl"/>
        </w:rPr>
        <w:t>dirigir de manera general</w:t>
      </w:r>
      <w:r w:rsidR="00282629" w:rsidRPr="0078289D">
        <w:rPr>
          <w:color w:val="000000"/>
          <w:sz w:val="28"/>
          <w:szCs w:val="28"/>
          <w:lang w:val="es-ES_tradnl"/>
        </w:rPr>
        <w:t xml:space="preserve"> la economía</w:t>
      </w:r>
      <w:r w:rsidR="000563DD" w:rsidRPr="0078289D">
        <w:rPr>
          <w:color w:val="000000"/>
          <w:sz w:val="28"/>
          <w:szCs w:val="28"/>
          <w:lang w:val="es-ES_tradnl"/>
        </w:rPr>
        <w:t xml:space="preserve">, y le atribuye amplias funciones de regulación del mercado, tanto </w:t>
      </w:r>
      <w:r w:rsidR="004D414A" w:rsidRPr="0078289D">
        <w:rPr>
          <w:color w:val="000000"/>
          <w:sz w:val="28"/>
          <w:szCs w:val="28"/>
          <w:lang w:val="es-ES_tradnl"/>
        </w:rPr>
        <w:t>de manera general, como sectorialmente</w:t>
      </w:r>
      <w:r w:rsidR="00881C31" w:rsidRPr="0078289D">
        <w:rPr>
          <w:color w:val="000000"/>
          <w:sz w:val="28"/>
          <w:szCs w:val="28"/>
          <w:lang w:val="es-ES_tradnl"/>
        </w:rPr>
        <w:t xml:space="preserve"> en la Constitución</w:t>
      </w:r>
      <w:r w:rsidR="00282629" w:rsidRPr="0078289D">
        <w:rPr>
          <w:color w:val="000000"/>
          <w:sz w:val="28"/>
          <w:szCs w:val="28"/>
          <w:lang w:val="es-ES_tradnl"/>
        </w:rPr>
        <w:t xml:space="preserve">. </w:t>
      </w:r>
      <w:r w:rsidR="007F3BDD" w:rsidRPr="0078289D">
        <w:rPr>
          <w:color w:val="000000"/>
          <w:sz w:val="28"/>
          <w:szCs w:val="28"/>
          <w:lang w:val="es-ES_tradnl"/>
        </w:rPr>
        <w:t xml:space="preserve">De lo anterior se infiere entonces que si bien el modelo económico planteado por la Constitución Política garantiza la libertad para el ejercicio de actividades económicas, el mismo está sometido a </w:t>
      </w:r>
      <w:r w:rsidR="007F3BDD" w:rsidRPr="0078289D">
        <w:rPr>
          <w:color w:val="000000"/>
          <w:sz w:val="28"/>
          <w:szCs w:val="28"/>
          <w:lang w:val="es-ES_tradnl"/>
        </w:rPr>
        <w:lastRenderedPageBreak/>
        <w:t xml:space="preserve">ciertas limitaciones y a la intervención del Estado. En la </w:t>
      </w:r>
      <w:r w:rsidR="004E3830" w:rsidRPr="0078289D">
        <w:rPr>
          <w:b/>
          <w:color w:val="000000"/>
          <w:sz w:val="28"/>
          <w:szCs w:val="28"/>
          <w:lang w:val="es-ES_tradnl"/>
        </w:rPr>
        <w:t>S</w:t>
      </w:r>
      <w:r w:rsidR="007F3BDD" w:rsidRPr="0078289D">
        <w:rPr>
          <w:b/>
          <w:color w:val="000000"/>
          <w:sz w:val="28"/>
          <w:szCs w:val="28"/>
          <w:lang w:val="es-ES_tradnl"/>
        </w:rPr>
        <w:t>entencia C-150 de 2003</w:t>
      </w:r>
      <w:r w:rsidR="007F3BDD" w:rsidRPr="0078289D">
        <w:rPr>
          <w:rStyle w:val="Refdenotaalpie"/>
          <w:sz w:val="28"/>
          <w:szCs w:val="28"/>
          <w:lang w:val="es-ES_tradnl"/>
        </w:rPr>
        <w:footnoteReference w:id="89"/>
      </w:r>
      <w:r w:rsidR="007F3BDD" w:rsidRPr="0078289D">
        <w:rPr>
          <w:color w:val="000000"/>
          <w:sz w:val="28"/>
          <w:szCs w:val="28"/>
          <w:lang w:val="es-ES_tradnl"/>
        </w:rPr>
        <w:t>, la Corte se pronunció sobre este tema de la siguiente manera: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 </w:t>
      </w: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“Ahora bien, la intervención del Estado en la economía puede ser de diferente tipo, sin que siempre pueda efectuarse una diferenciación clara entre las formas de intervención correspondientes. Así, por ejemplo, en la doctrina</w:t>
      </w:r>
      <w:r w:rsidRPr="0078289D">
        <w:rPr>
          <w:rStyle w:val="Refdenotaalpie"/>
          <w:i/>
          <w:sz w:val="28"/>
          <w:szCs w:val="28"/>
          <w:lang w:val="es-ES_tradnl"/>
        </w:rPr>
        <w:footnoteReference w:id="90"/>
      </w:r>
      <w:r w:rsidRPr="0078289D">
        <w:rPr>
          <w:i/>
          <w:color w:val="000000"/>
          <w:sz w:val="28"/>
          <w:szCs w:val="28"/>
          <w:lang w:val="es-ES_tradnl"/>
        </w:rPr>
        <w:t xml:space="preserve"> se habla de intervención estatal global, cuando versa sobre la economía como un todo, sectorial, cuando recae en una determinada área de actividad, o particular, si apunta a una cierta situación como por ejemplo a la de una empresa; de intervención estatal directa, cuando recae sobre la existencia o la actividad de los agentes económicos, o indirecta, cuando está orientada no a la actividad económica propiamente dicha sino al resultado de la misma; intervención unilateral, cuando el Estado autoriza, prohíbe o reglamenta una actividad económica, o intervención convencional, cuando el Estado pacta con los agentes económicos las políticas o programas que propenden por el interés general; intervención por vía directiva, cuando el Estado adopta medidas que orientan a los agentes económicos privados, o intervención por vía de gestión, cuando el Estado se hace cargo el mismo de actividades económicas por medio de personas jurídicas generalmente públicas.” </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354CC"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124. </w:t>
      </w:r>
      <w:r w:rsidR="007F3BDD" w:rsidRPr="0078289D">
        <w:rPr>
          <w:color w:val="000000"/>
          <w:sz w:val="28"/>
          <w:szCs w:val="28"/>
          <w:lang w:val="es-ES_tradnl"/>
        </w:rPr>
        <w:t xml:space="preserve">Visto lo anterior se puede concluir que el Estado tiene un </w:t>
      </w:r>
      <w:r w:rsidR="00881C31" w:rsidRPr="0078289D">
        <w:rPr>
          <w:color w:val="000000"/>
          <w:sz w:val="28"/>
          <w:szCs w:val="28"/>
          <w:lang w:val="es-ES_tradnl"/>
        </w:rPr>
        <w:t xml:space="preserve">amplio </w:t>
      </w:r>
      <w:r w:rsidR="007F3BDD" w:rsidRPr="0078289D">
        <w:rPr>
          <w:color w:val="000000"/>
          <w:sz w:val="28"/>
          <w:szCs w:val="28"/>
          <w:lang w:val="es-ES_tradnl"/>
        </w:rPr>
        <w:t>margen de intervención en la economía</w:t>
      </w:r>
      <w:r w:rsidR="00F3390D" w:rsidRPr="0078289D">
        <w:rPr>
          <w:color w:val="000000"/>
          <w:sz w:val="28"/>
          <w:szCs w:val="28"/>
          <w:lang w:val="es-ES_tradnl"/>
        </w:rPr>
        <w:t>,</w:t>
      </w:r>
      <w:r w:rsidR="007F3BDD" w:rsidRPr="0078289D">
        <w:rPr>
          <w:color w:val="000000"/>
          <w:sz w:val="28"/>
          <w:szCs w:val="28"/>
          <w:lang w:val="es-ES_tradnl"/>
        </w:rPr>
        <w:t xml:space="preserve"> que lo faculta para adoptar medidas y políticas orientadas </w:t>
      </w:r>
      <w:r w:rsidR="00F3390D" w:rsidRPr="0078289D">
        <w:rPr>
          <w:color w:val="000000"/>
          <w:sz w:val="28"/>
          <w:szCs w:val="28"/>
          <w:lang w:val="es-ES_tradnl"/>
        </w:rPr>
        <w:t>a</w:t>
      </w:r>
      <w:r w:rsidR="007F3BDD" w:rsidRPr="0078289D">
        <w:rPr>
          <w:color w:val="000000"/>
          <w:sz w:val="28"/>
          <w:szCs w:val="28"/>
          <w:lang w:val="es-ES_tradnl"/>
        </w:rPr>
        <w:t xml:space="preserve">l mejoramiento de la calidad de vida de los habitantes, </w:t>
      </w:r>
      <w:r w:rsidR="00F3390D" w:rsidRPr="0078289D">
        <w:rPr>
          <w:color w:val="000000"/>
          <w:sz w:val="28"/>
          <w:szCs w:val="28"/>
          <w:lang w:val="es-ES_tradnl"/>
        </w:rPr>
        <w:t xml:space="preserve">a </w:t>
      </w:r>
      <w:r w:rsidR="007F3BDD" w:rsidRPr="0078289D">
        <w:rPr>
          <w:color w:val="000000"/>
          <w:sz w:val="28"/>
          <w:szCs w:val="28"/>
          <w:lang w:val="es-ES_tradnl"/>
        </w:rPr>
        <w:t>la distribución equitativa de las oportunidades y beneficios del desarrollo</w:t>
      </w:r>
      <w:r w:rsidR="00F3390D" w:rsidRPr="0078289D">
        <w:rPr>
          <w:color w:val="000000"/>
          <w:sz w:val="28"/>
          <w:szCs w:val="28"/>
          <w:lang w:val="es-ES_tradnl"/>
        </w:rPr>
        <w:t>,</w:t>
      </w:r>
      <w:r w:rsidR="007F3BDD" w:rsidRPr="0078289D">
        <w:rPr>
          <w:color w:val="000000"/>
          <w:sz w:val="28"/>
          <w:szCs w:val="28"/>
          <w:lang w:val="es-ES_tradnl"/>
        </w:rPr>
        <w:t xml:space="preserve"> y </w:t>
      </w:r>
      <w:r w:rsidR="00F3390D" w:rsidRPr="0078289D">
        <w:rPr>
          <w:color w:val="000000"/>
          <w:sz w:val="28"/>
          <w:szCs w:val="28"/>
          <w:lang w:val="es-ES_tradnl"/>
        </w:rPr>
        <w:t xml:space="preserve">a </w:t>
      </w:r>
      <w:r w:rsidR="007F3BDD" w:rsidRPr="0078289D">
        <w:rPr>
          <w:color w:val="000000"/>
          <w:sz w:val="28"/>
          <w:szCs w:val="28"/>
          <w:lang w:val="es-ES_tradnl"/>
        </w:rPr>
        <w:t xml:space="preserve">la preservación de un ambiente sano, tal como lo dispone el artículo 334 de la Carta Política. </w:t>
      </w:r>
      <w:r w:rsidR="006D303A" w:rsidRPr="0078289D">
        <w:rPr>
          <w:color w:val="000000"/>
          <w:sz w:val="28"/>
          <w:szCs w:val="28"/>
          <w:lang w:val="es-ES_tradnl"/>
        </w:rPr>
        <w:t xml:space="preserve">Sin embargo, el alcance de las potestades estatales no es indiferente a la materia </w:t>
      </w:r>
      <w:r w:rsidR="002A5D2F" w:rsidRPr="0078289D">
        <w:rPr>
          <w:color w:val="000000"/>
          <w:sz w:val="28"/>
          <w:szCs w:val="28"/>
          <w:lang w:val="es-ES_tradnl"/>
        </w:rPr>
        <w:t xml:space="preserve">objeto </w:t>
      </w:r>
      <w:r w:rsidR="006D303A" w:rsidRPr="0078289D">
        <w:rPr>
          <w:color w:val="000000"/>
          <w:sz w:val="28"/>
          <w:szCs w:val="28"/>
          <w:lang w:val="es-ES_tradnl"/>
        </w:rPr>
        <w:t xml:space="preserve">de regulación, al sector, o la actividad económica de que se trate. </w:t>
      </w:r>
      <w:r w:rsidR="004259CB" w:rsidRPr="0078289D">
        <w:rPr>
          <w:color w:val="000000"/>
          <w:sz w:val="28"/>
          <w:szCs w:val="28"/>
          <w:lang w:val="es-ES_tradnl"/>
        </w:rPr>
        <w:t>E</w:t>
      </w:r>
      <w:r w:rsidR="004F3D40" w:rsidRPr="0078289D">
        <w:rPr>
          <w:color w:val="000000"/>
          <w:sz w:val="28"/>
          <w:szCs w:val="28"/>
          <w:lang w:val="es-ES_tradnl"/>
        </w:rPr>
        <w:t xml:space="preserve">l alcance de </w:t>
      </w:r>
      <w:r w:rsidR="007F3BDD" w:rsidRPr="0078289D">
        <w:rPr>
          <w:color w:val="000000"/>
          <w:sz w:val="28"/>
          <w:szCs w:val="28"/>
          <w:lang w:val="es-ES_tradnl"/>
        </w:rPr>
        <w:t xml:space="preserve">la </w:t>
      </w:r>
      <w:r w:rsidR="004F3D40" w:rsidRPr="0078289D">
        <w:rPr>
          <w:color w:val="000000"/>
          <w:sz w:val="28"/>
          <w:szCs w:val="28"/>
          <w:lang w:val="es-ES_tradnl"/>
        </w:rPr>
        <w:t>potestad</w:t>
      </w:r>
      <w:r w:rsidR="007F3BDD" w:rsidRPr="0078289D">
        <w:rPr>
          <w:color w:val="000000"/>
          <w:sz w:val="28"/>
          <w:szCs w:val="28"/>
          <w:lang w:val="es-ES_tradnl"/>
        </w:rPr>
        <w:t xml:space="preserve"> de intervención del Estado </w:t>
      </w:r>
      <w:r w:rsidR="00F3390D" w:rsidRPr="0078289D">
        <w:rPr>
          <w:color w:val="000000"/>
          <w:sz w:val="28"/>
          <w:szCs w:val="28"/>
          <w:lang w:val="es-ES_tradnl"/>
        </w:rPr>
        <w:t xml:space="preserve">está determinada </w:t>
      </w:r>
      <w:r w:rsidR="007F3BDD" w:rsidRPr="0078289D">
        <w:rPr>
          <w:color w:val="000000"/>
          <w:sz w:val="28"/>
          <w:szCs w:val="28"/>
          <w:lang w:val="es-ES_tradnl"/>
        </w:rPr>
        <w:t xml:space="preserve">por </w:t>
      </w:r>
      <w:r w:rsidR="004F3D40" w:rsidRPr="0078289D">
        <w:rPr>
          <w:color w:val="000000"/>
          <w:sz w:val="28"/>
          <w:szCs w:val="28"/>
          <w:lang w:val="es-ES_tradnl"/>
        </w:rPr>
        <w:t>la función social específica de la</w:t>
      </w:r>
      <w:r w:rsidR="007F3BDD" w:rsidRPr="0078289D">
        <w:rPr>
          <w:color w:val="000000"/>
          <w:sz w:val="28"/>
          <w:szCs w:val="28"/>
          <w:lang w:val="es-ES_tradnl"/>
        </w:rPr>
        <w:t xml:space="preserve"> actividad económica que se desarrolle. Al respecto, la Corte ha sostenido lo siguiente:</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color w:val="000000"/>
          <w:sz w:val="28"/>
          <w:szCs w:val="28"/>
          <w:lang w:val="es-ES_tradnl"/>
        </w:rPr>
      </w:pPr>
      <w:r w:rsidRPr="0078289D">
        <w:rPr>
          <w:i/>
          <w:iCs/>
          <w:color w:val="000000"/>
          <w:sz w:val="28"/>
          <w:szCs w:val="28"/>
          <w:lang w:val="es-ES_tradnl"/>
        </w:rPr>
        <w:t>“(…) el Estado Constitucional colombiano es incompatible tanto con un modelo del liberalismo económico clásico, en el que se proscribe la intervención estatal, como con modalidades de economía de planificación centralizada en las que el Estado es el único agente relevante del mercado y la producción de bienes y servicios es un monopolio público.  En contrario, la Carta adopta un modelo de economía social de mercado, que reconoce a la empresa y, en general, a la iniciativa privada, la condición de motor de la economía, pero que limita razonable y proporcionalmente la libertad de empresa y la libre competencia económica, con el único propósito de cumplir fines constitucionalmente valiosos, destinados a la protección del interés general.”</w:t>
      </w:r>
      <w:r w:rsidRPr="0078289D">
        <w:rPr>
          <w:rStyle w:val="Refdenotaalpie"/>
          <w:i/>
          <w:iCs/>
          <w:sz w:val="28"/>
          <w:szCs w:val="28"/>
          <w:lang w:val="es-ES_tradnl"/>
        </w:rPr>
        <w:footnoteReference w:id="91"/>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En suma, el modelo económico concebido en la Constitución presupone que el Estado tiene la potestad para intervenir el mercado</w:t>
      </w:r>
      <w:r w:rsidR="00700ED1" w:rsidRPr="0078289D">
        <w:rPr>
          <w:color w:val="000000"/>
          <w:sz w:val="28"/>
          <w:szCs w:val="28"/>
          <w:lang w:val="es-ES_tradnl"/>
        </w:rPr>
        <w:t>.</w:t>
      </w:r>
      <w:r w:rsidRPr="0078289D">
        <w:rPr>
          <w:color w:val="000000"/>
          <w:sz w:val="28"/>
          <w:szCs w:val="28"/>
          <w:lang w:val="es-ES_tradnl"/>
        </w:rPr>
        <w:t xml:space="preserve"> </w:t>
      </w:r>
      <w:r w:rsidR="00700ED1" w:rsidRPr="0078289D">
        <w:rPr>
          <w:color w:val="000000"/>
          <w:sz w:val="28"/>
          <w:szCs w:val="28"/>
          <w:lang w:val="es-ES_tradnl"/>
        </w:rPr>
        <w:t>U</w:t>
      </w:r>
      <w:r w:rsidRPr="0078289D">
        <w:rPr>
          <w:color w:val="000000"/>
          <w:sz w:val="28"/>
          <w:szCs w:val="28"/>
          <w:lang w:val="es-ES_tradnl"/>
        </w:rPr>
        <w:t>na de las formas en que dicha intervención se manifiesta es a través de la limitación del desarrollo de ciertas actividades económicas. No obstante, dicha limitación no puede ser arbitraria, ya que la misma debe (i) respetar el núcleo esencial de la libertad involucrada; (ii) obedecer al principio de solidaridad o a alguna de las finalidades expresamente señaladas en la Constitución, y (iii) responder a criterios de razonabilidad y proporcionalidad.</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b/>
          <w:i/>
          <w:color w:val="000000"/>
          <w:sz w:val="28"/>
          <w:szCs w:val="28"/>
          <w:lang w:val="es-ES_tradnl"/>
        </w:rPr>
      </w:pPr>
      <w:r w:rsidRPr="0078289D">
        <w:rPr>
          <w:b/>
          <w:i/>
          <w:color w:val="000000"/>
          <w:sz w:val="28"/>
          <w:szCs w:val="28"/>
          <w:lang w:val="es-ES_tradnl"/>
        </w:rPr>
        <w:t>Intervención del Estado en la actividad económica de extracción de recursos naturales no renovables</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580716" w:rsidRPr="0078289D" w:rsidRDefault="007354CC"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125. </w:t>
      </w:r>
      <w:r w:rsidR="00740AFA" w:rsidRPr="0078289D">
        <w:rPr>
          <w:color w:val="000000"/>
          <w:sz w:val="28"/>
          <w:szCs w:val="28"/>
          <w:lang w:val="es-ES_tradnl"/>
        </w:rPr>
        <w:t>P</w:t>
      </w:r>
      <w:r w:rsidR="007F3BDD" w:rsidRPr="0078289D">
        <w:rPr>
          <w:color w:val="000000"/>
          <w:sz w:val="28"/>
          <w:szCs w:val="28"/>
          <w:lang w:val="es-ES_tradnl"/>
        </w:rPr>
        <w:t>or mandato expres</w:t>
      </w:r>
      <w:r w:rsidR="00B2634A" w:rsidRPr="0078289D">
        <w:rPr>
          <w:color w:val="000000"/>
          <w:sz w:val="28"/>
          <w:szCs w:val="28"/>
          <w:lang w:val="es-ES_tradnl"/>
        </w:rPr>
        <w:t>o de la Constitución, el Estado</w:t>
      </w:r>
      <w:r w:rsidR="007F3BDD" w:rsidRPr="0078289D">
        <w:rPr>
          <w:color w:val="000000"/>
          <w:sz w:val="28"/>
          <w:szCs w:val="28"/>
          <w:lang w:val="es-ES_tradnl"/>
        </w:rPr>
        <w:t xml:space="preserve"> tiene el deber de intervenir en la explotación de los recursos naturales y en el uso del suelo</w:t>
      </w:r>
      <w:r w:rsidR="007F3BDD" w:rsidRPr="0078289D">
        <w:rPr>
          <w:rStyle w:val="Refdenotaalpie"/>
          <w:sz w:val="28"/>
          <w:szCs w:val="28"/>
          <w:lang w:val="es-ES_tradnl"/>
        </w:rPr>
        <w:footnoteReference w:id="92"/>
      </w:r>
      <w:r w:rsidR="007F3BDD" w:rsidRPr="0078289D">
        <w:rPr>
          <w:color w:val="000000"/>
          <w:sz w:val="28"/>
          <w:szCs w:val="28"/>
          <w:lang w:val="es-ES_tradnl"/>
        </w:rPr>
        <w:t>, así como determinar las condiciones para la explotación de los recursos naturales no renovables</w:t>
      </w:r>
      <w:r w:rsidR="007F3BDD" w:rsidRPr="0078289D">
        <w:rPr>
          <w:rStyle w:val="Refdenotaalpie"/>
          <w:sz w:val="28"/>
          <w:szCs w:val="28"/>
          <w:lang w:val="es-ES_tradnl"/>
        </w:rPr>
        <w:footnoteReference w:id="93"/>
      </w:r>
      <w:r w:rsidR="007F3BDD" w:rsidRPr="0078289D">
        <w:rPr>
          <w:color w:val="000000"/>
          <w:sz w:val="28"/>
          <w:szCs w:val="28"/>
          <w:lang w:val="es-ES_tradnl"/>
        </w:rPr>
        <w:t xml:space="preserve">. </w:t>
      </w:r>
    </w:p>
    <w:p w:rsidR="00580716" w:rsidRPr="0078289D" w:rsidRDefault="00580716" w:rsidP="0078289D">
      <w:pPr>
        <w:pStyle w:val="Listavistosa-nfasis11"/>
        <w:tabs>
          <w:tab w:val="left" w:pos="426"/>
        </w:tabs>
        <w:spacing w:line="240" w:lineRule="auto"/>
        <w:ind w:left="0"/>
        <w:jc w:val="both"/>
        <w:rPr>
          <w:color w:val="000000"/>
          <w:sz w:val="28"/>
          <w:szCs w:val="28"/>
          <w:lang w:val="es-ES_tradnl"/>
        </w:rPr>
      </w:pPr>
    </w:p>
    <w:p w:rsidR="007F3BDD" w:rsidRPr="0078289D" w:rsidRDefault="00580716"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Por otra parte, además de los deberes que le impone la Constitución al Estado en materia de regulación de las actividades económicas</w:t>
      </w:r>
      <w:r w:rsidR="007F3BDD" w:rsidRPr="0078289D">
        <w:rPr>
          <w:color w:val="000000"/>
          <w:sz w:val="28"/>
          <w:szCs w:val="28"/>
          <w:lang w:val="es-ES_tradnl"/>
        </w:rPr>
        <w:t xml:space="preserve">, las actividades extractivas de recursos naturales no renovables presuponen la explotación de recursos </w:t>
      </w:r>
      <w:r w:rsidR="000C225A" w:rsidRPr="0078289D">
        <w:rPr>
          <w:color w:val="000000"/>
          <w:sz w:val="28"/>
          <w:szCs w:val="28"/>
          <w:lang w:val="es-ES_tradnl"/>
        </w:rPr>
        <w:t xml:space="preserve">que son </w:t>
      </w:r>
      <w:r w:rsidR="007F3BDD" w:rsidRPr="0078289D">
        <w:rPr>
          <w:color w:val="000000"/>
          <w:sz w:val="28"/>
          <w:szCs w:val="28"/>
          <w:lang w:val="es-ES_tradnl"/>
        </w:rPr>
        <w:t xml:space="preserve">de propiedad del Estado. </w:t>
      </w:r>
      <w:r w:rsidR="00347ED9" w:rsidRPr="0078289D">
        <w:rPr>
          <w:color w:val="000000"/>
          <w:sz w:val="28"/>
          <w:szCs w:val="28"/>
          <w:lang w:val="es-ES_tradnl"/>
        </w:rPr>
        <w:t xml:space="preserve">En esa medida, al tratarse de bienes de propiedad del Estado, </w:t>
      </w:r>
      <w:r w:rsidR="000C225A" w:rsidRPr="0078289D">
        <w:rPr>
          <w:color w:val="000000"/>
          <w:sz w:val="28"/>
          <w:szCs w:val="28"/>
          <w:lang w:val="es-ES_tradnl"/>
        </w:rPr>
        <w:t>esta</w:t>
      </w:r>
      <w:r w:rsidR="00347ED9" w:rsidRPr="0078289D">
        <w:rPr>
          <w:color w:val="000000"/>
          <w:sz w:val="28"/>
          <w:szCs w:val="28"/>
          <w:lang w:val="es-ES_tradnl"/>
        </w:rPr>
        <w:t xml:space="preserve"> actividad económica está sujeta a unos parámetros </w:t>
      </w:r>
      <w:r w:rsidR="00040905" w:rsidRPr="0078289D">
        <w:rPr>
          <w:color w:val="000000"/>
          <w:sz w:val="28"/>
          <w:szCs w:val="28"/>
          <w:lang w:val="es-ES_tradnl"/>
        </w:rPr>
        <w:t xml:space="preserve">constitucionales </w:t>
      </w:r>
      <w:r w:rsidR="00347ED9" w:rsidRPr="0078289D">
        <w:rPr>
          <w:color w:val="000000"/>
          <w:sz w:val="28"/>
          <w:szCs w:val="28"/>
          <w:lang w:val="es-ES_tradnl"/>
        </w:rPr>
        <w:t>especiales</w:t>
      </w:r>
      <w:r w:rsidR="00040905" w:rsidRPr="0078289D">
        <w:rPr>
          <w:color w:val="000000"/>
          <w:sz w:val="28"/>
          <w:szCs w:val="28"/>
          <w:lang w:val="es-ES_tradnl"/>
        </w:rPr>
        <w:t xml:space="preserve">, correspondientes con </w:t>
      </w:r>
      <w:r w:rsidR="00393813" w:rsidRPr="0078289D">
        <w:rPr>
          <w:color w:val="000000"/>
          <w:sz w:val="28"/>
          <w:szCs w:val="28"/>
          <w:lang w:val="es-ES_tradnl"/>
        </w:rPr>
        <w:t>los fines mismos del Estado</w:t>
      </w:r>
      <w:r w:rsidR="00773F90" w:rsidRPr="0078289D">
        <w:rPr>
          <w:color w:val="000000"/>
          <w:sz w:val="28"/>
          <w:szCs w:val="28"/>
          <w:lang w:val="es-ES_tradnl"/>
        </w:rPr>
        <w:t xml:space="preserve">. </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Resulta relevante destacar que el principal instrumento que regula los derechos, deberes, facultades y obligaciones emanados del desarrollo de dicha actividad es el contrato de concesión</w:t>
      </w:r>
      <w:r w:rsidR="000C225A" w:rsidRPr="0078289D">
        <w:rPr>
          <w:color w:val="000000"/>
          <w:sz w:val="28"/>
          <w:szCs w:val="28"/>
          <w:lang w:val="es-ES_tradnl"/>
        </w:rPr>
        <w:t xml:space="preserve"> para la extracción de recursos no renovables</w:t>
      </w:r>
      <w:r w:rsidRPr="0078289D">
        <w:rPr>
          <w:color w:val="000000"/>
          <w:sz w:val="28"/>
          <w:szCs w:val="28"/>
          <w:lang w:val="es-ES_tradnl"/>
        </w:rPr>
        <w:t xml:space="preserve">. En </w:t>
      </w:r>
      <w:r w:rsidRPr="0078289D">
        <w:rPr>
          <w:b/>
          <w:color w:val="000000"/>
          <w:sz w:val="28"/>
          <w:szCs w:val="28"/>
          <w:lang w:val="es-ES_tradnl"/>
        </w:rPr>
        <w:t>Sentencia C-250 de 1996</w:t>
      </w:r>
      <w:r w:rsidRPr="0078289D">
        <w:rPr>
          <w:rStyle w:val="Refdenotaalpie"/>
          <w:sz w:val="28"/>
          <w:szCs w:val="28"/>
          <w:lang w:val="es-ES_tradnl"/>
        </w:rPr>
        <w:footnoteReference w:id="94"/>
      </w:r>
      <w:r w:rsidRPr="0078289D">
        <w:rPr>
          <w:color w:val="000000"/>
          <w:sz w:val="28"/>
          <w:szCs w:val="28"/>
          <w:lang w:val="es-ES_tradnl"/>
        </w:rPr>
        <w:t>, esta Corporación definió el contrato de concesión de la siguiente manera: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567"/>
        <w:jc w:val="both"/>
        <w:rPr>
          <w:i/>
          <w:iCs/>
          <w:color w:val="000000"/>
          <w:sz w:val="28"/>
          <w:szCs w:val="28"/>
          <w:lang w:val="es-ES_tradnl"/>
        </w:rPr>
      </w:pPr>
      <w:r w:rsidRPr="0078289D">
        <w:rPr>
          <w:i/>
          <w:iCs/>
          <w:color w:val="000000"/>
          <w:sz w:val="28"/>
          <w:szCs w:val="28"/>
          <w:lang w:val="es-ES_tradnl"/>
        </w:rPr>
        <w:t>“Los contratos de concesión son aquellos que celebran las entidades estatales con el objeto de otorgar a una persona llamada concesionario, la prestación, operación, explotación, organización o gestión, total o parcial, de un servicio público, o la construcción, explotación o conservación de una obra o bien destinados al servicio o uso público, así como aquellas actividades necesarias para la adecuada prestación o funcionamiento de la obra o servicio por cuenta y riesgo del concesionario y bajo la vigilancia y control de la entidad contratante, a cambio de una remuneración que puede consistir en derechos, tarifas, tasas, valoración, o en la participación que se le otorgue en la explotación del bien, o en una suma periódica, única o porcentual y en general, en cualquier otra modalidad de contraprestación que las partes acuerden.”</w:t>
      </w: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iCs/>
          <w:color w:val="000000"/>
          <w:sz w:val="28"/>
          <w:szCs w:val="28"/>
          <w:lang w:val="es-ES_tradnl"/>
        </w:rPr>
      </w:pPr>
    </w:p>
    <w:p w:rsidR="007F3BDD" w:rsidRPr="0078289D" w:rsidRDefault="00B21E1F"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r w:rsidRPr="0078289D">
        <w:rPr>
          <w:iCs/>
          <w:color w:val="000000"/>
          <w:sz w:val="28"/>
          <w:szCs w:val="28"/>
          <w:lang w:val="es-ES_tradnl"/>
        </w:rPr>
        <w:t xml:space="preserve">Ahora bien, </w:t>
      </w:r>
      <w:r w:rsidR="00935166" w:rsidRPr="0078289D">
        <w:rPr>
          <w:iCs/>
          <w:color w:val="000000"/>
          <w:sz w:val="28"/>
          <w:szCs w:val="28"/>
          <w:lang w:val="es-ES_tradnl"/>
        </w:rPr>
        <w:t>en todo caso debe tenerse en cuenta que el objeto de los contratos de concesión es, precisamente, la prestación de un servicio público o la explotación de un bien</w:t>
      </w:r>
      <w:r w:rsidR="00500EF2" w:rsidRPr="0078289D">
        <w:rPr>
          <w:iCs/>
          <w:color w:val="000000"/>
          <w:sz w:val="28"/>
          <w:szCs w:val="28"/>
          <w:lang w:val="es-ES_tradnl"/>
        </w:rPr>
        <w:t xml:space="preserve"> que le pertenece al Estado.</w:t>
      </w:r>
      <w:r w:rsidR="00935166" w:rsidRPr="0078289D">
        <w:rPr>
          <w:iCs/>
          <w:color w:val="000000"/>
          <w:sz w:val="28"/>
          <w:szCs w:val="28"/>
          <w:lang w:val="es-ES_tradnl"/>
        </w:rPr>
        <w:t xml:space="preserve"> </w:t>
      </w:r>
      <w:r w:rsidR="007F3BDD" w:rsidRPr="0078289D">
        <w:rPr>
          <w:iCs/>
          <w:color w:val="000000"/>
          <w:sz w:val="28"/>
          <w:szCs w:val="28"/>
          <w:lang w:val="es-ES_tradnl"/>
        </w:rPr>
        <w:t xml:space="preserve">En concordancia con esta definición, la Corte ha señalado que </w:t>
      </w:r>
      <w:r w:rsidR="00F52D23" w:rsidRPr="0078289D">
        <w:rPr>
          <w:iCs/>
          <w:color w:val="000000"/>
          <w:sz w:val="28"/>
          <w:szCs w:val="28"/>
          <w:lang w:val="es-ES_tradnl"/>
        </w:rPr>
        <w:t xml:space="preserve">la existencia de un contrato de concesión para explotar bienes que pertenecen al Estado no implica </w:t>
      </w:r>
      <w:r w:rsidR="007F3BDD" w:rsidRPr="0078289D">
        <w:rPr>
          <w:iCs/>
          <w:color w:val="000000"/>
          <w:sz w:val="28"/>
          <w:szCs w:val="28"/>
          <w:lang w:val="es-ES_tradnl"/>
        </w:rPr>
        <w:t>transferencia del dominio sobre los mismos. Así, ha sostenido lo siguiente:</w:t>
      </w:r>
    </w:p>
    <w:p w:rsidR="007F3BDD" w:rsidRPr="0078289D" w:rsidRDefault="007F3BDD"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567"/>
        <w:jc w:val="both"/>
        <w:rPr>
          <w:b/>
          <w:i/>
          <w:iCs/>
          <w:color w:val="000000"/>
          <w:sz w:val="28"/>
          <w:szCs w:val="28"/>
          <w:lang w:val="es-ES_tradnl"/>
        </w:rPr>
      </w:pPr>
      <w:r w:rsidRPr="0078289D">
        <w:rPr>
          <w:i/>
          <w:iCs/>
          <w:color w:val="000000"/>
          <w:sz w:val="28"/>
          <w:szCs w:val="28"/>
          <w:lang w:val="es-ES_tradnl"/>
        </w:rPr>
        <w:t xml:space="preserve">“(…) por medio de la concesión, las entidades estatales otorgan a una persona, llamada concesionario, la posibilidad de operar, explotar, o gestionar, un bien o servicio originariamente estatal, como puede ser un servicio público, o la construcción, explotación o conservación de una obra o bien destinados al servicio o uso público. Las labores se hacen por cuenta y riesgo del concesionario pero bajo la vigilancia y control de la entidad estatal, a cambio de una remuneración que puede consistir en derechos, tarifas, tasas, o en la participación que se le otorgue en la explotación del bien, o en general, en cualquier otra modalidad de contraprestación. Como vemos, el contenido de la relación jurídica de concesión comprende un conjunto amplio de deberes y derechos del concesionario, así como de facultades y obligaciones de la autoridad pública, todo lo cual se encuentra regulado de manera general en la ley pero puede completarse, en el caso específico, al otorgarse la respectiva concesión. </w:t>
      </w:r>
      <w:r w:rsidRPr="0078289D">
        <w:rPr>
          <w:b/>
          <w:i/>
          <w:iCs/>
          <w:color w:val="000000"/>
          <w:sz w:val="28"/>
          <w:szCs w:val="28"/>
          <w:lang w:val="es-ES_tradnl"/>
        </w:rPr>
        <w:t>Pero en todo caso es propio de la concesión que el Estado no transfiere el dominio al concesionario, ya que éste sigue siendo de titularidad pública.</w:t>
      </w:r>
      <w:r w:rsidRPr="0078289D">
        <w:rPr>
          <w:i/>
          <w:iCs/>
          <w:color w:val="000000"/>
          <w:sz w:val="28"/>
          <w:szCs w:val="28"/>
          <w:lang w:val="es-ES_tradnl"/>
        </w:rPr>
        <w:t>”</w:t>
      </w:r>
      <w:r w:rsidRPr="0078289D">
        <w:rPr>
          <w:rStyle w:val="Refdenotaalpie"/>
          <w:i/>
          <w:iCs/>
          <w:sz w:val="28"/>
          <w:szCs w:val="28"/>
          <w:lang w:val="es-ES_tradnl"/>
        </w:rPr>
        <w:footnoteReference w:id="95"/>
      </w:r>
    </w:p>
    <w:p w:rsidR="00527F97" w:rsidRPr="0078289D" w:rsidRDefault="00527F97"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724CBB" w:rsidRPr="0078289D" w:rsidRDefault="007F1B26"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r w:rsidRPr="0078289D">
        <w:rPr>
          <w:iCs/>
          <w:color w:val="000000"/>
          <w:sz w:val="28"/>
          <w:szCs w:val="28"/>
          <w:lang w:val="es-ES_tradnl"/>
        </w:rPr>
        <w:t xml:space="preserve">126. </w:t>
      </w:r>
      <w:r w:rsidR="007F3BDD" w:rsidRPr="0078289D">
        <w:rPr>
          <w:iCs/>
          <w:color w:val="000000"/>
          <w:sz w:val="28"/>
          <w:szCs w:val="28"/>
          <w:lang w:val="es-ES_tradnl"/>
        </w:rPr>
        <w:t>Adicionalmente, esta Corporación también ha señalado que las autoridades deben ejercer estricta vigilancia y control sobre dichas actividades. Por ello pueden impartir instrucciones para el desarrollo de la actividad con el propósito de garantizar un ejercicio adecuado de la misma, así como la utilización eficiente del recurso, su preservación, disponibilidad y aprovechamiento</w:t>
      </w:r>
      <w:r w:rsidR="007F3BDD" w:rsidRPr="0078289D">
        <w:rPr>
          <w:rStyle w:val="Refdenotaalpie"/>
          <w:iCs/>
          <w:sz w:val="28"/>
          <w:szCs w:val="28"/>
          <w:lang w:val="es-ES_tradnl"/>
        </w:rPr>
        <w:footnoteReference w:id="96"/>
      </w:r>
      <w:r w:rsidR="007F3BDD" w:rsidRPr="0078289D">
        <w:rPr>
          <w:iCs/>
          <w:color w:val="000000"/>
          <w:sz w:val="28"/>
          <w:szCs w:val="28"/>
          <w:lang w:val="es-ES_tradnl"/>
        </w:rPr>
        <w:t>.</w:t>
      </w:r>
      <w:r w:rsidR="00724CBB" w:rsidRPr="0078289D">
        <w:rPr>
          <w:iCs/>
          <w:color w:val="000000"/>
          <w:sz w:val="28"/>
          <w:szCs w:val="28"/>
          <w:lang w:val="es-ES_tradnl"/>
        </w:rPr>
        <w:t xml:space="preserve"> </w:t>
      </w:r>
    </w:p>
    <w:p w:rsidR="00724CBB" w:rsidRPr="0078289D" w:rsidRDefault="00724CBB"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F32BD8" w:rsidRPr="0078289D" w:rsidRDefault="00724CBB"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r w:rsidRPr="0078289D">
        <w:rPr>
          <w:iCs/>
          <w:color w:val="000000"/>
          <w:sz w:val="28"/>
          <w:szCs w:val="28"/>
          <w:lang w:val="es-ES_tradnl"/>
        </w:rPr>
        <w:t>En esa medida,</w:t>
      </w:r>
      <w:r w:rsidR="009B1172" w:rsidRPr="0078289D">
        <w:rPr>
          <w:iCs/>
          <w:color w:val="000000"/>
          <w:sz w:val="28"/>
          <w:szCs w:val="28"/>
          <w:lang w:val="es-ES_tradnl"/>
        </w:rPr>
        <w:t xml:space="preserve"> es necesario concluir </w:t>
      </w:r>
      <w:r w:rsidRPr="0078289D">
        <w:rPr>
          <w:iCs/>
          <w:color w:val="000000"/>
          <w:sz w:val="28"/>
          <w:szCs w:val="28"/>
          <w:lang w:val="es-ES_tradnl"/>
        </w:rPr>
        <w:t>que el contrato de concesión no le otorga al concesionario particular l</w:t>
      </w:r>
      <w:r w:rsidR="00A749A2" w:rsidRPr="0078289D">
        <w:rPr>
          <w:iCs/>
          <w:color w:val="000000"/>
          <w:sz w:val="28"/>
          <w:szCs w:val="28"/>
          <w:lang w:val="es-ES_tradnl"/>
        </w:rPr>
        <w:t>a titularidad sobre los bienes</w:t>
      </w:r>
      <w:r w:rsidR="009C331E" w:rsidRPr="0078289D">
        <w:rPr>
          <w:iCs/>
          <w:color w:val="000000"/>
          <w:sz w:val="28"/>
          <w:szCs w:val="28"/>
          <w:lang w:val="es-ES_tradnl"/>
        </w:rPr>
        <w:t xml:space="preserve"> del subsuelo</w:t>
      </w:r>
      <w:r w:rsidR="00A749A2" w:rsidRPr="0078289D">
        <w:rPr>
          <w:iCs/>
          <w:color w:val="000000"/>
          <w:sz w:val="28"/>
          <w:szCs w:val="28"/>
          <w:lang w:val="es-ES_tradnl"/>
        </w:rPr>
        <w:t xml:space="preserve">, que siguen siendo de propiedad </w:t>
      </w:r>
      <w:r w:rsidR="009B1172" w:rsidRPr="0078289D">
        <w:rPr>
          <w:iCs/>
          <w:color w:val="000000"/>
          <w:sz w:val="28"/>
          <w:szCs w:val="28"/>
          <w:lang w:val="es-ES_tradnl"/>
        </w:rPr>
        <w:t>estatal. L</w:t>
      </w:r>
      <w:r w:rsidR="002D06BE" w:rsidRPr="0078289D">
        <w:rPr>
          <w:iCs/>
          <w:color w:val="000000"/>
          <w:sz w:val="28"/>
          <w:szCs w:val="28"/>
          <w:lang w:val="es-ES_tradnl"/>
        </w:rPr>
        <w:t>a obligación del Estado para con el concesionario se circunscribe a la entrega de una participación en la explotaci</w:t>
      </w:r>
      <w:r w:rsidR="009B1172" w:rsidRPr="0078289D">
        <w:rPr>
          <w:iCs/>
          <w:color w:val="000000"/>
          <w:sz w:val="28"/>
          <w:szCs w:val="28"/>
          <w:lang w:val="es-ES_tradnl"/>
        </w:rPr>
        <w:t>ón del bien.</w:t>
      </w:r>
      <w:r w:rsidR="002D06BE" w:rsidRPr="0078289D">
        <w:rPr>
          <w:iCs/>
          <w:color w:val="000000"/>
          <w:sz w:val="28"/>
          <w:szCs w:val="28"/>
          <w:lang w:val="es-ES_tradnl"/>
        </w:rPr>
        <w:t xml:space="preserve"> </w:t>
      </w:r>
      <w:r w:rsidR="009B1172" w:rsidRPr="0078289D">
        <w:rPr>
          <w:iCs/>
          <w:color w:val="000000"/>
          <w:sz w:val="28"/>
          <w:szCs w:val="28"/>
          <w:lang w:val="es-ES_tradnl"/>
        </w:rPr>
        <w:t xml:space="preserve">Por lo tanto, </w:t>
      </w:r>
      <w:r w:rsidR="00C46DFE" w:rsidRPr="0078289D">
        <w:rPr>
          <w:iCs/>
          <w:color w:val="000000"/>
          <w:sz w:val="28"/>
          <w:szCs w:val="28"/>
          <w:lang w:val="es-ES_tradnl"/>
        </w:rPr>
        <w:t xml:space="preserve">la sola existencia de un contrato de concesión no impide </w:t>
      </w:r>
      <w:r w:rsidR="009C331E" w:rsidRPr="0078289D">
        <w:rPr>
          <w:iCs/>
          <w:color w:val="000000"/>
          <w:sz w:val="28"/>
          <w:szCs w:val="28"/>
          <w:lang w:val="es-ES_tradnl"/>
        </w:rPr>
        <w:t>a</w:t>
      </w:r>
      <w:r w:rsidR="00C46DFE" w:rsidRPr="0078289D">
        <w:rPr>
          <w:iCs/>
          <w:color w:val="000000"/>
          <w:sz w:val="28"/>
          <w:szCs w:val="28"/>
          <w:lang w:val="es-ES_tradnl"/>
        </w:rPr>
        <w:t xml:space="preserve">l </w:t>
      </w:r>
      <w:r w:rsidR="008E0544" w:rsidRPr="0078289D">
        <w:rPr>
          <w:iCs/>
          <w:color w:val="000000"/>
          <w:sz w:val="28"/>
          <w:szCs w:val="28"/>
          <w:lang w:val="es-ES_tradnl"/>
        </w:rPr>
        <w:t>Estado limitar,</w:t>
      </w:r>
      <w:r w:rsidR="00C46DFE" w:rsidRPr="0078289D">
        <w:rPr>
          <w:iCs/>
          <w:color w:val="000000"/>
          <w:sz w:val="28"/>
          <w:szCs w:val="28"/>
          <w:lang w:val="es-ES_tradnl"/>
        </w:rPr>
        <w:t xml:space="preserve"> condicionar </w:t>
      </w:r>
      <w:r w:rsidR="008E0544" w:rsidRPr="0078289D">
        <w:rPr>
          <w:iCs/>
          <w:color w:val="000000"/>
          <w:sz w:val="28"/>
          <w:szCs w:val="28"/>
          <w:lang w:val="es-ES_tradnl"/>
        </w:rPr>
        <w:t>o prohibir la actividad objeto de la concesión</w:t>
      </w:r>
      <w:r w:rsidR="00DD7B27" w:rsidRPr="0078289D">
        <w:rPr>
          <w:iCs/>
          <w:color w:val="000000"/>
          <w:sz w:val="28"/>
          <w:szCs w:val="28"/>
          <w:lang w:val="es-ES_tradnl"/>
        </w:rPr>
        <w:t xml:space="preserve">, cuando con ello se pretenda proteger un bien jurídico de mayor importancia constitucional. </w:t>
      </w:r>
      <w:r w:rsidR="00D91096" w:rsidRPr="0078289D">
        <w:rPr>
          <w:iCs/>
          <w:color w:val="000000"/>
          <w:sz w:val="28"/>
          <w:szCs w:val="28"/>
          <w:lang w:val="es-ES_tradnl"/>
        </w:rPr>
        <w:t xml:space="preserve">Esto ocurre, por ejemplo, cuando el Estado </w:t>
      </w:r>
      <w:r w:rsidR="00B11201" w:rsidRPr="0078289D">
        <w:rPr>
          <w:iCs/>
          <w:color w:val="000000"/>
          <w:sz w:val="28"/>
          <w:szCs w:val="28"/>
          <w:lang w:val="es-ES_tradnl"/>
        </w:rPr>
        <w:t>adquiere</w:t>
      </w:r>
      <w:r w:rsidR="00D91096" w:rsidRPr="0078289D">
        <w:rPr>
          <w:iCs/>
          <w:color w:val="000000"/>
          <w:sz w:val="28"/>
          <w:szCs w:val="28"/>
          <w:lang w:val="es-ES_tradnl"/>
        </w:rPr>
        <w:t xml:space="preserve"> información </w:t>
      </w:r>
      <w:r w:rsidR="00B11201" w:rsidRPr="0078289D">
        <w:rPr>
          <w:iCs/>
          <w:color w:val="000000"/>
          <w:sz w:val="28"/>
          <w:szCs w:val="28"/>
          <w:lang w:val="es-ES_tradnl"/>
        </w:rPr>
        <w:t xml:space="preserve">nueva </w:t>
      </w:r>
      <w:r w:rsidR="00D91096" w:rsidRPr="0078289D">
        <w:rPr>
          <w:iCs/>
          <w:color w:val="000000"/>
          <w:sz w:val="28"/>
          <w:szCs w:val="28"/>
          <w:lang w:val="es-ES_tradnl"/>
        </w:rPr>
        <w:t xml:space="preserve">de que un medicamento, un alimento, o </w:t>
      </w:r>
      <w:r w:rsidR="00272D1D" w:rsidRPr="0078289D">
        <w:rPr>
          <w:iCs/>
          <w:color w:val="000000"/>
          <w:sz w:val="28"/>
          <w:szCs w:val="28"/>
          <w:lang w:val="es-ES_tradnl"/>
        </w:rPr>
        <w:t xml:space="preserve">la explotación de </w:t>
      </w:r>
      <w:r w:rsidR="00D91096" w:rsidRPr="0078289D">
        <w:rPr>
          <w:iCs/>
          <w:color w:val="000000"/>
          <w:sz w:val="28"/>
          <w:szCs w:val="28"/>
          <w:lang w:val="es-ES_tradnl"/>
        </w:rPr>
        <w:t xml:space="preserve">un determinado material de construcción </w:t>
      </w:r>
      <w:r w:rsidR="00B11201" w:rsidRPr="0078289D">
        <w:rPr>
          <w:iCs/>
          <w:color w:val="000000"/>
          <w:sz w:val="28"/>
          <w:szCs w:val="28"/>
          <w:lang w:val="es-ES_tradnl"/>
        </w:rPr>
        <w:t xml:space="preserve">tiene consecuencias nocivas para la salud. En tales casos, el Estado puede perfectamente prohibir la producción, </w:t>
      </w:r>
      <w:r w:rsidR="00272D1D" w:rsidRPr="0078289D">
        <w:rPr>
          <w:iCs/>
          <w:color w:val="000000"/>
          <w:sz w:val="28"/>
          <w:szCs w:val="28"/>
          <w:lang w:val="es-ES_tradnl"/>
        </w:rPr>
        <w:t xml:space="preserve">transformación, </w:t>
      </w:r>
      <w:r w:rsidR="00B11201" w:rsidRPr="0078289D">
        <w:rPr>
          <w:iCs/>
          <w:color w:val="000000"/>
          <w:sz w:val="28"/>
          <w:szCs w:val="28"/>
          <w:lang w:val="es-ES_tradnl"/>
        </w:rPr>
        <w:t xml:space="preserve">distribución y comercialización del respectivo </w:t>
      </w:r>
      <w:r w:rsidR="00B11201" w:rsidRPr="0078289D">
        <w:rPr>
          <w:iCs/>
          <w:color w:val="000000"/>
          <w:sz w:val="28"/>
          <w:szCs w:val="28"/>
          <w:lang w:val="es-ES_tradnl"/>
        </w:rPr>
        <w:lastRenderedPageBreak/>
        <w:t xml:space="preserve">producto. Con mayor razón, puede entonces </w:t>
      </w:r>
      <w:r w:rsidR="00404E03" w:rsidRPr="0078289D">
        <w:rPr>
          <w:iCs/>
          <w:color w:val="000000"/>
          <w:sz w:val="28"/>
          <w:szCs w:val="28"/>
          <w:lang w:val="es-ES_tradnl"/>
        </w:rPr>
        <w:t>prohibir la extracción de un recurso de su propiedad, siempre que exista una duda razonable sobre la afectación de bienes jurídicos objeto de protección constitucional.</w:t>
      </w:r>
      <w:r w:rsidR="00E452D3" w:rsidRPr="0078289D">
        <w:rPr>
          <w:iCs/>
          <w:color w:val="000000"/>
          <w:sz w:val="28"/>
          <w:szCs w:val="28"/>
          <w:lang w:val="es-ES_tradnl"/>
        </w:rPr>
        <w:t xml:space="preserve"> Aceptar una posición contraria, </w:t>
      </w:r>
      <w:r w:rsidR="005E14EC" w:rsidRPr="0078289D">
        <w:rPr>
          <w:iCs/>
          <w:color w:val="000000"/>
          <w:sz w:val="28"/>
          <w:szCs w:val="28"/>
          <w:lang w:val="es-ES_tradnl"/>
        </w:rPr>
        <w:t xml:space="preserve">limitando la actividad del </w:t>
      </w:r>
      <w:r w:rsidR="00CA0A76" w:rsidRPr="0078289D">
        <w:rPr>
          <w:iCs/>
          <w:color w:val="000000"/>
          <w:sz w:val="28"/>
          <w:szCs w:val="28"/>
          <w:lang w:val="es-ES_tradnl"/>
        </w:rPr>
        <w:t>Legislador</w:t>
      </w:r>
      <w:r w:rsidR="005E14EC" w:rsidRPr="0078289D">
        <w:rPr>
          <w:iCs/>
          <w:color w:val="000000"/>
          <w:sz w:val="28"/>
          <w:szCs w:val="28"/>
          <w:lang w:val="es-ES_tradnl"/>
        </w:rPr>
        <w:t xml:space="preserve"> y del gobierno a la inexistencia de contratos de concesión</w:t>
      </w:r>
      <w:r w:rsidR="00E452D3" w:rsidRPr="0078289D">
        <w:rPr>
          <w:iCs/>
          <w:color w:val="000000"/>
          <w:sz w:val="28"/>
          <w:szCs w:val="28"/>
          <w:lang w:val="es-ES_tradnl"/>
        </w:rPr>
        <w:t xml:space="preserve"> equivaldría sujetar </w:t>
      </w:r>
      <w:r w:rsidR="005E14EC" w:rsidRPr="0078289D">
        <w:rPr>
          <w:iCs/>
          <w:color w:val="000000"/>
          <w:sz w:val="28"/>
          <w:szCs w:val="28"/>
          <w:lang w:val="es-ES_tradnl"/>
        </w:rPr>
        <w:t xml:space="preserve">la actividad legislativa a intereses particulares, </w:t>
      </w:r>
      <w:r w:rsidR="00DE286B" w:rsidRPr="0078289D">
        <w:rPr>
          <w:iCs/>
          <w:color w:val="000000"/>
          <w:sz w:val="28"/>
          <w:szCs w:val="28"/>
          <w:lang w:val="es-ES_tradnl"/>
        </w:rPr>
        <w:t>estancar la capacidad del ordenamiento de responder a los cambios sociales, e</w:t>
      </w:r>
      <w:r w:rsidR="005E14EC" w:rsidRPr="0078289D">
        <w:rPr>
          <w:iCs/>
          <w:color w:val="000000"/>
          <w:sz w:val="28"/>
          <w:szCs w:val="28"/>
          <w:lang w:val="es-ES_tradnl"/>
        </w:rPr>
        <w:t xml:space="preserve"> invertir la regla constitucional de prevalencia del interés general. </w:t>
      </w:r>
    </w:p>
    <w:p w:rsidR="00F32BD8" w:rsidRPr="0078289D" w:rsidRDefault="00F32BD8"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7F3BDD" w:rsidRPr="0078289D" w:rsidRDefault="009B1172"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r w:rsidRPr="0078289D">
        <w:rPr>
          <w:iCs/>
          <w:color w:val="000000"/>
          <w:sz w:val="28"/>
          <w:szCs w:val="28"/>
          <w:lang w:val="es-ES_tradnl"/>
        </w:rPr>
        <w:t xml:space="preserve">Siendo ello así, </w:t>
      </w:r>
      <w:r w:rsidR="005B7A4A" w:rsidRPr="0078289D">
        <w:rPr>
          <w:iCs/>
          <w:color w:val="000000"/>
          <w:sz w:val="28"/>
          <w:szCs w:val="28"/>
          <w:lang w:val="es-ES_tradnl"/>
        </w:rPr>
        <w:t xml:space="preserve">en virtud de la prevalencia del interés general sobre el particular </w:t>
      </w:r>
      <w:r w:rsidRPr="0078289D">
        <w:rPr>
          <w:iCs/>
          <w:color w:val="000000"/>
          <w:sz w:val="28"/>
          <w:szCs w:val="28"/>
          <w:lang w:val="es-ES_tradnl"/>
        </w:rPr>
        <w:t xml:space="preserve">es perfectamente posible desde el punto de vista constitucional que el </w:t>
      </w:r>
      <w:r w:rsidR="00CA0A76" w:rsidRPr="0078289D">
        <w:rPr>
          <w:iCs/>
          <w:color w:val="000000"/>
          <w:sz w:val="28"/>
          <w:szCs w:val="28"/>
          <w:lang w:val="es-ES_tradnl"/>
        </w:rPr>
        <w:t>Legislador</w:t>
      </w:r>
      <w:r w:rsidRPr="0078289D">
        <w:rPr>
          <w:iCs/>
          <w:color w:val="000000"/>
          <w:sz w:val="28"/>
          <w:szCs w:val="28"/>
          <w:lang w:val="es-ES_tradnl"/>
        </w:rPr>
        <w:t xml:space="preserve"> prohíba una actividad </w:t>
      </w:r>
      <w:r w:rsidR="00EA6339" w:rsidRPr="0078289D">
        <w:rPr>
          <w:iCs/>
          <w:color w:val="000000"/>
          <w:sz w:val="28"/>
          <w:szCs w:val="28"/>
          <w:lang w:val="es-ES_tradnl"/>
        </w:rPr>
        <w:t>que estaba desarrollando en conjunto con un particular, cuando con ello se pretenda evitar un riesgo para un bien jurídicamente pr</w:t>
      </w:r>
      <w:r w:rsidR="005B7A4A" w:rsidRPr="0078289D">
        <w:rPr>
          <w:iCs/>
          <w:color w:val="000000"/>
          <w:sz w:val="28"/>
          <w:szCs w:val="28"/>
          <w:lang w:val="es-ES_tradnl"/>
        </w:rPr>
        <w:t>otegido</w:t>
      </w:r>
      <w:r w:rsidR="00EA6339" w:rsidRPr="0078289D">
        <w:rPr>
          <w:iCs/>
          <w:color w:val="000000"/>
          <w:sz w:val="28"/>
          <w:szCs w:val="28"/>
          <w:lang w:val="es-ES_tradnl"/>
        </w:rPr>
        <w:t xml:space="preserve">. </w:t>
      </w:r>
      <w:r w:rsidR="005B7A4A" w:rsidRPr="0078289D">
        <w:rPr>
          <w:iCs/>
          <w:color w:val="000000"/>
          <w:sz w:val="28"/>
          <w:szCs w:val="28"/>
          <w:lang w:val="es-ES_tradnl"/>
        </w:rPr>
        <w:t xml:space="preserve">Por lo tanto, el hecho de que en la primera hipótesis el Estado haya suscrito un contrato de concesión con el particular no le impide al </w:t>
      </w:r>
      <w:r w:rsidR="00CA0A76" w:rsidRPr="0078289D">
        <w:rPr>
          <w:iCs/>
          <w:color w:val="000000"/>
          <w:sz w:val="28"/>
          <w:szCs w:val="28"/>
          <w:lang w:val="es-ES_tradnl"/>
        </w:rPr>
        <w:t>Legislador</w:t>
      </w:r>
      <w:r w:rsidR="005B7A4A" w:rsidRPr="0078289D">
        <w:rPr>
          <w:iCs/>
          <w:color w:val="000000"/>
          <w:sz w:val="28"/>
          <w:szCs w:val="28"/>
          <w:lang w:val="es-ES_tradnl"/>
        </w:rPr>
        <w:t xml:space="preserve"> prohibir la actividad respectiva, incluso durante la vigencia del contrato mismo. </w:t>
      </w:r>
      <w:r w:rsidR="001A547C" w:rsidRPr="0078289D">
        <w:rPr>
          <w:iCs/>
          <w:color w:val="000000"/>
          <w:sz w:val="28"/>
          <w:szCs w:val="28"/>
          <w:lang w:val="es-ES_tradnl"/>
        </w:rPr>
        <w:t>En esa medida</w:t>
      </w:r>
      <w:r w:rsidR="00047FB0" w:rsidRPr="0078289D">
        <w:rPr>
          <w:iCs/>
          <w:color w:val="000000"/>
          <w:sz w:val="28"/>
          <w:szCs w:val="28"/>
          <w:lang w:val="es-ES_tradnl"/>
        </w:rPr>
        <w:t xml:space="preserve">, </w:t>
      </w:r>
      <w:r w:rsidR="00B853EE" w:rsidRPr="0078289D">
        <w:rPr>
          <w:iCs/>
          <w:color w:val="000000"/>
          <w:sz w:val="28"/>
          <w:szCs w:val="28"/>
          <w:lang w:val="es-ES_tradnl"/>
        </w:rPr>
        <w:t xml:space="preserve">no es atendible el argumento del Procurador General, según el cual la disposición acusada persigue un fin constitucionalmente válido que es el de armonizar </w:t>
      </w:r>
      <w:r w:rsidR="00D76954" w:rsidRPr="0078289D">
        <w:rPr>
          <w:iCs/>
          <w:color w:val="000000"/>
          <w:sz w:val="28"/>
          <w:szCs w:val="28"/>
          <w:lang w:val="es-ES_tradnl"/>
        </w:rPr>
        <w:t xml:space="preserve">bienes jurídicos, </w:t>
      </w:r>
      <w:r w:rsidR="001A547C" w:rsidRPr="0078289D">
        <w:rPr>
          <w:iCs/>
          <w:color w:val="000000"/>
          <w:sz w:val="28"/>
          <w:szCs w:val="28"/>
          <w:lang w:val="es-ES_tradnl"/>
        </w:rPr>
        <w:t>y en particular, la libertad económica con la protección del med</w:t>
      </w:r>
      <w:r w:rsidR="00000491" w:rsidRPr="0078289D">
        <w:rPr>
          <w:iCs/>
          <w:color w:val="000000"/>
          <w:sz w:val="28"/>
          <w:szCs w:val="28"/>
          <w:lang w:val="es-ES_tradnl"/>
        </w:rPr>
        <w:t xml:space="preserve">io ambiente, toda vez que el texto constitucional mismo contiene una regla de prevalencia del interés general. </w:t>
      </w:r>
    </w:p>
    <w:p w:rsidR="00C0233C" w:rsidRPr="0078289D" w:rsidRDefault="00C0233C"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C0233C" w:rsidRPr="0078289D" w:rsidRDefault="00C0233C" w:rsidP="0078289D">
      <w:pPr>
        <w:pBdr>
          <w:top w:val="none" w:sz="0" w:space="0" w:color="auto"/>
          <w:left w:val="none" w:sz="0" w:space="0" w:color="auto"/>
          <w:bottom w:val="none" w:sz="0" w:space="0" w:color="auto"/>
          <w:right w:val="none" w:sz="0" w:space="0" w:color="auto"/>
        </w:pBdr>
        <w:jc w:val="both"/>
        <w:rPr>
          <w:i/>
          <w:iCs/>
          <w:color w:val="000000"/>
          <w:sz w:val="28"/>
          <w:szCs w:val="28"/>
          <w:lang w:val="es-ES_tradnl"/>
        </w:rPr>
      </w:pPr>
      <w:r w:rsidRPr="0078289D">
        <w:rPr>
          <w:iCs/>
          <w:color w:val="000000"/>
          <w:sz w:val="28"/>
          <w:szCs w:val="28"/>
          <w:lang w:val="es-ES_tradnl"/>
        </w:rPr>
        <w:t xml:space="preserve">En el presente caso </w:t>
      </w:r>
      <w:r w:rsidR="00BF03F5" w:rsidRPr="0078289D">
        <w:rPr>
          <w:iCs/>
          <w:color w:val="000000"/>
          <w:sz w:val="28"/>
          <w:szCs w:val="28"/>
          <w:lang w:val="es-ES_tradnl"/>
        </w:rPr>
        <w:t>el L</w:t>
      </w:r>
      <w:r w:rsidR="002F2631" w:rsidRPr="0078289D">
        <w:rPr>
          <w:iCs/>
          <w:color w:val="000000"/>
          <w:sz w:val="28"/>
          <w:szCs w:val="28"/>
          <w:lang w:val="es-ES_tradnl"/>
        </w:rPr>
        <w:t>egislador prohibió, mediante la</w:t>
      </w:r>
      <w:r w:rsidR="00BF03F5" w:rsidRPr="0078289D">
        <w:rPr>
          <w:iCs/>
          <w:color w:val="000000"/>
          <w:sz w:val="28"/>
          <w:szCs w:val="28"/>
          <w:lang w:val="es-ES_tradnl"/>
        </w:rPr>
        <w:t>s</w:t>
      </w:r>
      <w:r w:rsidR="00B35467" w:rsidRPr="0078289D">
        <w:rPr>
          <w:iCs/>
          <w:color w:val="000000"/>
          <w:sz w:val="28"/>
          <w:szCs w:val="28"/>
          <w:lang w:val="es-ES_tradnl"/>
        </w:rPr>
        <w:t xml:space="preserve"> Ley</w:t>
      </w:r>
      <w:r w:rsidR="00BF03F5" w:rsidRPr="0078289D">
        <w:rPr>
          <w:iCs/>
          <w:color w:val="000000"/>
          <w:sz w:val="28"/>
          <w:szCs w:val="28"/>
          <w:lang w:val="es-ES_tradnl"/>
        </w:rPr>
        <w:t>es</w:t>
      </w:r>
      <w:r w:rsidR="00B35467" w:rsidRPr="0078289D">
        <w:rPr>
          <w:iCs/>
          <w:color w:val="000000"/>
          <w:sz w:val="28"/>
          <w:szCs w:val="28"/>
          <w:lang w:val="es-ES_tradnl"/>
        </w:rPr>
        <w:t xml:space="preserve"> 1450 de 2010 y 1382 de 2011</w:t>
      </w:r>
      <w:r w:rsidR="002F2631" w:rsidRPr="0078289D">
        <w:rPr>
          <w:iCs/>
          <w:color w:val="000000"/>
          <w:sz w:val="28"/>
          <w:szCs w:val="28"/>
          <w:lang w:val="es-ES_tradnl"/>
        </w:rPr>
        <w:t>,</w:t>
      </w:r>
      <w:r w:rsidRPr="0078289D">
        <w:rPr>
          <w:iCs/>
          <w:color w:val="000000"/>
          <w:sz w:val="28"/>
          <w:szCs w:val="28"/>
          <w:lang w:val="es-ES_tradnl"/>
        </w:rPr>
        <w:t xml:space="preserve"> la ejecución </w:t>
      </w:r>
      <w:r w:rsidR="00B35467" w:rsidRPr="0078289D">
        <w:rPr>
          <w:iCs/>
          <w:color w:val="000000"/>
          <w:sz w:val="28"/>
          <w:szCs w:val="28"/>
          <w:lang w:val="es-ES_tradnl"/>
        </w:rPr>
        <w:t xml:space="preserve">de </w:t>
      </w:r>
      <w:r w:rsidR="002F2631" w:rsidRPr="0078289D">
        <w:rPr>
          <w:iCs/>
          <w:color w:val="000000"/>
          <w:sz w:val="28"/>
          <w:szCs w:val="28"/>
          <w:lang w:val="es-ES_tradnl"/>
        </w:rPr>
        <w:t xml:space="preserve">proyectos y actividades </w:t>
      </w:r>
      <w:r w:rsidR="00B35467" w:rsidRPr="0078289D">
        <w:rPr>
          <w:iCs/>
          <w:color w:val="000000"/>
          <w:sz w:val="28"/>
          <w:szCs w:val="28"/>
          <w:lang w:val="es-ES_tradnl"/>
        </w:rPr>
        <w:t xml:space="preserve">exploración y explotación </w:t>
      </w:r>
      <w:r w:rsidR="002F2631" w:rsidRPr="0078289D">
        <w:rPr>
          <w:iCs/>
          <w:color w:val="000000"/>
          <w:sz w:val="28"/>
          <w:szCs w:val="28"/>
          <w:lang w:val="es-ES_tradnl"/>
        </w:rPr>
        <w:t>de minería e hidrocarburos</w:t>
      </w:r>
      <w:r w:rsidR="0018576A" w:rsidRPr="0078289D">
        <w:rPr>
          <w:iCs/>
          <w:color w:val="000000"/>
          <w:sz w:val="28"/>
          <w:szCs w:val="28"/>
          <w:lang w:val="es-ES_tradnl"/>
        </w:rPr>
        <w:t xml:space="preserve"> en </w:t>
      </w:r>
      <w:r w:rsidR="00EB2ED3" w:rsidRPr="0078289D">
        <w:rPr>
          <w:iCs/>
          <w:color w:val="000000"/>
          <w:sz w:val="28"/>
          <w:szCs w:val="28"/>
          <w:lang w:val="es-ES_tradnl"/>
        </w:rPr>
        <w:t>las áreas</w:t>
      </w:r>
      <w:r w:rsidR="0018576A" w:rsidRPr="0078289D">
        <w:rPr>
          <w:iCs/>
          <w:color w:val="000000"/>
          <w:sz w:val="28"/>
          <w:szCs w:val="28"/>
          <w:lang w:val="es-ES_tradnl"/>
        </w:rPr>
        <w:t xml:space="preserve"> </w:t>
      </w:r>
      <w:r w:rsidR="00604CF2" w:rsidRPr="0078289D">
        <w:rPr>
          <w:iCs/>
          <w:color w:val="000000"/>
          <w:sz w:val="28"/>
          <w:szCs w:val="28"/>
          <w:lang w:val="es-ES_tradnl"/>
        </w:rPr>
        <w:t xml:space="preserve">que hubieran sido </w:t>
      </w:r>
      <w:r w:rsidR="0018576A" w:rsidRPr="0078289D">
        <w:rPr>
          <w:iCs/>
          <w:color w:val="000000"/>
          <w:sz w:val="28"/>
          <w:szCs w:val="28"/>
          <w:lang w:val="es-ES_tradnl"/>
        </w:rPr>
        <w:t>de</w:t>
      </w:r>
      <w:r w:rsidR="00EB2ED3" w:rsidRPr="0078289D">
        <w:rPr>
          <w:iCs/>
          <w:color w:val="000000"/>
          <w:sz w:val="28"/>
          <w:szCs w:val="28"/>
          <w:lang w:val="es-ES_tradnl"/>
        </w:rPr>
        <w:t>limitadas como</w:t>
      </w:r>
      <w:r w:rsidR="0018576A" w:rsidRPr="0078289D">
        <w:rPr>
          <w:iCs/>
          <w:color w:val="000000"/>
          <w:sz w:val="28"/>
          <w:szCs w:val="28"/>
          <w:lang w:val="es-ES_tradnl"/>
        </w:rPr>
        <w:t xml:space="preserve"> páramo</w:t>
      </w:r>
      <w:r w:rsidR="00EB2ED3" w:rsidRPr="0078289D">
        <w:rPr>
          <w:iCs/>
          <w:color w:val="000000"/>
          <w:sz w:val="28"/>
          <w:szCs w:val="28"/>
          <w:lang w:val="es-ES_tradnl"/>
        </w:rPr>
        <w:t>s</w:t>
      </w:r>
      <w:r w:rsidR="0018576A" w:rsidRPr="0078289D">
        <w:rPr>
          <w:iCs/>
          <w:color w:val="000000"/>
          <w:sz w:val="28"/>
          <w:szCs w:val="28"/>
          <w:lang w:val="es-ES_tradnl"/>
        </w:rPr>
        <w:t xml:space="preserve">. </w:t>
      </w:r>
      <w:r w:rsidR="00851C43" w:rsidRPr="0078289D">
        <w:rPr>
          <w:iCs/>
          <w:color w:val="000000"/>
          <w:sz w:val="28"/>
          <w:szCs w:val="28"/>
          <w:lang w:val="es-ES_tradnl"/>
        </w:rPr>
        <w:t xml:space="preserve">Así mismo, le </w:t>
      </w:r>
      <w:r w:rsidR="009C7E53" w:rsidRPr="0078289D">
        <w:rPr>
          <w:iCs/>
          <w:color w:val="000000"/>
          <w:sz w:val="28"/>
          <w:szCs w:val="28"/>
          <w:lang w:val="es-ES_tradnl"/>
        </w:rPr>
        <w:t xml:space="preserve">impuso al Ministerio de Ambiente y Desarrollo Sostenible la obligación de adelantar la delimitación de los páramos. </w:t>
      </w:r>
      <w:r w:rsidR="00066E53" w:rsidRPr="0078289D">
        <w:rPr>
          <w:iCs/>
          <w:color w:val="000000"/>
          <w:sz w:val="28"/>
          <w:szCs w:val="28"/>
          <w:lang w:val="es-ES_tradnl"/>
        </w:rPr>
        <w:t>Sin embargo, e</w:t>
      </w:r>
      <w:r w:rsidR="00B72E2D" w:rsidRPr="0078289D">
        <w:rPr>
          <w:iCs/>
          <w:color w:val="000000"/>
          <w:sz w:val="28"/>
          <w:szCs w:val="28"/>
          <w:lang w:val="es-ES_tradnl"/>
        </w:rPr>
        <w:t xml:space="preserve">l único </w:t>
      </w:r>
      <w:r w:rsidR="005C2034" w:rsidRPr="0078289D">
        <w:rPr>
          <w:iCs/>
          <w:color w:val="000000"/>
          <w:sz w:val="28"/>
          <w:szCs w:val="28"/>
          <w:lang w:val="es-ES_tradnl"/>
        </w:rPr>
        <w:t xml:space="preserve">de los </w:t>
      </w:r>
      <w:r w:rsidR="00B72E2D" w:rsidRPr="0078289D">
        <w:rPr>
          <w:iCs/>
          <w:color w:val="000000"/>
          <w:sz w:val="28"/>
          <w:szCs w:val="28"/>
          <w:lang w:val="es-ES_tradnl"/>
        </w:rPr>
        <w:t>páramos</w:t>
      </w:r>
      <w:r w:rsidR="005C2034" w:rsidRPr="0078289D">
        <w:rPr>
          <w:iCs/>
          <w:color w:val="000000"/>
          <w:sz w:val="28"/>
          <w:szCs w:val="28"/>
          <w:lang w:val="es-ES_tradnl"/>
        </w:rPr>
        <w:t xml:space="preserve"> de nuestro país</w:t>
      </w:r>
      <w:r w:rsidR="00B72E2D" w:rsidRPr="0078289D">
        <w:rPr>
          <w:iCs/>
          <w:color w:val="000000"/>
          <w:sz w:val="28"/>
          <w:szCs w:val="28"/>
          <w:lang w:val="es-ES_tradnl"/>
        </w:rPr>
        <w:t xml:space="preserve"> </w:t>
      </w:r>
      <w:r w:rsidR="005C2034" w:rsidRPr="0078289D">
        <w:rPr>
          <w:iCs/>
          <w:color w:val="000000"/>
          <w:sz w:val="28"/>
          <w:szCs w:val="28"/>
          <w:lang w:val="es-ES_tradnl"/>
        </w:rPr>
        <w:t xml:space="preserve">que fue </w:t>
      </w:r>
      <w:r w:rsidR="00B72E2D" w:rsidRPr="0078289D">
        <w:rPr>
          <w:iCs/>
          <w:color w:val="000000"/>
          <w:sz w:val="28"/>
          <w:szCs w:val="28"/>
          <w:lang w:val="es-ES_tradnl"/>
        </w:rPr>
        <w:t xml:space="preserve">delimitado durante la vigencia de la prohibición fue el de Santurbán, </w:t>
      </w:r>
      <w:r w:rsidR="00432891" w:rsidRPr="0078289D">
        <w:rPr>
          <w:iCs/>
          <w:color w:val="000000"/>
          <w:sz w:val="28"/>
          <w:szCs w:val="28"/>
          <w:lang w:val="es-ES_tradnl"/>
        </w:rPr>
        <w:t>mediante la Resolución 2090 de</w:t>
      </w:r>
      <w:r w:rsidR="00066E53" w:rsidRPr="0078289D">
        <w:rPr>
          <w:iCs/>
          <w:color w:val="000000"/>
          <w:sz w:val="28"/>
          <w:szCs w:val="28"/>
          <w:lang w:val="es-ES_tradnl"/>
        </w:rPr>
        <w:t>l</w:t>
      </w:r>
      <w:r w:rsidR="00B72E2D" w:rsidRPr="0078289D">
        <w:rPr>
          <w:iCs/>
          <w:color w:val="000000"/>
          <w:sz w:val="28"/>
          <w:szCs w:val="28"/>
          <w:lang w:val="es-ES_tradnl"/>
        </w:rPr>
        <w:t xml:space="preserve"> </w:t>
      </w:r>
      <w:r w:rsidR="00432891" w:rsidRPr="0078289D">
        <w:rPr>
          <w:iCs/>
          <w:color w:val="000000"/>
          <w:sz w:val="28"/>
          <w:szCs w:val="28"/>
          <w:lang w:val="es-ES_tradnl"/>
        </w:rPr>
        <w:t>19 de diciembre de 2014</w:t>
      </w:r>
      <w:r w:rsidR="00B72E2D" w:rsidRPr="0078289D">
        <w:rPr>
          <w:iCs/>
          <w:color w:val="000000"/>
          <w:sz w:val="28"/>
          <w:szCs w:val="28"/>
          <w:lang w:val="es-ES_tradnl"/>
        </w:rPr>
        <w:t xml:space="preserve">. </w:t>
      </w:r>
      <w:r w:rsidR="00AA165D" w:rsidRPr="0078289D">
        <w:rPr>
          <w:iCs/>
          <w:color w:val="000000"/>
          <w:sz w:val="28"/>
          <w:szCs w:val="28"/>
          <w:lang w:val="es-ES_tradnl"/>
        </w:rPr>
        <w:t xml:space="preserve">Por lo tanto, aun cuando los actos administrativos </w:t>
      </w:r>
      <w:r w:rsidR="005806A4" w:rsidRPr="0078289D">
        <w:rPr>
          <w:iCs/>
          <w:color w:val="000000"/>
          <w:sz w:val="28"/>
          <w:szCs w:val="28"/>
          <w:lang w:val="es-ES_tradnl"/>
        </w:rPr>
        <w:t>mediante los cuales se expidieron las licencias y permisos ambientales, y los contratos de concesión seguían siendo válidos a la luz de nuestro ordenamiento, hab</w:t>
      </w:r>
      <w:r w:rsidR="00376C13" w:rsidRPr="0078289D">
        <w:rPr>
          <w:iCs/>
          <w:color w:val="000000"/>
          <w:sz w:val="28"/>
          <w:szCs w:val="28"/>
          <w:lang w:val="es-ES_tradnl"/>
        </w:rPr>
        <w:t>ían perdido su fundamento ju</w:t>
      </w:r>
      <w:r w:rsidR="00BF03F5" w:rsidRPr="0078289D">
        <w:rPr>
          <w:iCs/>
          <w:color w:val="000000"/>
          <w:sz w:val="28"/>
          <w:szCs w:val="28"/>
          <w:lang w:val="es-ES_tradnl"/>
        </w:rPr>
        <w:t>rídico, en la medida en que el L</w:t>
      </w:r>
      <w:r w:rsidR="00376C13" w:rsidRPr="0078289D">
        <w:rPr>
          <w:iCs/>
          <w:color w:val="000000"/>
          <w:sz w:val="28"/>
          <w:szCs w:val="28"/>
          <w:lang w:val="es-ES_tradnl"/>
        </w:rPr>
        <w:t xml:space="preserve">egislador limitó la libertad económica </w:t>
      </w:r>
      <w:r w:rsidR="0038270F" w:rsidRPr="0078289D">
        <w:rPr>
          <w:iCs/>
          <w:color w:val="000000"/>
          <w:sz w:val="28"/>
          <w:szCs w:val="28"/>
          <w:lang w:val="es-ES_tradnl"/>
        </w:rPr>
        <w:t xml:space="preserve">de los particulares </w:t>
      </w:r>
      <w:r w:rsidR="00376C13" w:rsidRPr="0078289D">
        <w:rPr>
          <w:iCs/>
          <w:color w:val="000000"/>
          <w:sz w:val="28"/>
          <w:szCs w:val="28"/>
          <w:lang w:val="es-ES_tradnl"/>
        </w:rPr>
        <w:t xml:space="preserve">para </w:t>
      </w:r>
      <w:r w:rsidR="00A01087" w:rsidRPr="0078289D">
        <w:rPr>
          <w:iCs/>
          <w:color w:val="000000"/>
          <w:sz w:val="28"/>
          <w:szCs w:val="28"/>
          <w:lang w:val="es-ES_tradnl"/>
        </w:rPr>
        <w:t xml:space="preserve">desarrollar </w:t>
      </w:r>
      <w:r w:rsidR="00D54402" w:rsidRPr="0078289D">
        <w:rPr>
          <w:iCs/>
          <w:color w:val="000000"/>
          <w:sz w:val="28"/>
          <w:szCs w:val="28"/>
          <w:lang w:val="es-ES_tradnl"/>
        </w:rPr>
        <w:t xml:space="preserve">actividades de minería e hidrocarburos en páramos. </w:t>
      </w:r>
    </w:p>
    <w:p w:rsidR="007F3BDD" w:rsidRPr="0078289D" w:rsidRDefault="007F3BDD" w:rsidP="0078289D">
      <w:pPr>
        <w:pBdr>
          <w:top w:val="none" w:sz="0" w:space="0" w:color="auto"/>
          <w:left w:val="none" w:sz="0" w:space="0" w:color="auto"/>
          <w:bottom w:val="none" w:sz="0" w:space="0" w:color="auto"/>
          <w:right w:val="none" w:sz="0" w:space="0" w:color="auto"/>
        </w:pBdr>
        <w:jc w:val="both"/>
        <w:rPr>
          <w:iCs/>
          <w:color w:val="000000"/>
          <w:sz w:val="28"/>
          <w:szCs w:val="28"/>
          <w:lang w:val="es-ES_tradnl"/>
        </w:rPr>
      </w:pPr>
    </w:p>
    <w:p w:rsidR="007F3BDD" w:rsidRPr="0078289D" w:rsidRDefault="007F1B26"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127. </w:t>
      </w:r>
      <w:r w:rsidR="007F3BDD" w:rsidRPr="0078289D">
        <w:rPr>
          <w:color w:val="000000"/>
          <w:sz w:val="28"/>
          <w:szCs w:val="28"/>
          <w:lang w:val="es-ES_tradnl"/>
        </w:rPr>
        <w:t>Ahora bien, otro de los principales instrumentos requeridos para el desarrollo de actividades extractivas de recursos naturales no renovables es la licencia ambiental</w:t>
      </w:r>
      <w:r w:rsidR="00B71473" w:rsidRPr="0078289D">
        <w:rPr>
          <w:color w:val="000000"/>
          <w:sz w:val="28"/>
          <w:szCs w:val="28"/>
          <w:lang w:val="es-ES_tradnl"/>
        </w:rPr>
        <w:t xml:space="preserve">, la cual constituye un requisito para </w:t>
      </w:r>
      <w:r w:rsidR="005E7044" w:rsidRPr="0078289D">
        <w:rPr>
          <w:color w:val="000000"/>
          <w:sz w:val="28"/>
          <w:szCs w:val="28"/>
          <w:lang w:val="es-ES_tradnl"/>
        </w:rPr>
        <w:t>que la Administración pueda suscribir contratos de concesión</w:t>
      </w:r>
      <w:r w:rsidR="00DC4968" w:rsidRPr="0078289D">
        <w:rPr>
          <w:color w:val="000000"/>
          <w:sz w:val="28"/>
          <w:szCs w:val="28"/>
          <w:lang w:val="es-ES_tradnl"/>
        </w:rPr>
        <w:t xml:space="preserve"> para adelantar actividades de minería e hidrocarburos</w:t>
      </w:r>
      <w:r w:rsidR="007F3BDD" w:rsidRPr="0078289D">
        <w:rPr>
          <w:color w:val="000000"/>
          <w:sz w:val="28"/>
          <w:szCs w:val="28"/>
          <w:lang w:val="es-ES_tradnl"/>
        </w:rPr>
        <w:t xml:space="preserve">. De conformidad con la jurisprudencia de esta Corporación, </w:t>
      </w:r>
      <w:r w:rsidR="00DC4968" w:rsidRPr="0078289D">
        <w:rPr>
          <w:color w:val="000000"/>
          <w:sz w:val="28"/>
          <w:szCs w:val="28"/>
          <w:lang w:val="es-ES_tradnl"/>
        </w:rPr>
        <w:t xml:space="preserve">la exigencia previa de </w:t>
      </w:r>
      <w:r w:rsidR="007F3BDD" w:rsidRPr="0078289D">
        <w:rPr>
          <w:color w:val="000000"/>
          <w:sz w:val="28"/>
          <w:szCs w:val="28"/>
          <w:lang w:val="es-ES_tradnl"/>
        </w:rPr>
        <w:t>l</w:t>
      </w:r>
      <w:r w:rsidR="00DC4968" w:rsidRPr="0078289D">
        <w:rPr>
          <w:color w:val="000000"/>
          <w:sz w:val="28"/>
          <w:szCs w:val="28"/>
          <w:lang w:val="es-ES_tradnl"/>
        </w:rPr>
        <w:t>as licencias ambientales cumple</w:t>
      </w:r>
      <w:r w:rsidR="007F3BDD" w:rsidRPr="0078289D">
        <w:rPr>
          <w:color w:val="000000"/>
          <w:sz w:val="28"/>
          <w:szCs w:val="28"/>
          <w:lang w:val="es-ES_tradnl"/>
        </w:rPr>
        <w:t xml:space="preserve"> un papel preventivo de protección medioambiental. Sobre el particular, la </w:t>
      </w:r>
      <w:r w:rsidR="004D2941" w:rsidRPr="0078289D">
        <w:rPr>
          <w:color w:val="000000"/>
          <w:sz w:val="28"/>
          <w:szCs w:val="28"/>
          <w:lang w:val="es-ES_tradnl"/>
        </w:rPr>
        <w:t>C</w:t>
      </w:r>
      <w:r w:rsidR="007F3BDD" w:rsidRPr="0078289D">
        <w:rPr>
          <w:color w:val="000000"/>
          <w:sz w:val="28"/>
          <w:szCs w:val="28"/>
          <w:lang w:val="es-ES_tradnl"/>
        </w:rPr>
        <w:t>orte ha dicho lo siguiente:</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567"/>
        <w:jc w:val="both"/>
        <w:rPr>
          <w:i/>
          <w:color w:val="000000"/>
          <w:sz w:val="28"/>
          <w:szCs w:val="28"/>
          <w:lang w:val="es-ES_tradnl"/>
        </w:rPr>
      </w:pPr>
      <w:r w:rsidRPr="0078289D">
        <w:rPr>
          <w:i/>
          <w:color w:val="000000"/>
          <w:sz w:val="28"/>
          <w:szCs w:val="28"/>
          <w:lang w:val="es-ES_tradnl"/>
        </w:rPr>
        <w:t xml:space="preserve">“La licencia ambiental consiste en la autorización que la autoridad ambiental concede para la ejecución de una obra o actividad que potencialmente puede afectar los recursos naturales renovables o el </w:t>
      </w:r>
      <w:r w:rsidRPr="0078289D">
        <w:rPr>
          <w:i/>
          <w:color w:val="000000"/>
          <w:sz w:val="28"/>
          <w:szCs w:val="28"/>
          <w:lang w:val="es-ES_tradnl"/>
        </w:rPr>
        <w:lastRenderedPageBreak/>
        <w:t>ambiente. (…) De este modo, la licencia ambiental tiene indudablemente un fin preventivo o precautorio en la medida en que busca eliminar o por lo menos prevenir, mitigar o reversar, en cuanto sea posible, con la ayuda de la ciencia y la técnica, los efectos nocivos de una actividad en los recursos naturales y el ambiente.”</w:t>
      </w:r>
      <w:r w:rsidRPr="0078289D">
        <w:rPr>
          <w:rStyle w:val="Refdenotaalpie"/>
          <w:i/>
          <w:sz w:val="28"/>
          <w:szCs w:val="28"/>
          <w:lang w:val="es-ES_tradnl"/>
        </w:rPr>
        <w:footnoteReference w:id="97"/>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854220"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128. </w:t>
      </w:r>
      <w:r w:rsidR="007F3BDD" w:rsidRPr="0078289D">
        <w:rPr>
          <w:color w:val="000000"/>
          <w:sz w:val="28"/>
          <w:szCs w:val="28"/>
          <w:lang w:val="es-ES_tradnl"/>
        </w:rPr>
        <w:t>De la misma manera, la Corte también ha expresado que el requerimiento de la licencia ambiental para el desarrollo de estas actividades es una de las formas en las que el Estado interviene en la economía y limita la libre iniciativa privada: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567"/>
        <w:jc w:val="both"/>
        <w:rPr>
          <w:i/>
          <w:color w:val="000000"/>
          <w:sz w:val="28"/>
          <w:szCs w:val="28"/>
          <w:lang w:val="es-ES_tradnl"/>
        </w:rPr>
      </w:pPr>
      <w:r w:rsidRPr="0078289D">
        <w:rPr>
          <w:i/>
          <w:color w:val="000000"/>
          <w:sz w:val="28"/>
          <w:szCs w:val="28"/>
          <w:lang w:val="es-ES_tradnl"/>
        </w:rPr>
        <w:t>“(…) la exigencia de licencias ambientales constituye un típico mecanismo de intervención del Estado en la economía, y una limitación de la libre iniciativa privada, justificada con el propósito de garantizar que la propiedad cumpla con la función ecológica que le es inherente (C.N. art. 58).”</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Con base en las anteriores consideraciones, es posible inferir que el desarrollo de esta actividad está sometido a decisiones políticas que escapan al ámbito de</w:t>
      </w:r>
      <w:r w:rsidR="00DF1D9C" w:rsidRPr="0078289D">
        <w:rPr>
          <w:color w:val="000000"/>
          <w:sz w:val="28"/>
          <w:szCs w:val="28"/>
          <w:lang w:val="es-ES_tradnl"/>
        </w:rPr>
        <w:t xml:space="preserve"> la autonomía de la voluntad de</w:t>
      </w:r>
      <w:r w:rsidRPr="0078289D">
        <w:rPr>
          <w:color w:val="000000"/>
          <w:sz w:val="28"/>
          <w:szCs w:val="28"/>
          <w:lang w:val="es-ES_tradnl"/>
        </w:rPr>
        <w:t xml:space="preserve"> los particulares, en razón </w:t>
      </w:r>
      <w:r w:rsidR="004D2941" w:rsidRPr="0078289D">
        <w:rPr>
          <w:color w:val="000000"/>
          <w:sz w:val="28"/>
          <w:szCs w:val="28"/>
          <w:lang w:val="es-ES_tradnl"/>
        </w:rPr>
        <w:t>de</w:t>
      </w:r>
      <w:r w:rsidRPr="0078289D">
        <w:rPr>
          <w:color w:val="000000"/>
          <w:sz w:val="28"/>
          <w:szCs w:val="28"/>
          <w:lang w:val="es-ES_tradnl"/>
        </w:rPr>
        <w:t xml:space="preserve"> que es </w:t>
      </w:r>
      <w:r w:rsidR="00D9060C" w:rsidRPr="0078289D">
        <w:rPr>
          <w:color w:val="000000"/>
          <w:sz w:val="28"/>
          <w:szCs w:val="28"/>
          <w:lang w:val="es-ES_tradnl"/>
        </w:rPr>
        <w:t>la Administración, por mandato del Legislador,</w:t>
      </w:r>
      <w:r w:rsidRPr="0078289D">
        <w:rPr>
          <w:color w:val="000000"/>
          <w:sz w:val="28"/>
          <w:szCs w:val="28"/>
          <w:lang w:val="es-ES_tradnl"/>
        </w:rPr>
        <w:t xml:space="preserve"> quien define cuándo, en qué condiciones y bajo qué requisitos se debe realizar la explotación de los recursos naturales no renovables</w:t>
      </w:r>
      <w:r w:rsidR="004D2941" w:rsidRPr="0078289D">
        <w:rPr>
          <w:color w:val="000000"/>
          <w:sz w:val="28"/>
          <w:szCs w:val="28"/>
          <w:lang w:val="es-ES_tradnl"/>
        </w:rPr>
        <w:t xml:space="preserve"> de su propiedad</w:t>
      </w:r>
      <w:r w:rsidRPr="0078289D">
        <w:rPr>
          <w:color w:val="000000"/>
          <w:sz w:val="28"/>
          <w:szCs w:val="28"/>
          <w:lang w:val="es-ES_tradnl"/>
        </w:rPr>
        <w:t>.</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Por tanto, si bien la actividad de explotación de recursos naturales se encuentra protegida por la Constitución, en tanto que es una actividad </w:t>
      </w:r>
      <w:r w:rsidR="00D81B35" w:rsidRPr="0078289D">
        <w:rPr>
          <w:color w:val="000000"/>
          <w:sz w:val="28"/>
          <w:szCs w:val="28"/>
          <w:lang w:val="es-ES_tradnl"/>
        </w:rPr>
        <w:t>de ex</w:t>
      </w:r>
      <w:r w:rsidR="004D2941" w:rsidRPr="0078289D">
        <w:rPr>
          <w:color w:val="000000"/>
          <w:sz w:val="28"/>
          <w:szCs w:val="28"/>
          <w:lang w:val="es-ES_tradnl"/>
        </w:rPr>
        <w:t>plotación de recursos estatales</w:t>
      </w:r>
      <w:r w:rsidRPr="0078289D">
        <w:rPr>
          <w:color w:val="000000"/>
          <w:sz w:val="28"/>
          <w:szCs w:val="28"/>
          <w:lang w:val="es-ES_tradnl"/>
        </w:rPr>
        <w:t xml:space="preserve"> debe consultar al interés general</w:t>
      </w:r>
      <w:r w:rsidR="0016023B" w:rsidRPr="0078289D">
        <w:rPr>
          <w:color w:val="000000"/>
          <w:sz w:val="28"/>
          <w:szCs w:val="28"/>
          <w:lang w:val="es-ES_tradnl"/>
        </w:rPr>
        <w:t>,</w:t>
      </w:r>
      <w:r w:rsidRPr="0078289D">
        <w:rPr>
          <w:color w:val="000000"/>
          <w:sz w:val="28"/>
          <w:szCs w:val="28"/>
          <w:lang w:val="es-ES_tradnl"/>
        </w:rPr>
        <w:t xml:space="preserve"> y por ello</w:t>
      </w:r>
      <w:r w:rsidR="0016023B" w:rsidRPr="0078289D">
        <w:rPr>
          <w:color w:val="000000"/>
          <w:sz w:val="28"/>
          <w:szCs w:val="28"/>
          <w:lang w:val="es-ES_tradnl"/>
        </w:rPr>
        <w:t>,</w:t>
      </w:r>
      <w:r w:rsidRPr="0078289D">
        <w:rPr>
          <w:color w:val="000000"/>
          <w:sz w:val="28"/>
          <w:szCs w:val="28"/>
          <w:lang w:val="es-ES_tradnl"/>
        </w:rPr>
        <w:t xml:space="preserve"> el margen de libertad de</w:t>
      </w:r>
      <w:r w:rsidR="00DF1D9C" w:rsidRPr="0078289D">
        <w:rPr>
          <w:color w:val="000000"/>
          <w:sz w:val="28"/>
          <w:szCs w:val="28"/>
          <w:lang w:val="es-ES_tradnl"/>
        </w:rPr>
        <w:t xml:space="preserve"> decisión de</w:t>
      </w:r>
      <w:r w:rsidRPr="0078289D">
        <w:rPr>
          <w:color w:val="000000"/>
          <w:sz w:val="28"/>
          <w:szCs w:val="28"/>
          <w:lang w:val="es-ES_tradnl"/>
        </w:rPr>
        <w:t xml:space="preserve"> los particulares es </w:t>
      </w:r>
      <w:r w:rsidR="004D2941" w:rsidRPr="0078289D">
        <w:rPr>
          <w:color w:val="000000"/>
          <w:sz w:val="28"/>
          <w:szCs w:val="28"/>
          <w:lang w:val="es-ES_tradnl"/>
        </w:rPr>
        <w:t>significativamente</w:t>
      </w:r>
      <w:r w:rsidRPr="0078289D">
        <w:rPr>
          <w:color w:val="000000"/>
          <w:sz w:val="28"/>
          <w:szCs w:val="28"/>
          <w:lang w:val="es-ES_tradnl"/>
        </w:rPr>
        <w:t xml:space="preserve"> menor que para el desarrollo de otras actividades económicas. Es decir, al tratarse de la explotación de recursos que son de propiedad del Estado, es éste quien tiene la facultad, no la obligación, de determinar las condiciones para que se desarrollen dichas actividades.</w:t>
      </w:r>
      <w:r w:rsidR="006811AF" w:rsidRPr="0078289D">
        <w:rPr>
          <w:color w:val="000000"/>
          <w:sz w:val="28"/>
          <w:szCs w:val="28"/>
          <w:lang w:val="es-ES_tradnl"/>
        </w:rPr>
        <w:t xml:space="preserve"> De tal modo, el hecho de que el Estado haya otorgado una licencia ambiental para llevar a cabo una actividad </w:t>
      </w:r>
      <w:r w:rsidR="00AF7324" w:rsidRPr="0078289D">
        <w:rPr>
          <w:color w:val="000000"/>
          <w:sz w:val="28"/>
          <w:szCs w:val="28"/>
          <w:lang w:val="es-ES_tradnl"/>
        </w:rPr>
        <w:t xml:space="preserve">extractiva no es óbice para que </w:t>
      </w:r>
      <w:r w:rsidR="0016023B" w:rsidRPr="0078289D">
        <w:rPr>
          <w:color w:val="000000"/>
          <w:sz w:val="28"/>
          <w:szCs w:val="28"/>
          <w:lang w:val="es-ES_tradnl"/>
        </w:rPr>
        <w:t>el mismo Estado</w:t>
      </w:r>
      <w:r w:rsidR="00AF7324" w:rsidRPr="0078289D">
        <w:rPr>
          <w:color w:val="000000"/>
          <w:sz w:val="28"/>
          <w:szCs w:val="28"/>
          <w:lang w:val="es-ES_tradnl"/>
        </w:rPr>
        <w:t xml:space="preserve"> prohíba la </w:t>
      </w:r>
      <w:r w:rsidR="009C7EB4" w:rsidRPr="0078289D">
        <w:rPr>
          <w:color w:val="000000"/>
          <w:sz w:val="28"/>
          <w:szCs w:val="28"/>
          <w:lang w:val="es-ES_tradnl"/>
        </w:rPr>
        <w:t xml:space="preserve">realización de </w:t>
      </w:r>
      <w:r w:rsidR="0016023B" w:rsidRPr="0078289D">
        <w:rPr>
          <w:color w:val="000000"/>
          <w:sz w:val="28"/>
          <w:szCs w:val="28"/>
          <w:lang w:val="es-ES_tradnl"/>
        </w:rPr>
        <w:t>tal</w:t>
      </w:r>
      <w:r w:rsidR="009C7EB4" w:rsidRPr="0078289D">
        <w:rPr>
          <w:color w:val="000000"/>
          <w:sz w:val="28"/>
          <w:szCs w:val="28"/>
          <w:lang w:val="es-ES_tradnl"/>
        </w:rPr>
        <w:t xml:space="preserve"> </w:t>
      </w:r>
      <w:r w:rsidR="00AF7324" w:rsidRPr="0078289D">
        <w:rPr>
          <w:color w:val="000000"/>
          <w:sz w:val="28"/>
          <w:szCs w:val="28"/>
          <w:lang w:val="es-ES_tradnl"/>
        </w:rPr>
        <w:t>actividad</w:t>
      </w:r>
      <w:r w:rsidR="0016023B" w:rsidRPr="0078289D">
        <w:rPr>
          <w:color w:val="000000"/>
          <w:sz w:val="28"/>
          <w:szCs w:val="28"/>
          <w:lang w:val="es-ES_tradnl"/>
        </w:rPr>
        <w:t>,</w:t>
      </w:r>
      <w:r w:rsidR="00AF7324" w:rsidRPr="0078289D">
        <w:rPr>
          <w:color w:val="000000"/>
          <w:sz w:val="28"/>
          <w:szCs w:val="28"/>
          <w:lang w:val="es-ES_tradnl"/>
        </w:rPr>
        <w:t xml:space="preserve"> con</w:t>
      </w:r>
      <w:r w:rsidR="001F45F0" w:rsidRPr="0078289D">
        <w:rPr>
          <w:color w:val="000000"/>
          <w:sz w:val="28"/>
          <w:szCs w:val="28"/>
          <w:lang w:val="es-ES_tradnl"/>
        </w:rPr>
        <w:t xml:space="preserve"> posterioridad a su expedición</w:t>
      </w:r>
      <w:r w:rsidR="00615F79" w:rsidRPr="0078289D">
        <w:rPr>
          <w:color w:val="000000"/>
          <w:sz w:val="28"/>
          <w:szCs w:val="28"/>
          <w:lang w:val="es-ES_tradnl"/>
        </w:rPr>
        <w:t>, como lo hizo el L</w:t>
      </w:r>
      <w:r w:rsidR="001F45F0" w:rsidRPr="0078289D">
        <w:rPr>
          <w:color w:val="000000"/>
          <w:sz w:val="28"/>
          <w:szCs w:val="28"/>
          <w:lang w:val="es-ES_tradnl"/>
        </w:rPr>
        <w:t>egislador en el Código de Minas y en el anterior Plan Nacional de Desarrollo</w:t>
      </w:r>
      <w:r w:rsidR="0070107D" w:rsidRPr="0078289D">
        <w:rPr>
          <w:color w:val="000000"/>
          <w:sz w:val="28"/>
          <w:szCs w:val="28"/>
          <w:lang w:val="es-ES_tradnl"/>
        </w:rPr>
        <w:t xml:space="preserve"> 2010-2014</w:t>
      </w:r>
      <w:r w:rsidR="001F45F0" w:rsidRPr="0078289D">
        <w:rPr>
          <w:color w:val="000000"/>
          <w:sz w:val="28"/>
          <w:szCs w:val="28"/>
          <w:lang w:val="es-ES_tradnl"/>
        </w:rPr>
        <w:t xml:space="preserve">. </w:t>
      </w:r>
    </w:p>
    <w:p w:rsidR="00B46C94" w:rsidRPr="0078289D" w:rsidRDefault="00B46C94"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EF3197" w:rsidRPr="0078289D" w:rsidRDefault="00B46C94"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Así lo ha sostenido esta Corporación</w:t>
      </w:r>
      <w:r w:rsidR="002C6AF4" w:rsidRPr="0078289D">
        <w:rPr>
          <w:color w:val="000000"/>
          <w:sz w:val="28"/>
          <w:szCs w:val="28"/>
          <w:lang w:val="es-ES_tradnl"/>
        </w:rPr>
        <w:t xml:space="preserve"> en la </w:t>
      </w:r>
      <w:r w:rsidR="002C6AF4" w:rsidRPr="0078289D">
        <w:rPr>
          <w:b/>
          <w:color w:val="000000"/>
          <w:sz w:val="28"/>
          <w:szCs w:val="28"/>
          <w:lang w:val="es-ES_tradnl"/>
        </w:rPr>
        <w:t>Sentencia C-293 de 2002</w:t>
      </w:r>
      <w:r w:rsidR="002C6AF4" w:rsidRPr="0078289D">
        <w:rPr>
          <w:color w:val="000000"/>
          <w:sz w:val="28"/>
          <w:szCs w:val="28"/>
          <w:lang w:val="es-ES_tradnl"/>
        </w:rPr>
        <w:t xml:space="preserve"> (M.P. Alfredo Beltrán Sierra)</w:t>
      </w:r>
      <w:r w:rsidRPr="0078289D">
        <w:rPr>
          <w:color w:val="000000"/>
          <w:sz w:val="28"/>
          <w:szCs w:val="28"/>
          <w:lang w:val="es-ES_tradnl"/>
        </w:rPr>
        <w:t xml:space="preserve">, </w:t>
      </w:r>
      <w:r w:rsidR="002C6AF4" w:rsidRPr="0078289D">
        <w:rPr>
          <w:color w:val="000000"/>
          <w:sz w:val="28"/>
          <w:szCs w:val="28"/>
          <w:lang w:val="es-ES_tradnl"/>
        </w:rPr>
        <w:t>cuando declaró</w:t>
      </w:r>
      <w:r w:rsidR="006902E3" w:rsidRPr="0078289D">
        <w:rPr>
          <w:color w:val="000000"/>
          <w:sz w:val="28"/>
          <w:szCs w:val="28"/>
          <w:lang w:val="es-ES_tradnl"/>
        </w:rPr>
        <w:t xml:space="preserve"> la constitucionalidad del literal c) del numeral 20 del a</w:t>
      </w:r>
      <w:r w:rsidR="001E04B6" w:rsidRPr="0078289D">
        <w:rPr>
          <w:color w:val="000000"/>
          <w:sz w:val="28"/>
          <w:szCs w:val="28"/>
          <w:lang w:val="es-ES_tradnl"/>
        </w:rPr>
        <w:t>rtículo 85 de la Ley 99 de 1993</w:t>
      </w:r>
      <w:r w:rsidR="005D3293" w:rsidRPr="0078289D">
        <w:rPr>
          <w:color w:val="000000"/>
          <w:sz w:val="28"/>
          <w:szCs w:val="28"/>
          <w:lang w:val="es-ES_tradnl"/>
        </w:rPr>
        <w:t>,</w:t>
      </w:r>
      <w:r w:rsidR="005E696D" w:rsidRPr="0078289D">
        <w:rPr>
          <w:color w:val="000000"/>
          <w:sz w:val="28"/>
          <w:szCs w:val="28"/>
          <w:lang w:val="es-ES_tradnl"/>
        </w:rPr>
        <w:t xml:space="preserve"> que dispone la aplicabilidad del principio de precaución </w:t>
      </w:r>
      <w:r w:rsidR="005D3293" w:rsidRPr="0078289D">
        <w:rPr>
          <w:color w:val="000000"/>
          <w:sz w:val="28"/>
          <w:szCs w:val="28"/>
          <w:lang w:val="es-ES_tradnl"/>
        </w:rPr>
        <w:t>para suspender actividades y obras</w:t>
      </w:r>
      <w:r w:rsidR="001E04B6" w:rsidRPr="0078289D">
        <w:rPr>
          <w:color w:val="000000"/>
          <w:sz w:val="28"/>
          <w:szCs w:val="28"/>
          <w:lang w:val="es-ES_tradnl"/>
        </w:rPr>
        <w:t>.</w:t>
      </w:r>
      <w:r w:rsidR="006902E3" w:rsidRPr="0078289D">
        <w:rPr>
          <w:color w:val="000000"/>
          <w:sz w:val="28"/>
          <w:szCs w:val="28"/>
          <w:lang w:val="es-ES_tradnl"/>
        </w:rPr>
        <w:t xml:space="preserve"> </w:t>
      </w:r>
      <w:r w:rsidR="003C5B3B" w:rsidRPr="0078289D">
        <w:rPr>
          <w:color w:val="000000"/>
          <w:sz w:val="28"/>
          <w:szCs w:val="28"/>
          <w:lang w:val="es-ES_tradnl"/>
        </w:rPr>
        <w:t>En efecto, u</w:t>
      </w:r>
      <w:r w:rsidR="00895390" w:rsidRPr="0078289D">
        <w:rPr>
          <w:color w:val="000000"/>
          <w:sz w:val="28"/>
          <w:szCs w:val="28"/>
          <w:lang w:val="es-ES_tradnl"/>
        </w:rPr>
        <w:t xml:space="preserve">na de las </w:t>
      </w:r>
      <w:r w:rsidR="001E04B6" w:rsidRPr="0078289D">
        <w:rPr>
          <w:color w:val="000000"/>
          <w:sz w:val="28"/>
          <w:szCs w:val="28"/>
          <w:lang w:val="es-ES_tradnl"/>
        </w:rPr>
        <w:t>disposici</w:t>
      </w:r>
      <w:r w:rsidR="00895390" w:rsidRPr="0078289D">
        <w:rPr>
          <w:color w:val="000000"/>
          <w:sz w:val="28"/>
          <w:szCs w:val="28"/>
          <w:lang w:val="es-ES_tradnl"/>
        </w:rPr>
        <w:t>ones</w:t>
      </w:r>
      <w:r w:rsidR="006902E3" w:rsidRPr="0078289D">
        <w:rPr>
          <w:color w:val="000000"/>
          <w:sz w:val="28"/>
          <w:szCs w:val="28"/>
          <w:lang w:val="es-ES_tradnl"/>
        </w:rPr>
        <w:t xml:space="preserve"> </w:t>
      </w:r>
      <w:r w:rsidR="00895390" w:rsidRPr="0078289D">
        <w:rPr>
          <w:color w:val="000000"/>
          <w:sz w:val="28"/>
          <w:szCs w:val="28"/>
          <w:lang w:val="es-ES_tradnl"/>
        </w:rPr>
        <w:t xml:space="preserve">que estudió la Corte en aquella oportunidad </w:t>
      </w:r>
      <w:r w:rsidR="006902E3" w:rsidRPr="0078289D">
        <w:rPr>
          <w:color w:val="000000"/>
          <w:sz w:val="28"/>
          <w:szCs w:val="28"/>
          <w:lang w:val="es-ES_tradnl"/>
        </w:rPr>
        <w:t xml:space="preserve">establece </w:t>
      </w:r>
      <w:r w:rsidR="0053344B" w:rsidRPr="0078289D">
        <w:rPr>
          <w:color w:val="000000"/>
          <w:sz w:val="28"/>
          <w:szCs w:val="28"/>
          <w:lang w:val="es-ES_tradnl"/>
        </w:rPr>
        <w:t xml:space="preserve">la </w:t>
      </w:r>
      <w:r w:rsidR="00D21FFE" w:rsidRPr="0078289D">
        <w:rPr>
          <w:color w:val="000000"/>
          <w:sz w:val="28"/>
          <w:szCs w:val="28"/>
          <w:lang w:val="es-ES_tradnl"/>
        </w:rPr>
        <w:t xml:space="preserve">sanción de </w:t>
      </w:r>
      <w:r w:rsidR="0053344B" w:rsidRPr="0078289D">
        <w:rPr>
          <w:color w:val="000000"/>
          <w:sz w:val="28"/>
          <w:szCs w:val="28"/>
          <w:lang w:val="es-ES_tradnl"/>
        </w:rPr>
        <w:t xml:space="preserve">suspensión de </w:t>
      </w:r>
      <w:r w:rsidR="00800CB3" w:rsidRPr="0078289D">
        <w:rPr>
          <w:color w:val="000000"/>
          <w:sz w:val="28"/>
          <w:szCs w:val="28"/>
          <w:lang w:val="es-ES_tradnl"/>
        </w:rPr>
        <w:t>una</w:t>
      </w:r>
      <w:r w:rsidR="0053344B" w:rsidRPr="0078289D">
        <w:rPr>
          <w:color w:val="000000"/>
          <w:sz w:val="28"/>
          <w:szCs w:val="28"/>
          <w:lang w:val="es-ES_tradnl"/>
        </w:rPr>
        <w:t xml:space="preserve"> obra </w:t>
      </w:r>
      <w:r w:rsidR="00800CB3" w:rsidRPr="0078289D">
        <w:rPr>
          <w:color w:val="000000"/>
          <w:sz w:val="28"/>
          <w:szCs w:val="28"/>
          <w:lang w:val="es-ES_tradnl"/>
        </w:rPr>
        <w:t>o actividad que</w:t>
      </w:r>
      <w:r w:rsidR="001E04B6" w:rsidRPr="0078289D">
        <w:rPr>
          <w:color w:val="000000"/>
          <w:sz w:val="28"/>
          <w:szCs w:val="28"/>
          <w:lang w:val="es-ES_tradnl"/>
        </w:rPr>
        <w:t>, por supuesto,</w:t>
      </w:r>
      <w:r w:rsidR="00800CB3" w:rsidRPr="0078289D">
        <w:rPr>
          <w:color w:val="000000"/>
          <w:sz w:val="28"/>
          <w:szCs w:val="28"/>
          <w:lang w:val="es-ES_tradnl"/>
        </w:rPr>
        <w:t xml:space="preserve"> ya cuenta con una licencia ambiental </w:t>
      </w:r>
      <w:r w:rsidR="001E04B6" w:rsidRPr="0078289D">
        <w:rPr>
          <w:color w:val="000000"/>
          <w:sz w:val="28"/>
          <w:szCs w:val="28"/>
          <w:lang w:val="es-ES_tradnl"/>
        </w:rPr>
        <w:t xml:space="preserve">y con un contrato de concesión, </w:t>
      </w:r>
      <w:r w:rsidR="009D3C78" w:rsidRPr="0078289D">
        <w:rPr>
          <w:color w:val="000000"/>
          <w:sz w:val="28"/>
          <w:szCs w:val="28"/>
          <w:lang w:val="es-ES_tradnl"/>
        </w:rPr>
        <w:t>siempre que</w:t>
      </w:r>
      <w:r w:rsidR="00D21FFE" w:rsidRPr="0078289D">
        <w:rPr>
          <w:color w:val="000000"/>
          <w:sz w:val="28"/>
          <w:szCs w:val="28"/>
          <w:lang w:val="es-ES_tradnl"/>
        </w:rPr>
        <w:t xml:space="preserve"> de </w:t>
      </w:r>
      <w:r w:rsidR="001E04B6" w:rsidRPr="0078289D">
        <w:rPr>
          <w:color w:val="000000"/>
          <w:sz w:val="28"/>
          <w:szCs w:val="28"/>
          <w:lang w:val="es-ES_tradnl"/>
        </w:rPr>
        <w:t>ella</w:t>
      </w:r>
      <w:r w:rsidR="0053344B" w:rsidRPr="0078289D">
        <w:rPr>
          <w:color w:val="000000"/>
          <w:sz w:val="28"/>
          <w:szCs w:val="28"/>
          <w:lang w:val="es-ES_tradnl"/>
        </w:rPr>
        <w:t xml:space="preserve"> </w:t>
      </w:r>
      <w:r w:rsidR="00D21FFE" w:rsidRPr="0078289D">
        <w:rPr>
          <w:color w:val="000000"/>
          <w:sz w:val="28"/>
          <w:szCs w:val="28"/>
          <w:lang w:val="es-ES_tradnl"/>
        </w:rPr>
        <w:t>“</w:t>
      </w:r>
      <w:r w:rsidR="006F004D" w:rsidRPr="0078289D">
        <w:rPr>
          <w:i/>
          <w:color w:val="000000"/>
          <w:sz w:val="28"/>
          <w:szCs w:val="28"/>
          <w:lang w:val="es-ES_tradnl"/>
        </w:rPr>
        <w:t>pueda derivarse un daño o peligro para los recursos naturales renovables o la salud humana</w:t>
      </w:r>
      <w:r w:rsidR="00D21FFE" w:rsidRPr="0078289D">
        <w:rPr>
          <w:color w:val="000000"/>
          <w:sz w:val="28"/>
          <w:szCs w:val="28"/>
          <w:lang w:val="es-ES_tradnl"/>
        </w:rPr>
        <w:t>”</w:t>
      </w:r>
      <w:r w:rsidR="00800CB3" w:rsidRPr="0078289D">
        <w:rPr>
          <w:color w:val="000000"/>
          <w:sz w:val="28"/>
          <w:szCs w:val="28"/>
          <w:lang w:val="es-ES_tradnl"/>
        </w:rPr>
        <w:t>.</w:t>
      </w:r>
      <w:r w:rsidR="00EF3197" w:rsidRPr="0078289D">
        <w:rPr>
          <w:color w:val="000000"/>
          <w:sz w:val="28"/>
          <w:szCs w:val="28"/>
          <w:lang w:val="es-ES_tradnl"/>
        </w:rPr>
        <w:t xml:space="preserve"> En </w:t>
      </w:r>
      <w:r w:rsidR="00A932F8" w:rsidRPr="0078289D">
        <w:rPr>
          <w:color w:val="000000"/>
          <w:sz w:val="28"/>
          <w:szCs w:val="28"/>
          <w:lang w:val="es-ES_tradnl"/>
        </w:rPr>
        <w:t>tal</w:t>
      </w:r>
      <w:r w:rsidR="00EF3197" w:rsidRPr="0078289D">
        <w:rPr>
          <w:color w:val="000000"/>
          <w:sz w:val="28"/>
          <w:szCs w:val="28"/>
          <w:lang w:val="es-ES_tradnl"/>
        </w:rPr>
        <w:t xml:space="preserve"> ocasión, la Corte sostuvo:</w:t>
      </w:r>
    </w:p>
    <w:p w:rsidR="00EF3197" w:rsidRPr="0078289D" w:rsidRDefault="00EF3197"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942E7C" w:rsidRPr="0078289D" w:rsidRDefault="00EF3197" w:rsidP="0078289D">
      <w:pPr>
        <w:pBdr>
          <w:top w:val="none" w:sz="0" w:space="0" w:color="auto"/>
          <w:left w:val="none" w:sz="0" w:space="0" w:color="auto"/>
          <w:bottom w:val="none" w:sz="0" w:space="0" w:color="auto"/>
          <w:right w:val="none" w:sz="0" w:space="0" w:color="auto"/>
        </w:pBdr>
        <w:ind w:left="720"/>
        <w:jc w:val="both"/>
        <w:rPr>
          <w:rFonts w:eastAsia="Times New Roman"/>
          <w:sz w:val="28"/>
          <w:szCs w:val="28"/>
          <w:lang w:val="es-ES"/>
        </w:rPr>
      </w:pPr>
      <w:r w:rsidRPr="0078289D">
        <w:rPr>
          <w:rFonts w:eastAsia="Times New Roman"/>
          <w:sz w:val="28"/>
          <w:szCs w:val="28"/>
          <w:lang w:val="es-ES"/>
        </w:rPr>
        <w:t>“</w:t>
      </w:r>
      <w:r w:rsidRPr="0078289D">
        <w:rPr>
          <w:rFonts w:eastAsia="Times New Roman"/>
          <w:i/>
          <w:sz w:val="28"/>
          <w:szCs w:val="28"/>
          <w:lang w:val="es-ES"/>
        </w:rPr>
        <w:t>4.3 En este punto, sólo resta mencionar que no se violan los artículos constitucionales mencionados por el actor (trabajo, propiedad, derechos adquiridos), si, como consecuencia de una decisión de una autoridad ambiental que, acudiendo al principio de precaución, con los límites que la propia norma legal consagra, procede a la suspensión de la obra o actividad que desarrolla el particular, mediante el acto administrativo motivado, si de tal actividad se deriva daño o peligro para los recursos naturales o la salud humana, así no exista la certeza científica absoluta.</w:t>
      </w:r>
      <w:r w:rsidR="00942E7C" w:rsidRPr="0078289D">
        <w:rPr>
          <w:rFonts w:eastAsia="Times New Roman"/>
          <w:sz w:val="28"/>
          <w:szCs w:val="28"/>
          <w:lang w:val="es-ES"/>
        </w:rPr>
        <w:t>”</w:t>
      </w:r>
      <w:r w:rsidRPr="0078289D">
        <w:rPr>
          <w:rFonts w:eastAsia="Times New Roman"/>
          <w:sz w:val="28"/>
          <w:szCs w:val="28"/>
          <w:lang w:val="es-ES"/>
        </w:rPr>
        <w:t xml:space="preserve"> </w:t>
      </w:r>
    </w:p>
    <w:p w:rsidR="00942E7C" w:rsidRPr="0078289D" w:rsidRDefault="00942E7C" w:rsidP="0078289D">
      <w:pPr>
        <w:pBdr>
          <w:top w:val="none" w:sz="0" w:space="0" w:color="auto"/>
          <w:left w:val="none" w:sz="0" w:space="0" w:color="auto"/>
          <w:bottom w:val="none" w:sz="0" w:space="0" w:color="auto"/>
          <w:right w:val="none" w:sz="0" w:space="0" w:color="auto"/>
        </w:pBdr>
        <w:ind w:left="720"/>
        <w:jc w:val="both"/>
        <w:rPr>
          <w:rFonts w:eastAsia="Times New Roman"/>
          <w:sz w:val="28"/>
          <w:szCs w:val="28"/>
          <w:lang w:val="es-ES"/>
        </w:rPr>
      </w:pPr>
    </w:p>
    <w:p w:rsidR="00942E7C" w:rsidRPr="0078289D" w:rsidRDefault="00DA26BA"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r w:rsidRPr="0078289D">
        <w:rPr>
          <w:rFonts w:eastAsia="Times New Roman"/>
          <w:sz w:val="28"/>
          <w:szCs w:val="28"/>
          <w:lang w:val="es-ES"/>
        </w:rPr>
        <w:t>A</w:t>
      </w:r>
      <w:r w:rsidR="00942E7C" w:rsidRPr="0078289D">
        <w:rPr>
          <w:rFonts w:eastAsia="Times New Roman"/>
          <w:sz w:val="28"/>
          <w:szCs w:val="28"/>
          <w:lang w:val="es-ES"/>
        </w:rPr>
        <w:t xml:space="preserve"> continuación </w:t>
      </w:r>
      <w:r w:rsidR="00A932F8" w:rsidRPr="0078289D">
        <w:rPr>
          <w:rFonts w:eastAsia="Times New Roman"/>
          <w:sz w:val="28"/>
          <w:szCs w:val="28"/>
          <w:lang w:val="es-ES"/>
        </w:rPr>
        <w:t>la Corte fundamentó</w:t>
      </w:r>
      <w:r w:rsidR="00124395" w:rsidRPr="0078289D">
        <w:rPr>
          <w:rFonts w:eastAsia="Times New Roman"/>
          <w:sz w:val="28"/>
          <w:szCs w:val="28"/>
          <w:lang w:val="es-ES"/>
        </w:rPr>
        <w:t xml:space="preserve"> </w:t>
      </w:r>
      <w:r w:rsidRPr="0078289D">
        <w:rPr>
          <w:rFonts w:eastAsia="Times New Roman"/>
          <w:sz w:val="28"/>
          <w:szCs w:val="28"/>
          <w:lang w:val="es-ES"/>
        </w:rPr>
        <w:t xml:space="preserve">su decisión en </w:t>
      </w:r>
      <w:r w:rsidR="00124395" w:rsidRPr="0078289D">
        <w:rPr>
          <w:rFonts w:eastAsia="Times New Roman"/>
          <w:sz w:val="28"/>
          <w:szCs w:val="28"/>
          <w:lang w:val="es-ES"/>
        </w:rPr>
        <w:t xml:space="preserve">que en estos casos es la misma Constitución Política la que establece una regla de </w:t>
      </w:r>
      <w:r w:rsidRPr="0078289D">
        <w:rPr>
          <w:rFonts w:eastAsia="Times New Roman"/>
          <w:sz w:val="28"/>
          <w:szCs w:val="28"/>
          <w:lang w:val="es-ES"/>
        </w:rPr>
        <w:t>prioridad</w:t>
      </w:r>
      <w:r w:rsidR="00124395" w:rsidRPr="0078289D">
        <w:rPr>
          <w:rFonts w:eastAsia="Times New Roman"/>
          <w:sz w:val="28"/>
          <w:szCs w:val="28"/>
          <w:lang w:val="es-ES"/>
        </w:rPr>
        <w:t xml:space="preserve"> explícita</w:t>
      </w:r>
      <w:r w:rsidR="003100F3" w:rsidRPr="0078289D">
        <w:rPr>
          <w:rFonts w:eastAsia="Times New Roman"/>
          <w:sz w:val="28"/>
          <w:szCs w:val="28"/>
          <w:lang w:val="es-ES"/>
        </w:rPr>
        <w:t xml:space="preserve">, que se deriva de la reiteración que hacen los artículos 1º, 58 numeral 2º, 80 y 95 ordinal </w:t>
      </w:r>
      <w:r w:rsidR="002C6AF4" w:rsidRPr="0078289D">
        <w:rPr>
          <w:rFonts w:eastAsia="Times New Roman"/>
          <w:sz w:val="28"/>
          <w:szCs w:val="28"/>
          <w:lang w:val="es-ES"/>
        </w:rPr>
        <w:t>8º. Afirma la Corte:</w:t>
      </w:r>
    </w:p>
    <w:p w:rsidR="00942E7C" w:rsidRPr="0078289D" w:rsidRDefault="00942E7C" w:rsidP="0078289D">
      <w:pPr>
        <w:pBdr>
          <w:top w:val="none" w:sz="0" w:space="0" w:color="auto"/>
          <w:left w:val="none" w:sz="0" w:space="0" w:color="auto"/>
          <w:bottom w:val="none" w:sz="0" w:space="0" w:color="auto"/>
          <w:right w:val="none" w:sz="0" w:space="0" w:color="auto"/>
        </w:pBdr>
        <w:jc w:val="both"/>
        <w:rPr>
          <w:rFonts w:eastAsia="Times New Roman"/>
          <w:sz w:val="28"/>
          <w:szCs w:val="28"/>
          <w:lang w:val="es-ES"/>
        </w:rPr>
      </w:pPr>
    </w:p>
    <w:p w:rsidR="00EF3197" w:rsidRPr="0078289D" w:rsidRDefault="00A932F8" w:rsidP="0078289D">
      <w:pPr>
        <w:pBdr>
          <w:top w:val="none" w:sz="0" w:space="0" w:color="auto"/>
          <w:left w:val="none" w:sz="0" w:space="0" w:color="auto"/>
          <w:bottom w:val="none" w:sz="0" w:space="0" w:color="auto"/>
          <w:right w:val="none" w:sz="0" w:space="0" w:color="auto"/>
        </w:pBdr>
        <w:ind w:left="720"/>
        <w:jc w:val="both"/>
        <w:rPr>
          <w:sz w:val="28"/>
          <w:szCs w:val="28"/>
          <w:lang w:val="es-ES_tradnl"/>
        </w:rPr>
      </w:pPr>
      <w:r w:rsidRPr="0078289D">
        <w:rPr>
          <w:rFonts w:eastAsia="Times New Roman"/>
          <w:sz w:val="28"/>
          <w:szCs w:val="28"/>
          <w:lang w:val="es-ES"/>
        </w:rPr>
        <w:t>“</w:t>
      </w:r>
      <w:r w:rsidR="00EF3197" w:rsidRPr="0078289D">
        <w:rPr>
          <w:rFonts w:eastAsia="Times New Roman"/>
          <w:i/>
          <w:sz w:val="28"/>
          <w:szCs w:val="28"/>
          <w:lang w:val="es-ES"/>
        </w:rPr>
        <w:t>Una teórica discusión jurídica en materia ambiental, sobre cuáles derechos prevalecen, la resuelve la propia Constitución, al reconocer la primacía del interés general, bajo las condiciones del artículo 1º. Al señalar que la propiedad privada no es</w:t>
      </w:r>
      <w:r w:rsidR="00750938" w:rsidRPr="0078289D">
        <w:rPr>
          <w:rFonts w:eastAsia="Times New Roman"/>
          <w:i/>
          <w:sz w:val="28"/>
          <w:szCs w:val="28"/>
          <w:lang w:val="es-ES"/>
        </w:rPr>
        <w:t xml:space="preserve"> un derecho absoluto, sino que ‘</w:t>
      </w:r>
      <w:r w:rsidR="00EF3197" w:rsidRPr="0078289D">
        <w:rPr>
          <w:rFonts w:eastAsia="Times New Roman"/>
          <w:i/>
          <w:sz w:val="28"/>
          <w:szCs w:val="28"/>
          <w:lang w:val="es-ES"/>
        </w:rPr>
        <w:t>es una función social que implica obligaciones. Como tal, le es inherent</w:t>
      </w:r>
      <w:r w:rsidR="00750938" w:rsidRPr="0078289D">
        <w:rPr>
          <w:rFonts w:eastAsia="Times New Roman"/>
          <w:i/>
          <w:sz w:val="28"/>
          <w:szCs w:val="28"/>
          <w:lang w:val="es-ES"/>
        </w:rPr>
        <w:t>e una función ecológica’</w:t>
      </w:r>
      <w:r w:rsidR="00EF3197" w:rsidRPr="0078289D">
        <w:rPr>
          <w:rFonts w:eastAsia="Times New Roman"/>
          <w:i/>
          <w:sz w:val="28"/>
          <w:szCs w:val="28"/>
          <w:lang w:val="es-ES"/>
        </w:rPr>
        <w:t xml:space="preserve"> (art. 58, inciso 2). Además, señala la Co</w:t>
      </w:r>
      <w:r w:rsidR="00750938" w:rsidRPr="0078289D">
        <w:rPr>
          <w:rFonts w:eastAsia="Times New Roman"/>
          <w:i/>
          <w:sz w:val="28"/>
          <w:szCs w:val="28"/>
          <w:lang w:val="es-ES"/>
        </w:rPr>
        <w:t>nstitución, que el Estado debe ‘</w:t>
      </w:r>
      <w:r w:rsidR="00EF3197" w:rsidRPr="0078289D">
        <w:rPr>
          <w:rFonts w:eastAsia="Times New Roman"/>
          <w:i/>
          <w:sz w:val="28"/>
          <w:szCs w:val="28"/>
          <w:lang w:val="es-ES"/>
        </w:rPr>
        <w:t>prevenir y controlar los factores de deterioro ambiental, imponer las sanciones legales y exigir la re</w:t>
      </w:r>
      <w:r w:rsidR="00750938" w:rsidRPr="0078289D">
        <w:rPr>
          <w:rFonts w:eastAsia="Times New Roman"/>
          <w:i/>
          <w:sz w:val="28"/>
          <w:szCs w:val="28"/>
          <w:lang w:val="es-ES"/>
        </w:rPr>
        <w:t>paración de los daños causados.’</w:t>
      </w:r>
      <w:r w:rsidR="00EF3197" w:rsidRPr="0078289D">
        <w:rPr>
          <w:rFonts w:eastAsia="Times New Roman"/>
          <w:i/>
          <w:sz w:val="28"/>
          <w:szCs w:val="28"/>
          <w:lang w:val="es-ES"/>
        </w:rPr>
        <w:t xml:space="preserve"> (art. 80).  Así mismo, establece dentro de los deberes de la persona y </w:t>
      </w:r>
      <w:r w:rsidR="00750938" w:rsidRPr="0078289D">
        <w:rPr>
          <w:rFonts w:eastAsia="Times New Roman"/>
          <w:i/>
          <w:sz w:val="28"/>
          <w:szCs w:val="28"/>
          <w:lang w:val="es-ES"/>
        </w:rPr>
        <w:t>del ciudadano la obligación de ‘</w:t>
      </w:r>
      <w:r w:rsidR="00EF3197" w:rsidRPr="0078289D">
        <w:rPr>
          <w:rFonts w:eastAsia="Times New Roman"/>
          <w:i/>
          <w:sz w:val="28"/>
          <w:szCs w:val="28"/>
          <w:lang w:val="es-ES"/>
        </w:rPr>
        <w:t>proteger los recursos culturales y naturales del país y velar por la c</w:t>
      </w:r>
      <w:r w:rsidR="00750938" w:rsidRPr="0078289D">
        <w:rPr>
          <w:rFonts w:eastAsia="Times New Roman"/>
          <w:i/>
          <w:sz w:val="28"/>
          <w:szCs w:val="28"/>
          <w:lang w:val="es-ES"/>
        </w:rPr>
        <w:t>onservación de un ambiente sano’</w:t>
      </w:r>
      <w:r w:rsidR="00EF3197" w:rsidRPr="0078289D">
        <w:rPr>
          <w:rFonts w:eastAsia="Times New Roman"/>
          <w:i/>
          <w:sz w:val="28"/>
          <w:szCs w:val="28"/>
          <w:lang w:val="es-ES"/>
        </w:rPr>
        <w:t xml:space="preserve"> (art. 95, ordinal 8).</w:t>
      </w:r>
      <w:r w:rsidRPr="0078289D">
        <w:rPr>
          <w:rFonts w:eastAsia="Times New Roman"/>
          <w:sz w:val="28"/>
          <w:szCs w:val="28"/>
          <w:lang w:val="es-ES"/>
        </w:rPr>
        <w:t>”</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B378D6" w:rsidRPr="0078289D" w:rsidRDefault="00B378D6"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Por lo </w:t>
      </w:r>
      <w:r w:rsidR="002A5F98" w:rsidRPr="0078289D">
        <w:rPr>
          <w:color w:val="000000"/>
          <w:sz w:val="28"/>
          <w:szCs w:val="28"/>
          <w:lang w:val="es-ES_tradnl"/>
        </w:rPr>
        <w:t>anterior</w:t>
      </w:r>
      <w:r w:rsidR="00B233A3" w:rsidRPr="0078289D">
        <w:rPr>
          <w:color w:val="000000"/>
          <w:sz w:val="28"/>
          <w:szCs w:val="28"/>
          <w:lang w:val="es-ES_tradnl"/>
        </w:rPr>
        <w:t>, es necesario concluir que</w:t>
      </w:r>
      <w:r w:rsidRPr="0078289D">
        <w:rPr>
          <w:color w:val="000000"/>
          <w:sz w:val="28"/>
          <w:szCs w:val="28"/>
          <w:lang w:val="es-ES_tradnl"/>
        </w:rPr>
        <w:t xml:space="preserve"> en virtud de lo dispuesto en los artículos 1º, </w:t>
      </w:r>
      <w:r w:rsidR="00B233A3" w:rsidRPr="0078289D">
        <w:rPr>
          <w:color w:val="000000"/>
          <w:sz w:val="28"/>
          <w:szCs w:val="28"/>
          <w:lang w:val="es-ES_tradnl"/>
        </w:rPr>
        <w:t xml:space="preserve">58, 80 y 95 de la Constitución Política, la protección del ambiente </w:t>
      </w:r>
      <w:r w:rsidR="00974424" w:rsidRPr="0078289D">
        <w:rPr>
          <w:color w:val="000000"/>
          <w:sz w:val="28"/>
          <w:szCs w:val="28"/>
          <w:lang w:val="es-ES_tradnl"/>
        </w:rPr>
        <w:t xml:space="preserve">prevalece frente a los derechos económicos adquiridos por particulares </w:t>
      </w:r>
      <w:r w:rsidR="00194690" w:rsidRPr="0078289D">
        <w:rPr>
          <w:color w:val="000000"/>
          <w:sz w:val="28"/>
          <w:szCs w:val="28"/>
          <w:lang w:val="es-ES_tradnl"/>
        </w:rPr>
        <w:t xml:space="preserve">mediante </w:t>
      </w:r>
      <w:r w:rsidR="00974424" w:rsidRPr="0078289D">
        <w:rPr>
          <w:color w:val="000000"/>
          <w:sz w:val="28"/>
          <w:szCs w:val="28"/>
          <w:lang w:val="es-ES_tradnl"/>
        </w:rPr>
        <w:t>li</w:t>
      </w:r>
      <w:r w:rsidR="00630788" w:rsidRPr="0078289D">
        <w:rPr>
          <w:color w:val="000000"/>
          <w:sz w:val="28"/>
          <w:szCs w:val="28"/>
          <w:lang w:val="es-ES_tradnl"/>
        </w:rPr>
        <w:t>cencia</w:t>
      </w:r>
      <w:r w:rsidR="00194690" w:rsidRPr="0078289D">
        <w:rPr>
          <w:color w:val="000000"/>
          <w:sz w:val="28"/>
          <w:szCs w:val="28"/>
          <w:lang w:val="es-ES_tradnl"/>
        </w:rPr>
        <w:t>s</w:t>
      </w:r>
      <w:r w:rsidR="00630788" w:rsidRPr="0078289D">
        <w:rPr>
          <w:color w:val="000000"/>
          <w:sz w:val="28"/>
          <w:szCs w:val="28"/>
          <w:lang w:val="es-ES_tradnl"/>
        </w:rPr>
        <w:t xml:space="preserve"> ambiental</w:t>
      </w:r>
      <w:r w:rsidR="00194690" w:rsidRPr="0078289D">
        <w:rPr>
          <w:color w:val="000000"/>
          <w:sz w:val="28"/>
          <w:szCs w:val="28"/>
          <w:lang w:val="es-ES_tradnl"/>
        </w:rPr>
        <w:t>es</w:t>
      </w:r>
      <w:r w:rsidR="00630788" w:rsidRPr="0078289D">
        <w:rPr>
          <w:color w:val="000000"/>
          <w:sz w:val="28"/>
          <w:szCs w:val="28"/>
          <w:lang w:val="es-ES_tradnl"/>
        </w:rPr>
        <w:t xml:space="preserve"> </w:t>
      </w:r>
      <w:r w:rsidR="00194690" w:rsidRPr="0078289D">
        <w:rPr>
          <w:color w:val="000000"/>
          <w:sz w:val="28"/>
          <w:szCs w:val="28"/>
          <w:lang w:val="es-ES_tradnl"/>
        </w:rPr>
        <w:t>y</w:t>
      </w:r>
      <w:r w:rsidR="00630788" w:rsidRPr="0078289D">
        <w:rPr>
          <w:color w:val="000000"/>
          <w:sz w:val="28"/>
          <w:szCs w:val="28"/>
          <w:lang w:val="es-ES_tradnl"/>
        </w:rPr>
        <w:t xml:space="preserve"> contrato</w:t>
      </w:r>
      <w:r w:rsidR="002A5F98" w:rsidRPr="0078289D">
        <w:rPr>
          <w:color w:val="000000"/>
          <w:sz w:val="28"/>
          <w:szCs w:val="28"/>
          <w:lang w:val="es-ES_tradnl"/>
        </w:rPr>
        <w:t>s</w:t>
      </w:r>
      <w:r w:rsidR="00630788" w:rsidRPr="0078289D">
        <w:rPr>
          <w:color w:val="000000"/>
          <w:sz w:val="28"/>
          <w:szCs w:val="28"/>
          <w:lang w:val="es-ES_tradnl"/>
        </w:rPr>
        <w:t xml:space="preserve"> de concesión </w:t>
      </w:r>
      <w:r w:rsidR="00547C2D" w:rsidRPr="0078289D">
        <w:rPr>
          <w:color w:val="000000"/>
          <w:sz w:val="28"/>
          <w:szCs w:val="28"/>
          <w:lang w:val="es-ES_tradnl"/>
        </w:rPr>
        <w:t>en las circunstancias en que esté probado que la actividad produce un daño, o cuando</w:t>
      </w:r>
      <w:r w:rsidR="002A5F98" w:rsidRPr="0078289D">
        <w:rPr>
          <w:color w:val="000000"/>
          <w:sz w:val="28"/>
          <w:szCs w:val="28"/>
          <w:lang w:val="es-ES_tradnl"/>
        </w:rPr>
        <w:t xml:space="preserve"> exista mérito para apl</w:t>
      </w:r>
      <w:r w:rsidR="00F1577D" w:rsidRPr="0078289D">
        <w:rPr>
          <w:color w:val="000000"/>
          <w:sz w:val="28"/>
          <w:szCs w:val="28"/>
          <w:lang w:val="es-ES_tradnl"/>
        </w:rPr>
        <w:t xml:space="preserve">icar el principio de precaución para evitar un daño a los recursos naturales no renovables y a la salud humana. </w:t>
      </w:r>
    </w:p>
    <w:p w:rsidR="00B378D6" w:rsidRPr="0078289D" w:rsidRDefault="00B378D6"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La Constitución Ecológica y su relación con el concepto de desarrollo sostenible</w:t>
      </w:r>
    </w:p>
    <w:p w:rsidR="007F3BDD" w:rsidRPr="0078289D" w:rsidRDefault="007F3BDD" w:rsidP="0078289D">
      <w:pPr>
        <w:pBdr>
          <w:top w:val="none" w:sz="0" w:space="0" w:color="auto"/>
          <w:left w:val="none" w:sz="0" w:space="0" w:color="auto"/>
          <w:bottom w:val="none" w:sz="0" w:space="0" w:color="auto"/>
          <w:right w:val="none" w:sz="0" w:space="0" w:color="auto"/>
        </w:pBdr>
        <w:jc w:val="both"/>
        <w:rPr>
          <w:b/>
          <w:color w:val="000000"/>
          <w:sz w:val="28"/>
          <w:szCs w:val="28"/>
          <w:lang w:val="es-ES_tradnl"/>
        </w:rPr>
      </w:pPr>
    </w:p>
    <w:p w:rsidR="007F3BDD" w:rsidRPr="0078289D" w:rsidRDefault="00854220"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129. </w:t>
      </w:r>
      <w:r w:rsidR="007F3BDD" w:rsidRPr="0078289D">
        <w:rPr>
          <w:color w:val="000000"/>
          <w:sz w:val="28"/>
          <w:szCs w:val="28"/>
          <w:lang w:val="es-ES_tradnl"/>
        </w:rPr>
        <w:t xml:space="preserve">La </w:t>
      </w:r>
      <w:r w:rsidR="005C297C" w:rsidRPr="0078289D">
        <w:rPr>
          <w:color w:val="000000"/>
          <w:sz w:val="28"/>
          <w:szCs w:val="28"/>
          <w:lang w:val="es-ES_tradnl"/>
        </w:rPr>
        <w:t>Carta</w:t>
      </w:r>
      <w:r w:rsidR="007F3BDD" w:rsidRPr="0078289D">
        <w:rPr>
          <w:color w:val="000000"/>
          <w:sz w:val="28"/>
          <w:szCs w:val="28"/>
          <w:lang w:val="es-ES_tradnl"/>
        </w:rPr>
        <w:t xml:space="preserve"> Política de 1991 reconoce que el ambiente sano </w:t>
      </w:r>
      <w:r w:rsidR="005C297C" w:rsidRPr="0078289D">
        <w:rPr>
          <w:color w:val="000000"/>
          <w:sz w:val="28"/>
          <w:szCs w:val="28"/>
          <w:lang w:val="es-ES_tradnl"/>
        </w:rPr>
        <w:t>constituye un</w:t>
      </w:r>
      <w:r w:rsidR="007F3BDD" w:rsidRPr="0078289D">
        <w:rPr>
          <w:color w:val="000000"/>
          <w:sz w:val="28"/>
          <w:szCs w:val="28"/>
          <w:lang w:val="es-ES_tradnl"/>
        </w:rPr>
        <w:t xml:space="preserve"> interés superior. Así, por medio de múltiples disposiciones, el constituyente primario incluyó un bloque de normas que configuran lo que se ha denominado como</w:t>
      </w:r>
      <w:r w:rsidR="007F3BDD" w:rsidRPr="0078289D">
        <w:rPr>
          <w:i/>
          <w:iCs/>
          <w:color w:val="000000"/>
          <w:sz w:val="28"/>
          <w:szCs w:val="28"/>
          <w:lang w:val="es-ES_tradnl"/>
        </w:rPr>
        <w:t xml:space="preserve"> “Constitución ecológica”</w:t>
      </w:r>
      <w:r w:rsidR="007F3BDD" w:rsidRPr="0078289D">
        <w:rPr>
          <w:color w:val="000000"/>
          <w:sz w:val="28"/>
          <w:szCs w:val="28"/>
          <w:lang w:val="es-ES_tradnl"/>
        </w:rPr>
        <w:t> o </w:t>
      </w:r>
      <w:r w:rsidR="007F3BDD" w:rsidRPr="0078289D">
        <w:rPr>
          <w:i/>
          <w:iCs/>
          <w:color w:val="000000"/>
          <w:sz w:val="28"/>
          <w:szCs w:val="28"/>
          <w:lang w:val="es-ES_tradnl"/>
        </w:rPr>
        <w:t>“Constitución verde”</w:t>
      </w:r>
      <w:r w:rsidR="007F3BDD" w:rsidRPr="0078289D">
        <w:rPr>
          <w:color w:val="000000"/>
          <w:sz w:val="28"/>
          <w:szCs w:val="28"/>
          <w:lang w:val="es-ES_tradnl"/>
        </w:rPr>
        <w:t xml:space="preserve">, en las que se consagran una serie de principios, derechos y deberes enfocados hacia la protección del ambiente y dirigidos a garantizar un modelo de desarrollo </w:t>
      </w:r>
      <w:r w:rsidR="007F3BDD" w:rsidRPr="0078289D">
        <w:rPr>
          <w:color w:val="000000"/>
          <w:sz w:val="28"/>
          <w:szCs w:val="28"/>
          <w:lang w:val="es-ES_tradnl"/>
        </w:rPr>
        <w:lastRenderedPageBreak/>
        <w:t>sostenible</w:t>
      </w:r>
      <w:r w:rsidR="007F3BDD" w:rsidRPr="0078289D">
        <w:rPr>
          <w:rStyle w:val="Refdenotaalpie"/>
          <w:sz w:val="28"/>
          <w:szCs w:val="28"/>
          <w:lang w:val="es-ES_tradnl"/>
        </w:rPr>
        <w:footnoteReference w:id="98"/>
      </w:r>
      <w:r w:rsidR="007F3BDD" w:rsidRPr="0078289D">
        <w:rPr>
          <w:color w:val="000000"/>
          <w:sz w:val="28"/>
          <w:szCs w:val="28"/>
          <w:lang w:val="es-ES_tradnl"/>
        </w:rPr>
        <w:t>. En esa medida, por una parte el ambiente sano se erige como un derecho de todo ciudadano y, por otra, se impone como un deber del Estado.</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Ahora</w:t>
      </w:r>
      <w:r w:rsidR="005F4186" w:rsidRPr="0078289D">
        <w:rPr>
          <w:color w:val="000000"/>
          <w:sz w:val="28"/>
          <w:szCs w:val="28"/>
          <w:lang w:val="es-ES_tradnl"/>
        </w:rPr>
        <w:t xml:space="preserve"> bien</w:t>
      </w:r>
      <w:r w:rsidRPr="0078289D">
        <w:rPr>
          <w:color w:val="000000"/>
          <w:sz w:val="28"/>
          <w:szCs w:val="28"/>
          <w:lang w:val="es-ES_tradnl"/>
        </w:rPr>
        <w:t>, el constituyente consideró necesario consagrar que el ambiente sano es un bien jurídico protegido por la Carta Política</w:t>
      </w:r>
      <w:r w:rsidR="005F4186" w:rsidRPr="0078289D">
        <w:rPr>
          <w:color w:val="000000"/>
          <w:sz w:val="28"/>
          <w:szCs w:val="28"/>
          <w:lang w:val="es-ES_tradnl"/>
        </w:rPr>
        <w:t>,</w:t>
      </w:r>
      <w:r w:rsidRPr="0078289D">
        <w:rPr>
          <w:color w:val="000000"/>
          <w:sz w:val="28"/>
          <w:szCs w:val="28"/>
          <w:lang w:val="es-ES_tradnl"/>
        </w:rPr>
        <w:t xml:space="preserve"> el cual requiere del cumplimiento por parte del Estado de los deberes antes señalados. Por ello, los derechos y las obligaciones ecológicas definidas por la Constitución giran, en gran medida, en torno al concepto de desarrollo sostenible.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El concepto de desarrollo sostenible ha sido uno de los pilares fundamentales de los distintos tratados y conferencias internacionales sobre el ambiente desde 1987 en adelante. En ese año, la Comisión Mundial sobre Medio Ambiente y Desarrollo presentó una primera aproximación sobre este concepto, según el cual el desarrollo sostenible es </w:t>
      </w:r>
      <w:r w:rsidRPr="0078289D">
        <w:rPr>
          <w:i/>
          <w:color w:val="000000"/>
          <w:sz w:val="28"/>
          <w:szCs w:val="28"/>
          <w:lang w:val="es-ES_tradnl"/>
        </w:rPr>
        <w:t>“aquel que garantiza las necesidades del presente sin comprometer las posibilidades de las generaciones futuras para satisfacer sus propias necesidades.”</w:t>
      </w:r>
      <w:r w:rsidRPr="0078289D">
        <w:rPr>
          <w:sz w:val="28"/>
          <w:szCs w:val="28"/>
          <w:vertAlign w:val="superscript"/>
          <w:lang w:val="es-ES_tradnl"/>
        </w:rPr>
        <w:footnoteReference w:id="99"/>
      </w:r>
      <w:r w:rsidRPr="0078289D">
        <w:rPr>
          <w:color w:val="000000"/>
          <w:sz w:val="28"/>
          <w:szCs w:val="28"/>
          <w:lang w:val="es-ES_tradnl"/>
        </w:rPr>
        <w:t xml:space="preserve"> En esa medida, el concepto de desarrollo sostenible gira en torno al equilibrio entre el crecimiento económico, el bienestar social y la preservación de los recursos naturales, perspectiva de desarrollo que fue recogida en el artículo 80 de nuestra Constitución.</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54220"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130. </w:t>
      </w:r>
      <w:r w:rsidR="007F3BDD" w:rsidRPr="0078289D">
        <w:rPr>
          <w:color w:val="000000"/>
          <w:sz w:val="28"/>
          <w:szCs w:val="28"/>
          <w:lang w:val="es-ES_tradnl"/>
        </w:rPr>
        <w:t xml:space="preserve">En concordancia con lo anterior, el concepto de desarrollo sostenible ha sido objeto de pronunciamientos por parte de esta Corporación. </w:t>
      </w:r>
      <w:r w:rsidR="00C43C1E" w:rsidRPr="0078289D">
        <w:rPr>
          <w:color w:val="000000"/>
          <w:sz w:val="28"/>
          <w:szCs w:val="28"/>
          <w:lang w:val="es-ES_tradnl"/>
        </w:rPr>
        <w:t>L</w:t>
      </w:r>
      <w:r w:rsidR="007F3BDD" w:rsidRPr="0078289D">
        <w:rPr>
          <w:color w:val="000000"/>
          <w:sz w:val="28"/>
          <w:szCs w:val="28"/>
          <w:lang w:val="es-ES_tradnl"/>
        </w:rPr>
        <w:t>a Corte ha dicho lo siguiente sobre este concepto: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567"/>
        <w:jc w:val="both"/>
        <w:rPr>
          <w:color w:val="000000"/>
          <w:sz w:val="28"/>
          <w:szCs w:val="28"/>
          <w:lang w:val="es-ES_tradnl"/>
        </w:rPr>
      </w:pPr>
      <w:r w:rsidRPr="0078289D">
        <w:rPr>
          <w:i/>
          <w:color w:val="000000"/>
          <w:sz w:val="28"/>
          <w:szCs w:val="28"/>
          <w:lang w:val="es-ES_tradnl"/>
        </w:rPr>
        <w:t xml:space="preserve">“La Constitución Política de Colombia, con base en un avanzado y actualizado marco normativo en materia ecológica, es armónica con la necesidad mundial de lograr un desarrollo sostenible, pues no sólo obliga al Estado a planificar el manejo y aprovechamiento de los </w:t>
      </w:r>
      <w:r w:rsidRPr="0078289D">
        <w:rPr>
          <w:i/>
          <w:color w:val="000000"/>
          <w:sz w:val="28"/>
          <w:szCs w:val="28"/>
          <w:lang w:val="es-ES_tradnl"/>
        </w:rPr>
        <w:lastRenderedPageBreak/>
        <w:t>recursos naturales sino que además, al establecer el llamado tríptico económico determinó en él una función social, a la que le es inherente una función ecológica, encaminada a la primacía del interés general y del bienestar comunitario. Del contenido de las disposiciones constitucionales citadas se puede concluir que el Constituyente patrocinó la idea de hacer siempre compatibles el desarrollo económico y el derecho a un ambiente sano y a un equilibrio ecológico.”</w:t>
      </w:r>
      <w:r w:rsidRPr="0078289D">
        <w:rPr>
          <w:color w:val="000000"/>
          <w:sz w:val="28"/>
          <w:szCs w:val="28"/>
          <w:vertAlign w:val="superscript"/>
          <w:lang w:val="es-ES_tradnl"/>
        </w:rPr>
        <w:footnoteReference w:id="100"/>
      </w:r>
      <w:r w:rsidRPr="0078289D">
        <w:rPr>
          <w:color w:val="000000"/>
          <w:sz w:val="28"/>
          <w:szCs w:val="28"/>
          <w:lang w:val="es-ES_tradnl"/>
        </w:rPr>
        <w:t xml:space="preserve"> </w:t>
      </w:r>
    </w:p>
    <w:p w:rsidR="00854220" w:rsidRPr="0078289D" w:rsidRDefault="00854220"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No obstante lo anterior, el derecho al ambiente sano no es absoluto</w:t>
      </w:r>
      <w:r w:rsidR="00C73D5E" w:rsidRPr="0078289D">
        <w:rPr>
          <w:color w:val="000000"/>
          <w:sz w:val="28"/>
          <w:szCs w:val="28"/>
          <w:lang w:val="es-ES_tradnl"/>
        </w:rPr>
        <w:t>,</w:t>
      </w:r>
      <w:r w:rsidRPr="0078289D">
        <w:rPr>
          <w:color w:val="000000"/>
          <w:sz w:val="28"/>
          <w:szCs w:val="28"/>
          <w:lang w:val="es-ES_tradnl"/>
        </w:rPr>
        <w:t xml:space="preserve"> </w:t>
      </w:r>
      <w:r w:rsidR="00C73D5E" w:rsidRPr="0078289D">
        <w:rPr>
          <w:color w:val="000000"/>
          <w:sz w:val="28"/>
          <w:szCs w:val="28"/>
          <w:lang w:val="es-ES_tradnl"/>
        </w:rPr>
        <w:t>ni es</w:t>
      </w:r>
      <w:r w:rsidRPr="0078289D">
        <w:rPr>
          <w:color w:val="000000"/>
          <w:sz w:val="28"/>
          <w:szCs w:val="28"/>
          <w:lang w:val="es-ES_tradnl"/>
        </w:rPr>
        <w:t xml:space="preserve"> de aplicación irrestricta, toda vez que la Carta Política no adopta un modelo puramente conservacionista </w:t>
      </w:r>
      <w:r w:rsidR="00C73D5E" w:rsidRPr="0078289D">
        <w:rPr>
          <w:color w:val="000000"/>
          <w:sz w:val="28"/>
          <w:szCs w:val="28"/>
          <w:lang w:val="es-ES_tradnl"/>
        </w:rPr>
        <w:t xml:space="preserve">respecto </w:t>
      </w:r>
      <w:r w:rsidRPr="0078289D">
        <w:rPr>
          <w:color w:val="000000"/>
          <w:sz w:val="28"/>
          <w:szCs w:val="28"/>
          <w:lang w:val="es-ES_tradnl"/>
        </w:rPr>
        <w:t>del medio ambiente. De lo anterior se deduce que existe una tensión entre la protección del ambiente y el desarrollo económico, ya que se trata de bienes jurídicos igualmente protegidos por la Constitución Política, cuyo contenido no es absoluto. Consciente de dicha tensión, al adoptarse el concepto de desarrollo sostenible, lo que el constituyente pretendía era que se armonizaran o conciliaran el derecho al ambiente sano con el derecho a la libertad económica.</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En esa medida, la Carta Política consagra la libertad económica como un derecho susceptible de ser limitado en aquellas situaciones en que pueda verse comprometido con fines constitucionalmente valiosos, dentro de los cuales se destaca el derecho a un ambiente sano y a un equilibrio ecológico. Lo anterior supone</w:t>
      </w:r>
      <w:r w:rsidR="00FF2E59" w:rsidRPr="0078289D">
        <w:rPr>
          <w:color w:val="000000"/>
          <w:sz w:val="28"/>
          <w:szCs w:val="28"/>
          <w:lang w:val="es-ES_tradnl"/>
        </w:rPr>
        <w:t>,</w:t>
      </w:r>
      <w:r w:rsidRPr="0078289D">
        <w:rPr>
          <w:color w:val="000000"/>
          <w:sz w:val="28"/>
          <w:szCs w:val="28"/>
          <w:lang w:val="es-ES_tradnl"/>
        </w:rPr>
        <w:t xml:space="preserve"> entonces</w:t>
      </w:r>
      <w:r w:rsidR="00FF2E59" w:rsidRPr="0078289D">
        <w:rPr>
          <w:color w:val="000000"/>
          <w:sz w:val="28"/>
          <w:szCs w:val="28"/>
          <w:lang w:val="es-ES_tradnl"/>
        </w:rPr>
        <w:t>,</w:t>
      </w:r>
      <w:r w:rsidRPr="0078289D">
        <w:rPr>
          <w:color w:val="000000"/>
          <w:sz w:val="28"/>
          <w:szCs w:val="28"/>
          <w:lang w:val="es-ES_tradnl"/>
        </w:rPr>
        <w:t xml:space="preserve"> que el mencionado equilibrio entre ambos bienes jurídicos debe ser conciliado en cada caso particular</w:t>
      </w:r>
      <w:r w:rsidR="00FF2E59" w:rsidRPr="0078289D">
        <w:rPr>
          <w:color w:val="000000"/>
          <w:sz w:val="28"/>
          <w:szCs w:val="28"/>
          <w:lang w:val="es-ES_tradnl"/>
        </w:rPr>
        <w:t>,</w:t>
      </w:r>
      <w:r w:rsidRPr="0078289D">
        <w:rPr>
          <w:color w:val="000000"/>
          <w:sz w:val="28"/>
          <w:szCs w:val="28"/>
          <w:lang w:val="es-ES_tradnl"/>
        </w:rPr>
        <w:t xml:space="preserve"> con el fin de evitar que </w:t>
      </w:r>
      <w:r w:rsidR="003D57E3" w:rsidRPr="0078289D">
        <w:rPr>
          <w:color w:val="000000"/>
          <w:sz w:val="28"/>
          <w:szCs w:val="28"/>
          <w:lang w:val="es-ES_tradnl"/>
        </w:rPr>
        <w:t xml:space="preserve">en abstracto </w:t>
      </w:r>
      <w:r w:rsidRPr="0078289D">
        <w:rPr>
          <w:color w:val="000000"/>
          <w:sz w:val="28"/>
          <w:szCs w:val="28"/>
          <w:lang w:val="es-ES_tradnl"/>
        </w:rPr>
        <w:t>uno prevalezca sobre el otro.</w:t>
      </w:r>
    </w:p>
    <w:p w:rsidR="00D73DDC" w:rsidRPr="0078289D" w:rsidRDefault="00D73DDC"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854220"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El d</w:t>
      </w:r>
      <w:r w:rsidR="007F3BDD" w:rsidRPr="0078289D">
        <w:rPr>
          <w:b/>
          <w:i/>
          <w:color w:val="000000"/>
          <w:sz w:val="28"/>
          <w:szCs w:val="28"/>
          <w:lang w:val="es-ES_tradnl"/>
        </w:rPr>
        <w:t>eber del Estado de conservar las áreas de especial importancia ecológica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854220" w:rsidP="0078289D">
      <w:pPr>
        <w:pStyle w:val="Ttulo3"/>
        <w:pBdr>
          <w:top w:val="none" w:sz="0" w:space="0" w:color="auto"/>
          <w:left w:val="none" w:sz="0" w:space="0" w:color="auto"/>
          <w:bottom w:val="none" w:sz="0" w:space="0" w:color="auto"/>
          <w:right w:val="none" w:sz="0" w:space="0" w:color="auto"/>
        </w:pBdr>
        <w:tabs>
          <w:tab w:val="left" w:pos="426"/>
        </w:tabs>
        <w:spacing w:before="0"/>
        <w:jc w:val="both"/>
        <w:rPr>
          <w:rFonts w:ascii="Times New Roman" w:hAnsi="Times New Roman"/>
          <w:color w:val="000000"/>
          <w:sz w:val="28"/>
          <w:szCs w:val="28"/>
          <w:lang w:val="es-ES_tradnl"/>
        </w:rPr>
      </w:pPr>
      <w:r w:rsidRPr="0078289D">
        <w:rPr>
          <w:rFonts w:ascii="Times New Roman" w:hAnsi="Times New Roman"/>
          <w:color w:val="000000"/>
          <w:sz w:val="28"/>
          <w:szCs w:val="28"/>
          <w:lang w:val="es-ES_tradnl"/>
        </w:rPr>
        <w:t xml:space="preserve">131. </w:t>
      </w:r>
      <w:r w:rsidR="007F3BDD" w:rsidRPr="0078289D">
        <w:rPr>
          <w:rFonts w:ascii="Times New Roman" w:hAnsi="Times New Roman"/>
          <w:color w:val="000000"/>
          <w:sz w:val="28"/>
          <w:szCs w:val="28"/>
          <w:lang w:val="es-ES_tradnl"/>
        </w:rPr>
        <w:t xml:space="preserve">El mandato constitucional de protección al ambiente se ve reflejado en una serie de obligaciones que el Estado debe cumplir. </w:t>
      </w:r>
      <w:r w:rsidR="00FF2E59" w:rsidRPr="0078289D">
        <w:rPr>
          <w:rFonts w:ascii="Times New Roman" w:hAnsi="Times New Roman"/>
          <w:color w:val="000000"/>
          <w:sz w:val="28"/>
          <w:szCs w:val="28"/>
          <w:lang w:val="es-ES_tradnl"/>
        </w:rPr>
        <w:t>Al respecto</w:t>
      </w:r>
      <w:r w:rsidR="007F3BDD" w:rsidRPr="0078289D">
        <w:rPr>
          <w:rFonts w:ascii="Times New Roman" w:hAnsi="Times New Roman"/>
          <w:color w:val="000000"/>
          <w:sz w:val="28"/>
          <w:szCs w:val="28"/>
          <w:lang w:val="es-ES_tradnl"/>
        </w:rPr>
        <w:t>, la Corte ha sostenido que al Estado le corresponde:</w:t>
      </w:r>
    </w:p>
    <w:p w:rsidR="007F3BDD" w:rsidRPr="0078289D" w:rsidRDefault="007F3BDD" w:rsidP="0078289D">
      <w:pPr>
        <w:pBdr>
          <w:top w:val="none" w:sz="0" w:space="0" w:color="auto"/>
          <w:left w:val="none" w:sz="0" w:space="0" w:color="auto"/>
          <w:bottom w:val="none" w:sz="0" w:space="0" w:color="auto"/>
          <w:right w:val="none" w:sz="0" w:space="0" w:color="auto"/>
        </w:pBdr>
        <w:jc w:val="both"/>
        <w:rPr>
          <w:i/>
          <w:color w:val="000000"/>
          <w:sz w:val="28"/>
          <w:szCs w:val="28"/>
          <w:lang w:val="es-ES_tradnl"/>
        </w:rPr>
      </w:pPr>
    </w:p>
    <w:p w:rsidR="007F3BD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w:t>
      </w:r>
      <w:r w:rsidRPr="0078289D">
        <w:rPr>
          <w:color w:val="000000"/>
          <w:sz w:val="28"/>
          <w:szCs w:val="28"/>
          <w:lang w:val="es-ES_tradnl"/>
        </w:rPr>
        <w:t xml:space="preserve"> </w:t>
      </w:r>
      <w:r w:rsidRPr="0078289D">
        <w:rPr>
          <w:i/>
          <w:color w:val="000000"/>
          <w:sz w:val="28"/>
          <w:szCs w:val="28"/>
          <w:lang w:val="es-ES_tradnl"/>
        </w:rPr>
        <w:t>1) proteger su diversidad e integridad, 2) salvaguardar las riquezas naturales de la Nación, 3) conservar las áreas de especial importancia ecológica, 4) fomentar la educación ambiental, 5) planificar el manejo y aprovechamiento de los recursos naturales para así garantizar su desarrollo sostenible, su conservación, restauración o sustitución, 6) prevenir y controlar los factores de deterioro ambiental, 7) imponer las sanciones legales y exigir la reparación de los daños causados al ambiente y 8) cooperar con otras naciones en la protección de los ecosistemas situados en las zonas de frontera.”</w:t>
      </w:r>
      <w:r w:rsidRPr="0078289D">
        <w:rPr>
          <w:i/>
          <w:color w:val="000000"/>
          <w:sz w:val="28"/>
          <w:szCs w:val="28"/>
          <w:vertAlign w:val="superscript"/>
          <w:lang w:val="es-ES_tradnl"/>
        </w:rPr>
        <w:footnoteReference w:id="101"/>
      </w:r>
    </w:p>
    <w:p w:rsidR="0002511F" w:rsidRPr="0078289D" w:rsidRDefault="0002511F"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Como se mencionó con anterioridad, el Estado tiene que cumplir con una serie de deberes para materializar la obligación de protección de ambiente sano consagrada en la Constitución Política. Ahora bien, con el objeto de determinar si la norma acusada se ajusta a la Constitución Política, la Corte </w:t>
      </w:r>
      <w:r w:rsidRPr="0078289D">
        <w:rPr>
          <w:color w:val="000000"/>
          <w:sz w:val="28"/>
          <w:szCs w:val="28"/>
          <w:lang w:val="es-ES_tradnl"/>
        </w:rPr>
        <w:lastRenderedPageBreak/>
        <w:t>hará énfasis en el análisis del deber de conservar las áreas de especial importancia ecológica, por cuanto el reparo a la norma atacada se funda principalmente en la afectación de un tipo de área que requiere de una protección especial, esto es, el ecosistema de páramo.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E3BF0"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132. </w:t>
      </w:r>
      <w:r w:rsidR="007F3BDD" w:rsidRPr="0078289D">
        <w:rPr>
          <w:color w:val="000000"/>
          <w:sz w:val="28"/>
          <w:szCs w:val="28"/>
          <w:lang w:val="es-ES_tradnl"/>
        </w:rPr>
        <w:t>En el plano internacional existe un marco regulatorio sobre áreas protegidas en el Convenio de Diversidad Biológica (en adelante CDB)</w:t>
      </w:r>
      <w:r w:rsidR="007F3BDD" w:rsidRPr="0078289D">
        <w:rPr>
          <w:rStyle w:val="Refdenotaalpie"/>
          <w:sz w:val="28"/>
          <w:szCs w:val="28"/>
          <w:lang w:val="es-ES_tradnl"/>
        </w:rPr>
        <w:footnoteReference w:id="102"/>
      </w:r>
      <w:r w:rsidR="007F3BDD" w:rsidRPr="0078289D">
        <w:rPr>
          <w:color w:val="000000"/>
          <w:sz w:val="28"/>
          <w:szCs w:val="28"/>
          <w:lang w:val="es-ES_tradnl"/>
        </w:rPr>
        <w:t xml:space="preserve">. Según el CDB, el área protegida se define como </w:t>
      </w:r>
      <w:r w:rsidR="007F3BDD" w:rsidRPr="0078289D">
        <w:rPr>
          <w:i/>
          <w:color w:val="000000"/>
          <w:sz w:val="28"/>
          <w:szCs w:val="28"/>
          <w:lang w:val="es-ES_tradnl"/>
        </w:rPr>
        <w:t>“un área definida geográficamente que haya sido designada o regulada y administrada a fin de alcanzar objetivos específicos de conservación”</w:t>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Respecto de los objetivos específicos de conservación, el CDB establece ciertos lineamientos que cada Parte Contratante debe implementar, dentro de los cuales se destacan: (i) el establecimiento de un sistema de áreas protegidas o áreas donde haya que tomar medidas especiales para conservar la diversidad biológica y cuando sea necesario, elaborar las directrices para </w:t>
      </w:r>
      <w:r w:rsidR="000D37A3" w:rsidRPr="0078289D">
        <w:rPr>
          <w:color w:val="000000"/>
          <w:sz w:val="28"/>
          <w:szCs w:val="28"/>
          <w:lang w:val="es-ES_tradnl"/>
        </w:rPr>
        <w:t>su</w:t>
      </w:r>
      <w:r w:rsidRPr="0078289D">
        <w:rPr>
          <w:color w:val="000000"/>
          <w:sz w:val="28"/>
          <w:szCs w:val="28"/>
          <w:lang w:val="es-ES_tradnl"/>
        </w:rPr>
        <w:t xml:space="preserve"> selección, establecimiento y </w:t>
      </w:r>
      <w:r w:rsidR="000D37A3" w:rsidRPr="0078289D">
        <w:rPr>
          <w:color w:val="000000"/>
          <w:sz w:val="28"/>
          <w:szCs w:val="28"/>
          <w:lang w:val="es-ES_tradnl"/>
        </w:rPr>
        <w:t>su</w:t>
      </w:r>
      <w:r w:rsidRPr="0078289D">
        <w:rPr>
          <w:color w:val="000000"/>
          <w:sz w:val="28"/>
          <w:szCs w:val="28"/>
          <w:lang w:val="es-ES_tradnl"/>
        </w:rPr>
        <w:t xml:space="preserve"> ordenación; (ii) reglamentar o administrar los recursos biológicos importantes para la conservación de la diversidad biológica, ya sea dentro o fuera de las áreas protegidas, para garantizar su conservación y utilización sostenible; (iii) promover la protección de ecosistemas y hábitat naturales y el mantenimiento de poblaciones viables de especies en entornos naturales; (iv) promover un desarrollo ambientalmente adecuado y sostenible en zonas adyacentes a áreas protegidas, con miras a aumentar la protección de esas zonas y, (v) rehabilitar y restaurar ecosistemas degradados y promover la recuperación de especies amenazadas, entre otras cosas, mediante la elaboración y la aplicación de planes u otras estrategias de ordenación.</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7E3BF0"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133. </w:t>
      </w:r>
      <w:r w:rsidR="007F3BDD" w:rsidRPr="0078289D">
        <w:rPr>
          <w:color w:val="000000"/>
          <w:sz w:val="28"/>
          <w:szCs w:val="28"/>
          <w:lang w:val="es-ES_tradnl"/>
        </w:rPr>
        <w:t>En concordancia con las normas constitucionales y el CDB, las áreas de especial importancia ecológica han tenido un desarrollo legislativo y reglamentario bastante amplio en el ordenamiento jurídico colombiano</w:t>
      </w:r>
      <w:r w:rsidR="007F3BDD" w:rsidRPr="0078289D">
        <w:rPr>
          <w:rStyle w:val="Refdenotaalpie"/>
          <w:sz w:val="28"/>
          <w:szCs w:val="28"/>
          <w:lang w:val="es-ES_tradnl"/>
        </w:rPr>
        <w:footnoteReference w:id="103"/>
      </w:r>
      <w:r w:rsidR="007F3BDD" w:rsidRPr="0078289D">
        <w:rPr>
          <w:color w:val="000000"/>
          <w:sz w:val="28"/>
          <w:szCs w:val="28"/>
          <w:lang w:val="es-ES_tradnl"/>
        </w:rPr>
        <w:t xml:space="preserve">. En este sentido, en las distintas regulaciones sobre áreas protegidas confluyen una amplia gama de elementos, instrumentos y entidades para la protección de dichas áreas. En consecuencia, la Corte advierte que de las distintas regulaciones se desprende un entramado normativo complejo compuesto por normas que regulan (i) áreas con distintos niveles de protección; (ii) áreas protegidas del orden nacional y del orden regional; (iii) áreas protegidas públicas y privadas y, (iv) las funciones de las distintas autoridades competentes para su administración, manejo y protección. </w:t>
      </w:r>
    </w:p>
    <w:p w:rsidR="007F3BDD" w:rsidRPr="0078289D" w:rsidRDefault="007E3BF0" w:rsidP="0078289D">
      <w:pPr>
        <w:pStyle w:val="Listavistosa-nfasis11"/>
        <w:tabs>
          <w:tab w:val="left" w:pos="426"/>
        </w:tabs>
        <w:spacing w:line="240" w:lineRule="auto"/>
        <w:ind w:left="0"/>
        <w:jc w:val="both"/>
        <w:rPr>
          <w:b/>
          <w:color w:val="000000"/>
          <w:sz w:val="28"/>
          <w:szCs w:val="28"/>
          <w:lang w:val="es-ES_tradnl"/>
        </w:rPr>
      </w:pPr>
      <w:r w:rsidRPr="0078289D">
        <w:rPr>
          <w:color w:val="000000"/>
          <w:sz w:val="28"/>
          <w:szCs w:val="28"/>
          <w:lang w:val="es-ES_tradnl"/>
        </w:rPr>
        <w:lastRenderedPageBreak/>
        <w:t xml:space="preserve">134. </w:t>
      </w:r>
      <w:r w:rsidR="007F3BDD" w:rsidRPr="0078289D">
        <w:rPr>
          <w:color w:val="000000"/>
          <w:sz w:val="28"/>
          <w:szCs w:val="28"/>
          <w:lang w:val="es-ES_tradnl"/>
        </w:rPr>
        <w:t>Ahora bien, la creación de las áreas de</w:t>
      </w:r>
      <w:r w:rsidR="00A14F9F" w:rsidRPr="0078289D">
        <w:rPr>
          <w:color w:val="000000"/>
          <w:sz w:val="28"/>
          <w:szCs w:val="28"/>
          <w:lang w:val="es-ES_tradnl"/>
        </w:rPr>
        <w:t xml:space="preserve"> especial importancia ecológica</w:t>
      </w:r>
      <w:r w:rsidR="007F3BDD" w:rsidRPr="0078289D">
        <w:rPr>
          <w:color w:val="000000"/>
          <w:sz w:val="28"/>
          <w:szCs w:val="28"/>
          <w:lang w:val="es-ES_tradnl"/>
        </w:rPr>
        <w:t xml:space="preserve"> persigue distintas finalidades, tales como</w:t>
      </w:r>
      <w:r w:rsidR="00A14F9F" w:rsidRPr="0078289D">
        <w:rPr>
          <w:color w:val="000000"/>
          <w:sz w:val="28"/>
          <w:szCs w:val="28"/>
          <w:lang w:val="es-ES_tradnl"/>
        </w:rPr>
        <w:t>:</w:t>
      </w:r>
      <w:r w:rsidR="007F3BDD" w:rsidRPr="0078289D">
        <w:rPr>
          <w:color w:val="000000"/>
          <w:sz w:val="28"/>
          <w:szCs w:val="28"/>
          <w:lang w:val="es-ES_tradnl"/>
        </w:rPr>
        <w:t xml:space="preserve"> (i) </w:t>
      </w:r>
      <w:r w:rsidR="007B0F88" w:rsidRPr="0078289D">
        <w:rPr>
          <w:color w:val="000000"/>
          <w:sz w:val="28"/>
          <w:szCs w:val="28"/>
          <w:lang w:val="es-ES_tradnl"/>
        </w:rPr>
        <w:t xml:space="preserve">asegurar </w:t>
      </w:r>
      <w:r w:rsidR="007F3BDD" w:rsidRPr="0078289D">
        <w:rPr>
          <w:color w:val="000000"/>
          <w:sz w:val="28"/>
          <w:szCs w:val="28"/>
          <w:lang w:val="es-ES_tradnl"/>
        </w:rPr>
        <w:t xml:space="preserve">la continuidad de los procesos ecológicos y evolutivos naturales para mantener la diversidad biológica; (ii) </w:t>
      </w:r>
      <w:r w:rsidR="007B0F88" w:rsidRPr="0078289D">
        <w:rPr>
          <w:color w:val="000000"/>
          <w:sz w:val="28"/>
          <w:szCs w:val="28"/>
          <w:lang w:val="es-ES_tradnl"/>
        </w:rPr>
        <w:t xml:space="preserve">garantizar </w:t>
      </w:r>
      <w:r w:rsidR="007F3BDD" w:rsidRPr="0078289D">
        <w:rPr>
          <w:color w:val="000000"/>
          <w:sz w:val="28"/>
          <w:szCs w:val="28"/>
          <w:lang w:val="es-ES_tradnl"/>
        </w:rPr>
        <w:t>la oferta de bienes y servicios ambientales esenciales para el bienestar humano;</w:t>
      </w:r>
      <w:r w:rsidR="00FA7891" w:rsidRPr="0078289D">
        <w:rPr>
          <w:color w:val="000000"/>
          <w:sz w:val="28"/>
          <w:szCs w:val="28"/>
          <w:lang w:val="es-ES_tradnl"/>
        </w:rPr>
        <w:t xml:space="preserve"> y</w:t>
      </w:r>
      <w:r w:rsidR="007F3BDD" w:rsidRPr="0078289D">
        <w:rPr>
          <w:color w:val="000000"/>
          <w:sz w:val="28"/>
          <w:szCs w:val="28"/>
          <w:lang w:val="es-ES_tradnl"/>
        </w:rPr>
        <w:t xml:space="preserve"> (iii) </w:t>
      </w:r>
      <w:r w:rsidR="007B0F88" w:rsidRPr="0078289D">
        <w:rPr>
          <w:color w:val="000000"/>
          <w:sz w:val="28"/>
          <w:szCs w:val="28"/>
          <w:lang w:val="es-ES_tradnl"/>
        </w:rPr>
        <w:t xml:space="preserve">garantizar </w:t>
      </w:r>
      <w:r w:rsidR="007F3BDD" w:rsidRPr="0078289D">
        <w:rPr>
          <w:color w:val="000000"/>
          <w:sz w:val="28"/>
          <w:szCs w:val="28"/>
          <w:lang w:val="es-ES_tradnl"/>
        </w:rPr>
        <w:t>la permanencia del medio natural, o de alguno de sus componentes, como fundamento para el mantenimiento de la diversidad cultural del país y de la valoración social de la naturaleza</w:t>
      </w:r>
      <w:r w:rsidR="007F3BDD" w:rsidRPr="0078289D">
        <w:rPr>
          <w:rStyle w:val="Refdenotaalpie"/>
          <w:sz w:val="28"/>
          <w:szCs w:val="28"/>
          <w:lang w:val="es-ES_tradnl"/>
        </w:rPr>
        <w:footnoteReference w:id="104"/>
      </w:r>
      <w:r w:rsidR="007F3BDD" w:rsidRPr="0078289D">
        <w:rPr>
          <w:color w:val="000000"/>
          <w:sz w:val="28"/>
          <w:szCs w:val="28"/>
          <w:lang w:val="es-ES_tradnl"/>
        </w:rPr>
        <w:t>.</w:t>
      </w:r>
    </w:p>
    <w:p w:rsidR="007F3BDD" w:rsidRPr="0078289D" w:rsidRDefault="007F3BDD" w:rsidP="0078289D">
      <w:pPr>
        <w:pStyle w:val="Listavistosa-nfasis11"/>
        <w:tabs>
          <w:tab w:val="left" w:pos="426"/>
        </w:tabs>
        <w:spacing w:line="240" w:lineRule="auto"/>
        <w:ind w:left="0"/>
        <w:jc w:val="both"/>
        <w:rPr>
          <w:b/>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 xml:space="preserve">El problema de la determinación del concepto de páramo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E3BF0"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135. </w:t>
      </w:r>
      <w:r w:rsidR="007F3BDD" w:rsidRPr="0078289D">
        <w:rPr>
          <w:color w:val="000000"/>
          <w:sz w:val="28"/>
          <w:szCs w:val="28"/>
          <w:lang w:val="es-ES_tradnl"/>
        </w:rPr>
        <w:t xml:space="preserve">Según el numeral 4º del artículo 1º de la Ley 99 de 1993, las zonas de páramos, subpáramos, los nacimientos de agua y zonas de recarga de acuíferos </w:t>
      </w:r>
      <w:r w:rsidR="002B2F4A" w:rsidRPr="0078289D">
        <w:rPr>
          <w:color w:val="000000"/>
          <w:sz w:val="28"/>
          <w:szCs w:val="28"/>
          <w:lang w:val="es-ES_tradnl"/>
        </w:rPr>
        <w:t>deben ser</w:t>
      </w:r>
      <w:r w:rsidR="007F3BDD" w:rsidRPr="0078289D">
        <w:rPr>
          <w:color w:val="000000"/>
          <w:sz w:val="28"/>
          <w:szCs w:val="28"/>
          <w:lang w:val="es-ES_tradnl"/>
        </w:rPr>
        <w:t xml:space="preserve"> objeto de protección especial. Por lo anterior, las autoridades ambientales tienen a su cargo la obligación de adelantar las acciones tendientes a su conservación y manejo, las que podrán incluir su designación como áreas protegidas bajo alguna de las categorías de manejo establecidas en el Decreto 2372 de 2010</w:t>
      </w:r>
      <w:r w:rsidR="007F3BDD" w:rsidRPr="0078289D">
        <w:rPr>
          <w:rStyle w:val="Refdenotaalpie"/>
          <w:sz w:val="28"/>
          <w:szCs w:val="28"/>
          <w:lang w:val="es-ES_tradnl"/>
        </w:rPr>
        <w:footnoteReference w:id="105"/>
      </w:r>
      <w:r w:rsidR="007F3BDD" w:rsidRPr="0078289D">
        <w:rPr>
          <w:color w:val="000000"/>
          <w:sz w:val="28"/>
          <w:szCs w:val="28"/>
          <w:lang w:val="es-ES_tradnl"/>
        </w:rPr>
        <w:t xml:space="preserve">. </w:t>
      </w:r>
    </w:p>
    <w:p w:rsidR="007F3BDD" w:rsidRPr="0078289D" w:rsidRDefault="007F3BDD" w:rsidP="0078289D">
      <w:pPr>
        <w:pBdr>
          <w:top w:val="none" w:sz="0" w:space="0" w:color="auto"/>
          <w:left w:val="none" w:sz="0" w:space="0" w:color="auto"/>
          <w:bottom w:val="none" w:sz="0" w:space="0" w:color="auto"/>
          <w:right w:val="none" w:sz="0" w:space="0" w:color="auto"/>
        </w:pBdr>
        <w:tabs>
          <w:tab w:val="left" w:pos="426"/>
        </w:tabs>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En particular, </w:t>
      </w:r>
      <w:r w:rsidR="0010644B" w:rsidRPr="0078289D">
        <w:rPr>
          <w:color w:val="000000"/>
          <w:sz w:val="28"/>
          <w:szCs w:val="28"/>
          <w:lang w:val="es-ES_tradnl"/>
        </w:rPr>
        <w:t>aunque los páramos</w:t>
      </w:r>
      <w:r w:rsidRPr="0078289D">
        <w:rPr>
          <w:color w:val="000000"/>
          <w:sz w:val="28"/>
          <w:szCs w:val="28"/>
          <w:lang w:val="es-ES_tradnl"/>
        </w:rPr>
        <w:t xml:space="preserve"> sean ecosistemas que de acuerdo con la ley requieren de protección especial, </w:t>
      </w:r>
      <w:r w:rsidR="0010644B" w:rsidRPr="0078289D">
        <w:rPr>
          <w:color w:val="000000"/>
          <w:sz w:val="28"/>
          <w:szCs w:val="28"/>
          <w:lang w:val="es-ES_tradnl"/>
        </w:rPr>
        <w:t>no por ello son</w:t>
      </w:r>
      <w:r w:rsidRPr="0078289D">
        <w:rPr>
          <w:color w:val="000000"/>
          <w:sz w:val="28"/>
          <w:szCs w:val="28"/>
          <w:lang w:val="es-ES_tradnl"/>
        </w:rPr>
        <w:t xml:space="preserve"> </w:t>
      </w:r>
      <w:r w:rsidRPr="0078289D">
        <w:rPr>
          <w:i/>
          <w:color w:val="000000"/>
          <w:sz w:val="28"/>
          <w:szCs w:val="28"/>
          <w:lang w:val="es-ES_tradnl"/>
        </w:rPr>
        <w:t xml:space="preserve">per se </w:t>
      </w:r>
      <w:r w:rsidRPr="0078289D">
        <w:rPr>
          <w:color w:val="000000"/>
          <w:sz w:val="28"/>
          <w:szCs w:val="28"/>
          <w:lang w:val="es-ES_tradnl"/>
        </w:rPr>
        <w:t xml:space="preserve">en áreas protegidas, toda vez que la categoría de </w:t>
      </w:r>
      <w:r w:rsidRPr="0078289D">
        <w:rPr>
          <w:i/>
          <w:color w:val="000000"/>
          <w:sz w:val="28"/>
          <w:szCs w:val="28"/>
          <w:lang w:val="es-ES_tradnl"/>
        </w:rPr>
        <w:t>“área protegida”</w:t>
      </w:r>
      <w:r w:rsidRPr="0078289D">
        <w:rPr>
          <w:color w:val="000000"/>
          <w:sz w:val="28"/>
          <w:szCs w:val="28"/>
          <w:lang w:val="es-ES_tradnl"/>
        </w:rPr>
        <w:t xml:space="preserve"> está atada a un procedimiento de declaratoria y adopción por parte de las autoridades ambientales. Es decir que a pesar que estos ecosistemas han sido concebidos como áreas que requieren de una protección especial,  no se ha reglamentado una categoría de protección específica </w:t>
      </w:r>
      <w:r w:rsidR="00D4387A" w:rsidRPr="0078289D">
        <w:rPr>
          <w:color w:val="000000"/>
          <w:sz w:val="28"/>
          <w:szCs w:val="28"/>
          <w:lang w:val="es-ES_tradnl"/>
        </w:rPr>
        <w:t xml:space="preserve">o automática </w:t>
      </w:r>
      <w:r w:rsidRPr="0078289D">
        <w:rPr>
          <w:color w:val="000000"/>
          <w:sz w:val="28"/>
          <w:szCs w:val="28"/>
          <w:lang w:val="es-ES_tradnl"/>
        </w:rPr>
        <w:t>para dichos biomas. En esa medida, en la actualidad existen zonas de páramo que han sido declaradas como áreas protegidas y otras que no</w:t>
      </w:r>
      <w:r w:rsidR="008151CB" w:rsidRPr="0078289D">
        <w:rPr>
          <w:color w:val="000000"/>
          <w:sz w:val="28"/>
          <w:szCs w:val="28"/>
          <w:lang w:val="es-ES_tradnl"/>
        </w:rPr>
        <w:t xml:space="preserve"> lo  han sido</w:t>
      </w:r>
      <w:r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552CFC"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136. </w:t>
      </w:r>
      <w:r w:rsidR="007F3BDD" w:rsidRPr="0078289D">
        <w:rPr>
          <w:color w:val="000000"/>
          <w:sz w:val="28"/>
          <w:szCs w:val="28"/>
          <w:lang w:val="es-ES_tradnl"/>
        </w:rPr>
        <w:t>Desde el punto de vista regulatorio, mediante Resolución 769 de 2002, el Ministerio de Ambiente estableció que los páramos son ecosistemas de una singular riqueza cultural y biótica</w:t>
      </w:r>
      <w:r w:rsidR="008151CB" w:rsidRPr="0078289D">
        <w:rPr>
          <w:color w:val="000000"/>
          <w:sz w:val="28"/>
          <w:szCs w:val="28"/>
          <w:lang w:val="es-ES_tradnl"/>
        </w:rPr>
        <w:t>,</w:t>
      </w:r>
      <w:r w:rsidR="007F3BDD" w:rsidRPr="0078289D">
        <w:rPr>
          <w:color w:val="000000"/>
          <w:sz w:val="28"/>
          <w:szCs w:val="28"/>
          <w:lang w:val="es-ES_tradnl"/>
        </w:rPr>
        <w:t xml:space="preserve"> y con un alto grado de especies de flora y fauna endémicas de inmenso valor, que constituyen un factor indispensable para el equilibrio ecosistémico, el manejo de la biodiversidad y el patrimonio natural del país.</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i/>
          <w:color w:val="000000"/>
          <w:sz w:val="28"/>
          <w:szCs w:val="28"/>
          <w:lang w:val="es-ES_tradnl"/>
        </w:rPr>
      </w:pPr>
      <w:r w:rsidRPr="0078289D">
        <w:rPr>
          <w:color w:val="000000"/>
          <w:sz w:val="28"/>
          <w:szCs w:val="28"/>
          <w:lang w:val="es-ES_tradnl"/>
        </w:rPr>
        <w:t xml:space="preserve">Adicionalmente, en dicha Resolución se definió el páramo como el </w:t>
      </w:r>
      <w:r w:rsidRPr="0078289D">
        <w:rPr>
          <w:i/>
          <w:color w:val="000000"/>
          <w:sz w:val="28"/>
          <w:szCs w:val="28"/>
          <w:lang w:val="es-ES_tradnl"/>
        </w:rPr>
        <w:t>“[e]cosistema de alta montaña, ubicado entre el límite superior del bosque andino y, si se da el caso, con el límite inferior de los glaciares o nieves perpetuas, en el cual domina una vegetación herbácea y de pajonales, frecuentemente frailejones y pueden haber formaciones de bosques bajos y arbustivos y presentar humedales como los ríos, quebradas, arroyos, turberas, pantanos, lagos y lagunas.”</w:t>
      </w:r>
      <w:r w:rsidRPr="0078289D">
        <w:rPr>
          <w:rStyle w:val="Refdenotaalpie"/>
          <w:i/>
          <w:sz w:val="28"/>
          <w:szCs w:val="28"/>
          <w:lang w:val="es-ES_tradnl"/>
        </w:rPr>
        <w:footnoteReference w:id="106"/>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552CFC"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Así mismo</w:t>
      </w:r>
      <w:r w:rsidR="007F3BDD" w:rsidRPr="0078289D">
        <w:rPr>
          <w:color w:val="000000"/>
          <w:sz w:val="28"/>
          <w:szCs w:val="28"/>
          <w:lang w:val="es-ES_tradnl"/>
        </w:rPr>
        <w:t xml:space="preserve">, el artículo 1º de la mencionada resolución introdujo un parámetro de referencia para la aplicación de la norma, al establecer que la misma se </w:t>
      </w:r>
      <w:r w:rsidR="007F3BDD" w:rsidRPr="0078289D">
        <w:rPr>
          <w:color w:val="000000"/>
          <w:sz w:val="28"/>
          <w:szCs w:val="28"/>
          <w:lang w:val="es-ES_tradnl"/>
        </w:rPr>
        <w:lastRenderedPageBreak/>
        <w:t xml:space="preserve">aplica a los páramos del territorio nacional ubicados en la cordillera Occidental a partir de aproximadamente los 3.300 metros sobre el nivel del mar (en lo sucesivo “m.s.n.m.”), en la cordillera Central desde aproximadamente los 3.700 m.s.n.m., en la cordillera Oriental desde aproximadamente los 3.000 m.s.n.m. y en las demás regiones del país aproximadamente a partir de los 3.300 m.s.n.m. De lo anterior se puede inferir que una de las principales características de los páramos es la baja temperatura, por cuanto se ubican por encima del límite superior de los bosques.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552CFC"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 xml:space="preserve">137. </w:t>
      </w:r>
      <w:r w:rsidR="007F3BDD" w:rsidRPr="0078289D">
        <w:rPr>
          <w:color w:val="000000"/>
          <w:sz w:val="28"/>
          <w:szCs w:val="28"/>
          <w:lang w:val="es-ES_tradnl"/>
        </w:rPr>
        <w:t>Como se puede observar, dicha definición contiene ciertos elementos técnicos que permiten inferir algunas de las características de este ecosistema. El problema radica entonces en que la definición de páramo, desde la perspectiva empírica varía.</w:t>
      </w:r>
      <w:r w:rsidR="00FA1E7B" w:rsidRPr="0078289D">
        <w:rPr>
          <w:color w:val="000000"/>
          <w:sz w:val="28"/>
          <w:szCs w:val="28"/>
          <w:lang w:val="es-ES_tradnl"/>
        </w:rPr>
        <w:t xml:space="preserve"> </w:t>
      </w:r>
      <w:r w:rsidR="007F3BDD" w:rsidRPr="0078289D">
        <w:rPr>
          <w:color w:val="000000"/>
          <w:sz w:val="28"/>
          <w:szCs w:val="28"/>
          <w:lang w:val="es-ES_tradnl"/>
        </w:rPr>
        <w:t>Así, el Instit</w:t>
      </w:r>
      <w:r w:rsidR="007C7893" w:rsidRPr="0078289D">
        <w:rPr>
          <w:color w:val="000000"/>
          <w:sz w:val="28"/>
          <w:szCs w:val="28"/>
          <w:lang w:val="es-ES_tradnl"/>
        </w:rPr>
        <w:t>uto de Investigación Alexander v</w:t>
      </w:r>
      <w:r w:rsidR="007F3BDD" w:rsidRPr="0078289D">
        <w:rPr>
          <w:color w:val="000000"/>
          <w:sz w:val="28"/>
          <w:szCs w:val="28"/>
          <w:lang w:val="es-ES_tradnl"/>
        </w:rPr>
        <w:t>on Humboldt (en adelante IAvH) ha recopilado algunas de las definiciones del ecosistema de páramo: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 Para Cuatrecasas (1958) los páramos son las regiones más elevadas y descubiertas de las cordilleras tropandinas, donde concurren especiales condiciones físicas, climáticas y meteóricas de tipo tropical, determinantes de formas particulares de vegetación. Los divide en subpáramo, páramo y superpáramo.</w:t>
      </w:r>
    </w:p>
    <w:p w:rsidR="007F3BDD" w:rsidRPr="0078289D" w:rsidRDefault="007F3BDD" w:rsidP="0078289D">
      <w:pPr>
        <w:pStyle w:val="Listavistosa-nfasis11"/>
        <w:spacing w:line="240" w:lineRule="auto"/>
        <w:ind w:left="1428"/>
        <w:jc w:val="both"/>
        <w:rPr>
          <w:i/>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 Región natural que se encuentra en una situación tropical, casi ecuatorial, con un límite inferior por arriba de 3000 m y un límite superior entre 4500-4800 m (Monasterio 1980).</w:t>
      </w: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 Guhl (1982) se refiere a los páramos como las regiones montañosas de los Andes ecuatoriales húmedos, por encima del límite superior del bosque, con una geomorfología hasta periglacial y bajo condiciones ambientales extremas.</w:t>
      </w:r>
    </w:p>
    <w:p w:rsidR="007F3BDD" w:rsidRPr="0078289D" w:rsidRDefault="007F3BDD" w:rsidP="0078289D">
      <w:pPr>
        <w:pStyle w:val="Listavistosa-nfasis11"/>
        <w:spacing w:line="240" w:lineRule="auto"/>
        <w:ind w:left="1428"/>
        <w:jc w:val="both"/>
        <w:rPr>
          <w:i/>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 Región de vida que comprende extensas zonas que coronan las cordilleras entre el bosque andino y el límite inferior de las nieves perpetuas. Están definidos como región natural por la relación entre el suelo, el clima, la biota y la influencia humana (Rangel-Ch 2.000).</w:t>
      </w: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i/>
          <w:color w:val="000000"/>
          <w:sz w:val="28"/>
          <w:szCs w:val="28"/>
          <w:lang w:val="es-ES_tradnl"/>
        </w:rPr>
      </w:pPr>
      <w:r w:rsidRPr="0078289D">
        <w:rPr>
          <w:i/>
          <w:color w:val="000000"/>
          <w:sz w:val="28"/>
          <w:szCs w:val="28"/>
          <w:lang w:val="es-ES_tradnl"/>
        </w:rPr>
        <w:t>- Ecosistema natural entre el límite del bosque cerrado y la nieve perpetua en los trópicos húmedos (Hofstede et al. 2003).</w:t>
      </w:r>
    </w:p>
    <w:p w:rsidR="007F3BDD" w:rsidRPr="0078289D" w:rsidRDefault="007F3BDD" w:rsidP="0078289D">
      <w:pPr>
        <w:pStyle w:val="Listavistosa-nfasis11"/>
        <w:spacing w:line="240" w:lineRule="auto"/>
        <w:ind w:left="1428"/>
        <w:jc w:val="both"/>
        <w:rPr>
          <w:i/>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ind w:left="708"/>
        <w:jc w:val="both"/>
        <w:rPr>
          <w:color w:val="000000"/>
          <w:sz w:val="28"/>
          <w:szCs w:val="28"/>
          <w:lang w:val="es-ES_tradnl"/>
        </w:rPr>
      </w:pPr>
      <w:r w:rsidRPr="0078289D">
        <w:rPr>
          <w:i/>
          <w:color w:val="000000"/>
          <w:sz w:val="28"/>
          <w:szCs w:val="28"/>
          <w:lang w:val="es-ES_tradnl"/>
        </w:rPr>
        <w:t>- Biomas exclusivos de las montañas neotropicales, localizados entre el límite superior de la vegetación boscosa (3200-3800 m de altitud) y el límite inferior de las nieves perpetuas (4400-4700 m de altitud) en los sistemas andinos (Vargas y Pedraza 2004).”</w:t>
      </w:r>
      <w:r w:rsidRPr="0078289D">
        <w:rPr>
          <w:rStyle w:val="Refdenotaalpie"/>
          <w:i/>
          <w:sz w:val="28"/>
          <w:szCs w:val="28"/>
          <w:lang w:val="es-ES_tradnl"/>
        </w:rPr>
        <w:footnoteReference w:id="107"/>
      </w:r>
    </w:p>
    <w:p w:rsidR="007F3BDD" w:rsidRPr="0078289D" w:rsidRDefault="007F3BDD" w:rsidP="0078289D">
      <w:pPr>
        <w:pBdr>
          <w:top w:val="none" w:sz="0" w:space="0" w:color="auto"/>
          <w:left w:val="none" w:sz="0" w:space="0" w:color="auto"/>
          <w:bottom w:val="none" w:sz="0" w:space="0" w:color="auto"/>
          <w:right w:val="none" w:sz="0" w:space="0" w:color="auto"/>
        </w:pBdr>
        <w:rPr>
          <w:bCs/>
          <w:color w:val="000000"/>
          <w:sz w:val="28"/>
          <w:szCs w:val="28"/>
          <w:lang w:val="es-ES_tradnl"/>
        </w:rPr>
      </w:pPr>
    </w:p>
    <w:p w:rsidR="004D3E81" w:rsidRPr="0078289D" w:rsidRDefault="004D3E81" w:rsidP="0078289D">
      <w:pPr>
        <w:pBdr>
          <w:top w:val="none" w:sz="0" w:space="0" w:color="auto"/>
          <w:left w:val="none" w:sz="0" w:space="0" w:color="auto"/>
          <w:bottom w:val="none" w:sz="0" w:space="0" w:color="auto"/>
          <w:right w:val="none" w:sz="0" w:space="0" w:color="auto"/>
        </w:pBdr>
        <w:jc w:val="both"/>
        <w:rPr>
          <w:bCs/>
          <w:color w:val="000000"/>
          <w:sz w:val="28"/>
          <w:szCs w:val="28"/>
          <w:lang w:val="es-ES_tradnl"/>
        </w:rPr>
      </w:pPr>
      <w:r w:rsidRPr="0078289D">
        <w:rPr>
          <w:bCs/>
          <w:color w:val="000000"/>
          <w:sz w:val="28"/>
          <w:szCs w:val="28"/>
          <w:lang w:val="es-ES_tradnl"/>
        </w:rPr>
        <w:lastRenderedPageBreak/>
        <w:t>Como se observa, entonces, los criterios con fundamento en los cuales diferentes científicos han definido lo que es un páramo difie</w:t>
      </w:r>
      <w:r w:rsidR="00FA3439" w:rsidRPr="0078289D">
        <w:rPr>
          <w:bCs/>
          <w:color w:val="000000"/>
          <w:sz w:val="28"/>
          <w:szCs w:val="28"/>
          <w:lang w:val="es-ES_tradnl"/>
        </w:rPr>
        <w:t>ren, no sólo cuantitativamente, en torno a la altura sobre el nivel del mar en que se encuentran los páramos</w:t>
      </w:r>
      <w:r w:rsidRPr="0078289D">
        <w:rPr>
          <w:bCs/>
          <w:color w:val="000000"/>
          <w:sz w:val="28"/>
          <w:szCs w:val="28"/>
          <w:lang w:val="es-ES_tradnl"/>
        </w:rPr>
        <w:t xml:space="preserve">, sino cualitativamente, en la medida en que los factores o elementos </w:t>
      </w:r>
      <w:r w:rsidR="0051199E" w:rsidRPr="0078289D">
        <w:rPr>
          <w:bCs/>
          <w:color w:val="000000"/>
          <w:sz w:val="28"/>
          <w:szCs w:val="28"/>
          <w:lang w:val="es-ES_tradnl"/>
        </w:rPr>
        <w:t xml:space="preserve">a partir de los cuales se construye la definición de páramo varían </w:t>
      </w:r>
      <w:r w:rsidR="00ED35E1" w:rsidRPr="0078289D">
        <w:rPr>
          <w:bCs/>
          <w:color w:val="000000"/>
          <w:sz w:val="28"/>
          <w:szCs w:val="28"/>
          <w:lang w:val="es-ES_tradnl"/>
        </w:rPr>
        <w:t xml:space="preserve">de forma </w:t>
      </w:r>
      <w:r w:rsidR="0051199E" w:rsidRPr="0078289D">
        <w:rPr>
          <w:bCs/>
          <w:color w:val="000000"/>
          <w:sz w:val="28"/>
          <w:szCs w:val="28"/>
          <w:lang w:val="es-ES_tradnl"/>
        </w:rPr>
        <w:t>signi</w:t>
      </w:r>
      <w:r w:rsidR="00ED35E1" w:rsidRPr="0078289D">
        <w:rPr>
          <w:bCs/>
          <w:color w:val="000000"/>
          <w:sz w:val="28"/>
          <w:szCs w:val="28"/>
          <w:lang w:val="es-ES_tradnl"/>
        </w:rPr>
        <w:t>ficativa</w:t>
      </w:r>
      <w:r w:rsidR="0051199E" w:rsidRPr="0078289D">
        <w:rPr>
          <w:bCs/>
          <w:color w:val="000000"/>
          <w:sz w:val="28"/>
          <w:szCs w:val="28"/>
          <w:lang w:val="es-ES_tradnl"/>
        </w:rPr>
        <w:t xml:space="preserve">. </w:t>
      </w:r>
      <w:r w:rsidR="00F41FF3" w:rsidRPr="0078289D">
        <w:rPr>
          <w:bCs/>
          <w:color w:val="000000"/>
          <w:sz w:val="28"/>
          <w:szCs w:val="28"/>
          <w:lang w:val="es-ES_tradnl"/>
        </w:rPr>
        <w:t xml:space="preserve">Algunos </w:t>
      </w:r>
      <w:r w:rsidR="00B907BB" w:rsidRPr="0078289D">
        <w:rPr>
          <w:bCs/>
          <w:color w:val="000000"/>
          <w:sz w:val="28"/>
          <w:szCs w:val="28"/>
          <w:lang w:val="es-ES_tradnl"/>
        </w:rPr>
        <w:t xml:space="preserve">científicos </w:t>
      </w:r>
      <w:r w:rsidR="00F41FF3" w:rsidRPr="0078289D">
        <w:rPr>
          <w:bCs/>
          <w:color w:val="000000"/>
          <w:sz w:val="28"/>
          <w:szCs w:val="28"/>
          <w:lang w:val="es-ES_tradnl"/>
        </w:rPr>
        <w:t xml:space="preserve">adoptan definiciones simplemente operativas, como la ubicación entre los ecosistemas de bosque y las nieves perpetuas, mientras </w:t>
      </w:r>
      <w:r w:rsidR="00B907BB" w:rsidRPr="0078289D">
        <w:rPr>
          <w:bCs/>
          <w:color w:val="000000"/>
          <w:sz w:val="28"/>
          <w:szCs w:val="28"/>
          <w:lang w:val="es-ES_tradnl"/>
        </w:rPr>
        <w:t xml:space="preserve">que </w:t>
      </w:r>
      <w:r w:rsidR="00F41FF3" w:rsidRPr="0078289D">
        <w:rPr>
          <w:bCs/>
          <w:color w:val="000000"/>
          <w:sz w:val="28"/>
          <w:szCs w:val="28"/>
          <w:lang w:val="es-ES_tradnl"/>
        </w:rPr>
        <w:t xml:space="preserve">otros </w:t>
      </w:r>
      <w:r w:rsidR="00A3276D" w:rsidRPr="0078289D">
        <w:rPr>
          <w:bCs/>
          <w:color w:val="000000"/>
          <w:sz w:val="28"/>
          <w:szCs w:val="28"/>
          <w:lang w:val="es-ES_tradnl"/>
        </w:rPr>
        <w:t xml:space="preserve">agregan elementos relacionados con el tipo de vegetación, la </w:t>
      </w:r>
      <w:r w:rsidR="00B907BB" w:rsidRPr="0078289D">
        <w:rPr>
          <w:bCs/>
          <w:color w:val="000000"/>
          <w:sz w:val="28"/>
          <w:szCs w:val="28"/>
          <w:lang w:val="es-ES_tradnl"/>
        </w:rPr>
        <w:t>latitud en que se ubican</w:t>
      </w:r>
      <w:r w:rsidR="00A3276D" w:rsidRPr="0078289D">
        <w:rPr>
          <w:bCs/>
          <w:color w:val="000000"/>
          <w:sz w:val="28"/>
          <w:szCs w:val="28"/>
          <w:lang w:val="es-ES_tradnl"/>
        </w:rPr>
        <w:t xml:space="preserve">, la </w:t>
      </w:r>
      <w:r w:rsidR="001C7894" w:rsidRPr="0078289D">
        <w:rPr>
          <w:bCs/>
          <w:color w:val="000000"/>
          <w:sz w:val="28"/>
          <w:szCs w:val="28"/>
          <w:lang w:val="es-ES_tradnl"/>
        </w:rPr>
        <w:t xml:space="preserve">morfología geológica, entre otros. Estas definiciones constituyen un desafío para la </w:t>
      </w:r>
      <w:r w:rsidR="00134EDF" w:rsidRPr="0078289D">
        <w:rPr>
          <w:bCs/>
          <w:color w:val="000000"/>
          <w:sz w:val="28"/>
          <w:szCs w:val="28"/>
          <w:lang w:val="es-ES_tradnl"/>
        </w:rPr>
        <w:t xml:space="preserve">delimitación, y por lo tanto también para la </w:t>
      </w:r>
      <w:r w:rsidR="001C7894" w:rsidRPr="0078289D">
        <w:rPr>
          <w:bCs/>
          <w:color w:val="000000"/>
          <w:sz w:val="28"/>
          <w:szCs w:val="28"/>
          <w:lang w:val="es-ES_tradnl"/>
        </w:rPr>
        <w:t>protección de estos ecosistemas</w:t>
      </w:r>
      <w:r w:rsidR="00B31D60" w:rsidRPr="0078289D">
        <w:rPr>
          <w:bCs/>
          <w:color w:val="000000"/>
          <w:sz w:val="28"/>
          <w:szCs w:val="28"/>
          <w:lang w:val="es-ES_tradnl"/>
        </w:rPr>
        <w:t xml:space="preserve">. Sin embargo, existen algunos puntos de convergencia </w:t>
      </w:r>
      <w:r w:rsidR="00134EDF" w:rsidRPr="0078289D">
        <w:rPr>
          <w:bCs/>
          <w:color w:val="000000"/>
          <w:sz w:val="28"/>
          <w:szCs w:val="28"/>
          <w:lang w:val="es-ES_tradnl"/>
        </w:rPr>
        <w:t xml:space="preserve">en las definiciones relacionados con las funciones o servicios ambientales que prestan estos ecosistemas, que facilitan la adopción </w:t>
      </w:r>
      <w:r w:rsidR="00C46B15" w:rsidRPr="0078289D">
        <w:rPr>
          <w:bCs/>
          <w:color w:val="000000"/>
          <w:sz w:val="28"/>
          <w:szCs w:val="28"/>
          <w:lang w:val="es-ES_tradnl"/>
        </w:rPr>
        <w:t>de unos criterios de delimitación. Como se verá má</w:t>
      </w:r>
      <w:r w:rsidR="00960464" w:rsidRPr="0078289D">
        <w:rPr>
          <w:bCs/>
          <w:color w:val="000000"/>
          <w:sz w:val="28"/>
          <w:szCs w:val="28"/>
          <w:lang w:val="es-ES_tradnl"/>
        </w:rPr>
        <w:t xml:space="preserve">s adelante, estas funciones o servicios ambientales constituyen el criterio más eficiente para efectos de </w:t>
      </w:r>
      <w:r w:rsidR="005A7FFD" w:rsidRPr="0078289D">
        <w:rPr>
          <w:bCs/>
          <w:color w:val="000000"/>
          <w:sz w:val="28"/>
          <w:szCs w:val="28"/>
          <w:lang w:val="es-ES_tradnl"/>
        </w:rPr>
        <w:t xml:space="preserve">la protección de ciertos bienes jurídicos constitucionalmente protegidos. </w:t>
      </w:r>
    </w:p>
    <w:p w:rsidR="003D1E49" w:rsidRPr="0078289D" w:rsidRDefault="003D1E49" w:rsidP="0078289D">
      <w:pPr>
        <w:pBdr>
          <w:top w:val="none" w:sz="0" w:space="0" w:color="auto"/>
          <w:left w:val="none" w:sz="0" w:space="0" w:color="auto"/>
          <w:bottom w:val="none" w:sz="0" w:space="0" w:color="auto"/>
          <w:right w:val="none" w:sz="0" w:space="0" w:color="auto"/>
        </w:pBdr>
        <w:jc w:val="both"/>
        <w:rPr>
          <w:b/>
          <w:bCs/>
          <w:i/>
          <w:color w:val="000000"/>
          <w:sz w:val="28"/>
          <w:szCs w:val="28"/>
          <w:lang w:val="es-ES_tradnl"/>
        </w:rPr>
      </w:pPr>
    </w:p>
    <w:p w:rsidR="007F3BDD" w:rsidRPr="0078289D" w:rsidRDefault="009D180D" w:rsidP="0078289D">
      <w:pPr>
        <w:pBdr>
          <w:top w:val="none" w:sz="0" w:space="0" w:color="auto"/>
          <w:left w:val="none" w:sz="0" w:space="0" w:color="auto"/>
          <w:bottom w:val="none" w:sz="0" w:space="0" w:color="auto"/>
          <w:right w:val="none" w:sz="0" w:space="0" w:color="auto"/>
        </w:pBdr>
        <w:jc w:val="both"/>
        <w:rPr>
          <w:b/>
          <w:bCs/>
          <w:i/>
          <w:color w:val="000000"/>
          <w:sz w:val="28"/>
          <w:szCs w:val="28"/>
          <w:lang w:val="es-ES_tradnl"/>
        </w:rPr>
      </w:pPr>
      <w:r w:rsidRPr="0078289D">
        <w:rPr>
          <w:b/>
          <w:bCs/>
          <w:i/>
          <w:color w:val="000000"/>
          <w:sz w:val="28"/>
          <w:szCs w:val="28"/>
          <w:lang w:val="es-ES_tradnl"/>
        </w:rPr>
        <w:t>Criterios</w:t>
      </w:r>
      <w:r w:rsidR="007F3BDD" w:rsidRPr="0078289D">
        <w:rPr>
          <w:b/>
          <w:bCs/>
          <w:i/>
          <w:color w:val="000000"/>
          <w:sz w:val="28"/>
          <w:szCs w:val="28"/>
          <w:lang w:val="es-ES_tradnl"/>
        </w:rPr>
        <w:t xml:space="preserve"> </w:t>
      </w:r>
      <w:r w:rsidRPr="0078289D">
        <w:rPr>
          <w:b/>
          <w:bCs/>
          <w:i/>
          <w:color w:val="000000"/>
          <w:sz w:val="28"/>
          <w:szCs w:val="28"/>
          <w:lang w:val="es-ES_tradnl"/>
        </w:rPr>
        <w:t>para la delimitación del páramo</w:t>
      </w:r>
      <w:r w:rsidR="007F3BDD" w:rsidRPr="0078289D">
        <w:rPr>
          <w:b/>
          <w:bCs/>
          <w:i/>
          <w:color w:val="000000"/>
          <w:sz w:val="28"/>
          <w:szCs w:val="28"/>
          <w:lang w:val="es-ES_tradnl"/>
        </w:rPr>
        <w:t xml:space="preserve"> </w:t>
      </w:r>
      <w:r w:rsidR="009160F8" w:rsidRPr="0078289D">
        <w:rPr>
          <w:b/>
          <w:bCs/>
          <w:i/>
          <w:color w:val="000000"/>
          <w:sz w:val="28"/>
          <w:szCs w:val="28"/>
          <w:lang w:val="es-ES_tradnl"/>
        </w:rPr>
        <w:t>y la necesidad de integrar la unidad normativa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02BF5"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138. </w:t>
      </w:r>
      <w:r w:rsidR="007F3BDD" w:rsidRPr="0078289D">
        <w:rPr>
          <w:color w:val="000000"/>
          <w:sz w:val="28"/>
          <w:szCs w:val="28"/>
          <w:lang w:val="es-ES_tradnl"/>
        </w:rPr>
        <w:t>Desde que se expidió la Resolución 769 de 2002, se planteó la necesidad de profundizar en el entendimiento de las interrelaciones entre los páramos y las actividades humanas, así como en el estudio de su vulnerabilidad, con el fin de gestionar planes, programas, proyectos y/o actividades que permitan adoptar medidas de manejo y adaptación a los cambios naturales</w:t>
      </w:r>
      <w:r w:rsidR="007F3BDD" w:rsidRPr="0078289D">
        <w:rPr>
          <w:rStyle w:val="Refdenotaalpie"/>
          <w:sz w:val="28"/>
          <w:szCs w:val="28"/>
          <w:lang w:val="es-ES_tradnl"/>
        </w:rPr>
        <w:footnoteReference w:id="108"/>
      </w:r>
      <w:r w:rsidR="007F3BDD" w:rsidRPr="0078289D">
        <w:rPr>
          <w:color w:val="000000"/>
          <w:sz w:val="28"/>
          <w:szCs w:val="28"/>
          <w:lang w:val="es-ES_tradnl"/>
        </w:rPr>
        <w:t>.</w:t>
      </w:r>
    </w:p>
    <w:p w:rsidR="007F3BDD" w:rsidRPr="0078289D" w:rsidRDefault="007F3BDD" w:rsidP="0078289D">
      <w:pPr>
        <w:pStyle w:val="Listavistosa-nfasis11"/>
        <w:spacing w:line="240" w:lineRule="auto"/>
        <w:ind w:left="708"/>
        <w:jc w:val="both"/>
        <w:rPr>
          <w:color w:val="000000"/>
          <w:sz w:val="28"/>
          <w:szCs w:val="28"/>
          <w:lang w:val="es-ES_tradnl"/>
        </w:rPr>
      </w:pP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r w:rsidRPr="0078289D">
        <w:rPr>
          <w:color w:val="000000"/>
          <w:sz w:val="28"/>
          <w:szCs w:val="28"/>
          <w:lang w:val="es-ES_tradnl"/>
        </w:rPr>
        <w:t>Desde el punto de vista técnico</w:t>
      </w:r>
      <w:r w:rsidR="00CB2DAD" w:rsidRPr="0078289D">
        <w:rPr>
          <w:color w:val="000000"/>
          <w:sz w:val="28"/>
          <w:szCs w:val="28"/>
          <w:lang w:val="es-ES_tradnl"/>
        </w:rPr>
        <w:t xml:space="preserve"> ambiental</w:t>
      </w:r>
      <w:r w:rsidRPr="0078289D">
        <w:rPr>
          <w:color w:val="000000"/>
          <w:sz w:val="28"/>
          <w:szCs w:val="28"/>
          <w:lang w:val="es-ES_tradnl"/>
        </w:rPr>
        <w:t>, dicha competencia le fue atribuida al IAvH, entidad que ha venido trabajando des</w:t>
      </w:r>
      <w:r w:rsidR="00CB2DAD" w:rsidRPr="0078289D">
        <w:rPr>
          <w:color w:val="000000"/>
          <w:sz w:val="28"/>
          <w:szCs w:val="28"/>
          <w:lang w:val="es-ES_tradnl"/>
        </w:rPr>
        <w:t>d</w:t>
      </w:r>
      <w:r w:rsidRPr="0078289D">
        <w:rPr>
          <w:color w:val="000000"/>
          <w:sz w:val="28"/>
          <w:szCs w:val="28"/>
          <w:lang w:val="es-ES_tradnl"/>
        </w:rPr>
        <w:t xml:space="preserve">e hace varios años en la identificación de los ecosistemas de páramo en el país, con el fin </w:t>
      </w:r>
      <w:r w:rsidR="00CB2DAD" w:rsidRPr="0078289D">
        <w:rPr>
          <w:color w:val="000000"/>
          <w:sz w:val="28"/>
          <w:szCs w:val="28"/>
          <w:lang w:val="es-ES_tradnl"/>
        </w:rPr>
        <w:t>de producir insumos</w:t>
      </w:r>
      <w:r w:rsidRPr="0078289D">
        <w:rPr>
          <w:color w:val="000000"/>
          <w:sz w:val="28"/>
          <w:szCs w:val="28"/>
          <w:lang w:val="es-ES_tradnl"/>
        </w:rPr>
        <w:t xml:space="preserve"> necesarios para que el Ministerio de Ambiente delimitara las zonas </w:t>
      </w:r>
      <w:r w:rsidR="00D4387A" w:rsidRPr="0078289D">
        <w:rPr>
          <w:color w:val="000000"/>
          <w:sz w:val="28"/>
          <w:szCs w:val="28"/>
          <w:lang w:val="es-ES_tradnl"/>
        </w:rPr>
        <w:t xml:space="preserve">de </w:t>
      </w:r>
      <w:r w:rsidRPr="0078289D">
        <w:rPr>
          <w:color w:val="000000"/>
          <w:sz w:val="28"/>
          <w:szCs w:val="28"/>
          <w:lang w:val="es-ES_tradnl"/>
        </w:rPr>
        <w:t>páramo</w:t>
      </w:r>
      <w:r w:rsidRPr="0078289D">
        <w:rPr>
          <w:rStyle w:val="Refdenotaalpie"/>
          <w:sz w:val="28"/>
          <w:szCs w:val="28"/>
          <w:lang w:val="es-ES_tradnl"/>
        </w:rPr>
        <w:footnoteReference w:id="109"/>
      </w:r>
      <w:r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02BF5"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139. </w:t>
      </w:r>
      <w:r w:rsidR="007F3BDD" w:rsidRPr="0078289D">
        <w:rPr>
          <w:color w:val="000000"/>
          <w:sz w:val="28"/>
          <w:szCs w:val="28"/>
          <w:lang w:val="es-ES_tradnl"/>
        </w:rPr>
        <w:t>Ahora bien, en relación con la actividad minera, para efectos de la determinación de las Zonas Excluibles de la Minería, el artículo 34 de la Ley 1382 de 2010, introdujo la prohibición de desarrollar actividades de exploración y explotación de minerales en zonas delimitadas por la autoridad ambiental como páramo. Para lo anterior se dispuso que los ecosi</w:t>
      </w:r>
      <w:r w:rsidR="00DA3FAB" w:rsidRPr="0078289D">
        <w:rPr>
          <w:color w:val="000000"/>
          <w:sz w:val="28"/>
          <w:szCs w:val="28"/>
          <w:lang w:val="es-ES_tradnl"/>
        </w:rPr>
        <w:t>stemas de páramo se identificar</w:t>
      </w:r>
      <w:r w:rsidR="007F3BDD" w:rsidRPr="0078289D">
        <w:rPr>
          <w:color w:val="000000"/>
          <w:sz w:val="28"/>
          <w:szCs w:val="28"/>
          <w:lang w:val="es-ES_tradnl"/>
        </w:rPr>
        <w:t>an de conformidad con la información cartográfica proporcionada por el IAvH. Sin embargo, dicha Ley fue declarada inexequible por la Corte Constitucional mediante</w:t>
      </w:r>
      <w:r w:rsidR="007F3BDD" w:rsidRPr="0078289D">
        <w:rPr>
          <w:sz w:val="28"/>
          <w:szCs w:val="28"/>
          <w:lang w:val="es-ES_tradnl"/>
        </w:rPr>
        <w:t xml:space="preserve"> </w:t>
      </w:r>
      <w:r w:rsidR="007F3BDD" w:rsidRPr="0078289D">
        <w:rPr>
          <w:b/>
          <w:color w:val="000000"/>
          <w:sz w:val="28"/>
          <w:szCs w:val="28"/>
          <w:lang w:val="es-ES_tradnl"/>
        </w:rPr>
        <w:t>Sentencia C-366 de 2011</w:t>
      </w:r>
      <w:r w:rsidR="007F3BDD" w:rsidRPr="0078289D">
        <w:rPr>
          <w:rStyle w:val="Refdenotaalpie"/>
          <w:sz w:val="28"/>
          <w:szCs w:val="28"/>
          <w:lang w:val="es-ES_tradnl"/>
        </w:rPr>
        <w:footnoteReference w:id="110"/>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r w:rsidRPr="0078289D">
        <w:rPr>
          <w:color w:val="000000"/>
          <w:sz w:val="28"/>
          <w:szCs w:val="28"/>
          <w:lang w:val="es-ES_tradnl"/>
        </w:rPr>
        <w:t xml:space="preserve">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lastRenderedPageBreak/>
        <w:t xml:space="preserve">No obstante la declaratoria de inexequibilidad mencionada, posteriormente, en la </w:t>
      </w:r>
      <w:r w:rsidRPr="0078289D">
        <w:rPr>
          <w:bCs/>
          <w:color w:val="000000"/>
          <w:sz w:val="28"/>
          <w:szCs w:val="28"/>
          <w:lang w:val="es-ES_tradnl"/>
        </w:rPr>
        <w:t xml:space="preserve">Ley 1450 de 2011, por la cual se expidió el Plan Nacional de Desarrollo 2010-2014, se introdujo </w:t>
      </w:r>
      <w:r w:rsidRPr="0078289D">
        <w:rPr>
          <w:color w:val="000000"/>
          <w:sz w:val="28"/>
          <w:szCs w:val="28"/>
          <w:lang w:val="es-ES_tradnl"/>
        </w:rPr>
        <w:t xml:space="preserve">la prohibición del desarrollo de actividades agropecuarias, de exploración o explotación de hidrocarburos y minerales, y la construcción de refinerías de hidrocarburos en ecosistemas de páramos. Así mismo, la norma dispuso como referencia mínima para la identificación de estos ecosistemas, la cartografía contenida en el Atlas de Páramos de Colombia del Instituto de Investigación Alexander von Humboldt, hasta tanto se contara con cartografía a </w:t>
      </w:r>
      <w:r w:rsidR="00585C52" w:rsidRPr="0078289D">
        <w:rPr>
          <w:color w:val="000000"/>
          <w:sz w:val="28"/>
          <w:szCs w:val="28"/>
          <w:lang w:val="es-ES_tradnl"/>
        </w:rPr>
        <w:t xml:space="preserve">una </w:t>
      </w:r>
      <w:r w:rsidRPr="0078289D">
        <w:rPr>
          <w:color w:val="000000"/>
          <w:sz w:val="28"/>
          <w:szCs w:val="28"/>
          <w:lang w:val="es-ES_tradnl"/>
        </w:rPr>
        <w:t>escala más detallada.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Cs/>
          <w:color w:val="000000"/>
          <w:sz w:val="28"/>
          <w:szCs w:val="28"/>
          <w:lang w:val="es-ES_tradnl"/>
        </w:rPr>
      </w:pPr>
      <w:r w:rsidRPr="0078289D">
        <w:rPr>
          <w:color w:val="000000"/>
          <w:sz w:val="28"/>
          <w:szCs w:val="28"/>
          <w:lang w:val="es-ES_tradnl"/>
        </w:rPr>
        <w:t xml:space="preserve">Para ese momento la cartografía elaborada por el IAvH se realizaba a una escala de 1:100.000, pero con posterioridad, en la </w:t>
      </w:r>
      <w:r w:rsidRPr="0078289D">
        <w:rPr>
          <w:bCs/>
          <w:color w:val="000000"/>
          <w:sz w:val="28"/>
          <w:szCs w:val="28"/>
          <w:lang w:val="es-ES_tradnl"/>
        </w:rPr>
        <w:t>Ley 1450 de 2011, se estableció que los páramos debían ser delimitados a escala 1:25.000 y con base en estudios técnicos, económicos, sociales y ambientales, los cuales debían ser realizados por las autoridades ambientales.</w:t>
      </w:r>
    </w:p>
    <w:p w:rsidR="007F3BDD" w:rsidRPr="0078289D" w:rsidRDefault="007F3BDD" w:rsidP="0078289D">
      <w:pPr>
        <w:pStyle w:val="Listavistosa-nfasis11"/>
        <w:spacing w:line="240" w:lineRule="auto"/>
        <w:ind w:left="0"/>
        <w:jc w:val="both"/>
        <w:rPr>
          <w:bCs/>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Posteriormente, en la Ley 1753 de 2015, por la cual se expidió el Plan Nacional de Desarrollo 2014-2018 </w:t>
      </w:r>
      <w:r w:rsidRPr="0078289D">
        <w:rPr>
          <w:i/>
          <w:color w:val="000000"/>
          <w:sz w:val="28"/>
          <w:szCs w:val="28"/>
          <w:lang w:val="es-ES_tradnl"/>
        </w:rPr>
        <w:t>“Todos por un nuevo país”</w:t>
      </w:r>
      <w:r w:rsidRPr="0078289D">
        <w:rPr>
          <w:color w:val="000000"/>
          <w:sz w:val="28"/>
          <w:szCs w:val="28"/>
          <w:lang w:val="es-ES_tradnl"/>
        </w:rPr>
        <w:t>, se reprodujo la prohibición del desarrollo de actividades agropecuarias, de exploración o explotación de hidrocarburos y minerales, y la construcción de refinerías de hidrocarburos en ecosistemas de páramos.</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color w:val="000000"/>
          <w:sz w:val="28"/>
          <w:szCs w:val="28"/>
          <w:lang w:val="es-ES_tradnl"/>
        </w:rPr>
      </w:pPr>
      <w:r w:rsidRPr="0078289D">
        <w:rPr>
          <w:color w:val="000000"/>
          <w:sz w:val="28"/>
          <w:szCs w:val="28"/>
          <w:lang w:val="es-ES_tradnl"/>
        </w:rPr>
        <w:t xml:space="preserve">Además, según el </w:t>
      </w:r>
      <w:r w:rsidR="00444A0E" w:rsidRPr="0078289D">
        <w:rPr>
          <w:color w:val="000000"/>
          <w:sz w:val="28"/>
          <w:szCs w:val="28"/>
          <w:lang w:val="es-ES_tradnl"/>
        </w:rPr>
        <w:t xml:space="preserve">inciso segundo del </w:t>
      </w:r>
      <w:r w:rsidRPr="0078289D">
        <w:rPr>
          <w:color w:val="000000"/>
          <w:sz w:val="28"/>
          <w:szCs w:val="28"/>
          <w:lang w:val="es-ES_tradnl"/>
        </w:rPr>
        <w:t>artículo 173 de la Ley 1753 de 2015, le corresponde al Ministerio de Ambiente y Desarrollo Sostenible realizar la delimitación</w:t>
      </w:r>
      <w:r w:rsidRPr="0078289D">
        <w:rPr>
          <w:sz w:val="28"/>
          <w:szCs w:val="28"/>
          <w:lang w:val="es-ES_tradnl"/>
        </w:rPr>
        <w:t xml:space="preserve"> de dichas zonas, </w:t>
      </w:r>
      <w:r w:rsidRPr="0078289D">
        <w:rPr>
          <w:color w:val="000000"/>
          <w:sz w:val="28"/>
          <w:szCs w:val="28"/>
          <w:lang w:val="es-ES_tradnl"/>
        </w:rPr>
        <w:t>con base en el área de referencia definida en la cartografía generada por el IAvH a escal</w:t>
      </w:r>
      <w:r w:rsidR="00A21D46" w:rsidRPr="0078289D">
        <w:rPr>
          <w:color w:val="000000"/>
          <w:sz w:val="28"/>
          <w:szCs w:val="28"/>
          <w:lang w:val="es-ES_tradnl"/>
        </w:rPr>
        <w:t>a 1:100.000</w:t>
      </w:r>
      <w:r w:rsidR="00585C52" w:rsidRPr="0078289D">
        <w:rPr>
          <w:color w:val="000000"/>
          <w:sz w:val="28"/>
          <w:szCs w:val="28"/>
          <w:lang w:val="es-ES_tradnl"/>
        </w:rPr>
        <w:t>,</w:t>
      </w:r>
      <w:r w:rsidR="00A21D46" w:rsidRPr="0078289D">
        <w:rPr>
          <w:color w:val="000000"/>
          <w:sz w:val="28"/>
          <w:szCs w:val="28"/>
          <w:lang w:val="es-ES_tradnl"/>
        </w:rPr>
        <w:t xml:space="preserve"> o 1:25.000, cuando é</w:t>
      </w:r>
      <w:r w:rsidRPr="0078289D">
        <w:rPr>
          <w:color w:val="000000"/>
          <w:sz w:val="28"/>
          <w:szCs w:val="28"/>
          <w:lang w:val="es-ES_tradnl"/>
        </w:rPr>
        <w:t xml:space="preserve">sta última esté disponible. </w:t>
      </w:r>
    </w:p>
    <w:p w:rsidR="00702BF5" w:rsidRPr="0078289D" w:rsidRDefault="00702BF5" w:rsidP="0078289D">
      <w:pPr>
        <w:pStyle w:val="Listavistosa-nfasis11"/>
        <w:tabs>
          <w:tab w:val="left" w:pos="426"/>
        </w:tabs>
        <w:spacing w:line="240" w:lineRule="auto"/>
        <w:ind w:left="0"/>
        <w:jc w:val="both"/>
        <w:rPr>
          <w:color w:val="000000"/>
          <w:sz w:val="28"/>
          <w:szCs w:val="28"/>
          <w:lang w:val="es-ES_tradnl"/>
        </w:rPr>
      </w:pPr>
    </w:p>
    <w:p w:rsidR="007F3BDD" w:rsidRPr="0078289D" w:rsidRDefault="00702BF5"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140. </w:t>
      </w:r>
      <w:r w:rsidR="007F3BDD" w:rsidRPr="0078289D">
        <w:rPr>
          <w:color w:val="000000"/>
          <w:sz w:val="28"/>
          <w:szCs w:val="28"/>
          <w:lang w:val="es-ES_tradnl"/>
        </w:rPr>
        <w:t xml:space="preserve">Como se puede observar, la norma establece </w:t>
      </w:r>
      <w:r w:rsidR="00636393" w:rsidRPr="0078289D">
        <w:rPr>
          <w:color w:val="000000"/>
          <w:sz w:val="28"/>
          <w:szCs w:val="28"/>
          <w:lang w:val="es-ES_tradnl"/>
        </w:rPr>
        <w:t xml:space="preserve">el deber legal de delimitar los páramos en cabeza del Ministerio de Ambiente y Desarrollo Sostenible, y </w:t>
      </w:r>
      <w:r w:rsidR="00A061B9" w:rsidRPr="0078289D">
        <w:rPr>
          <w:color w:val="000000"/>
          <w:sz w:val="28"/>
          <w:szCs w:val="28"/>
          <w:lang w:val="es-ES_tradnl"/>
        </w:rPr>
        <w:t xml:space="preserve">crea un </w:t>
      </w:r>
      <w:r w:rsidR="007F3BDD" w:rsidRPr="0078289D">
        <w:rPr>
          <w:color w:val="000000"/>
          <w:sz w:val="28"/>
          <w:szCs w:val="28"/>
          <w:lang w:val="es-ES_tradnl"/>
        </w:rPr>
        <w:t xml:space="preserve">procedimiento para </w:t>
      </w:r>
      <w:r w:rsidR="00636393" w:rsidRPr="0078289D">
        <w:rPr>
          <w:color w:val="000000"/>
          <w:sz w:val="28"/>
          <w:szCs w:val="28"/>
          <w:lang w:val="es-ES_tradnl"/>
        </w:rPr>
        <w:t>su</w:t>
      </w:r>
      <w:r w:rsidR="00496F77" w:rsidRPr="0078289D">
        <w:rPr>
          <w:color w:val="000000"/>
          <w:sz w:val="28"/>
          <w:szCs w:val="28"/>
          <w:lang w:val="es-ES_tradnl"/>
        </w:rPr>
        <w:t xml:space="preserve"> delimitación.</w:t>
      </w:r>
      <w:r w:rsidR="007F3BDD" w:rsidRPr="0078289D">
        <w:rPr>
          <w:color w:val="000000"/>
          <w:sz w:val="28"/>
          <w:szCs w:val="28"/>
          <w:lang w:val="es-ES_tradnl"/>
        </w:rPr>
        <w:t xml:space="preserve"> </w:t>
      </w:r>
      <w:r w:rsidR="00A061B9" w:rsidRPr="0078289D">
        <w:rPr>
          <w:color w:val="000000"/>
          <w:sz w:val="28"/>
          <w:szCs w:val="28"/>
          <w:lang w:val="es-ES_tradnl"/>
        </w:rPr>
        <w:t>Conforme a este procedimiento, e</w:t>
      </w:r>
      <w:r w:rsidR="00951505" w:rsidRPr="0078289D">
        <w:rPr>
          <w:color w:val="000000"/>
          <w:sz w:val="28"/>
          <w:szCs w:val="28"/>
          <w:lang w:val="es-ES_tradnl"/>
        </w:rPr>
        <w:t>n un primer momento</w:t>
      </w:r>
      <w:r w:rsidR="007F3BDD" w:rsidRPr="0078289D">
        <w:rPr>
          <w:color w:val="000000"/>
          <w:sz w:val="28"/>
          <w:szCs w:val="28"/>
          <w:lang w:val="es-ES_tradnl"/>
        </w:rPr>
        <w:t xml:space="preserve"> el IAvH elabora un área de referencia que debe presentar ante el Ministerio de Ambiente y Desarrollo Sostenible, para que dicha cartera ministerial realice la delimitación del páramo mediante acto administrativo. Ahora</w:t>
      </w:r>
      <w:r w:rsidR="00354098" w:rsidRPr="0078289D">
        <w:rPr>
          <w:color w:val="000000"/>
          <w:sz w:val="28"/>
          <w:szCs w:val="28"/>
          <w:lang w:val="es-ES_tradnl"/>
        </w:rPr>
        <w:t xml:space="preserve"> bien</w:t>
      </w:r>
      <w:r w:rsidR="007F3BDD" w:rsidRPr="0078289D">
        <w:rPr>
          <w:color w:val="000000"/>
          <w:sz w:val="28"/>
          <w:szCs w:val="28"/>
          <w:lang w:val="es-ES_tradnl"/>
        </w:rPr>
        <w:t>, cabe resaltar que si bien el área de referencia propuesta por el IAvH debe ser</w:t>
      </w:r>
      <w:r w:rsidR="0034488E" w:rsidRPr="0078289D">
        <w:rPr>
          <w:color w:val="000000"/>
          <w:sz w:val="28"/>
          <w:szCs w:val="28"/>
          <w:lang w:val="es-ES_tradnl"/>
        </w:rPr>
        <w:t>vir</w:t>
      </w:r>
      <w:r w:rsidR="007F3BDD" w:rsidRPr="0078289D">
        <w:rPr>
          <w:color w:val="000000"/>
          <w:sz w:val="28"/>
          <w:szCs w:val="28"/>
          <w:lang w:val="es-ES_tradnl"/>
        </w:rPr>
        <w:t xml:space="preserve"> </w:t>
      </w:r>
      <w:r w:rsidR="0034488E" w:rsidRPr="0078289D">
        <w:rPr>
          <w:color w:val="000000"/>
          <w:sz w:val="28"/>
          <w:szCs w:val="28"/>
          <w:lang w:val="es-ES_tradnl"/>
        </w:rPr>
        <w:t>de fundamento científico</w:t>
      </w:r>
      <w:r w:rsidR="00CB2DAD" w:rsidRPr="0078289D">
        <w:rPr>
          <w:color w:val="000000"/>
          <w:sz w:val="28"/>
          <w:szCs w:val="28"/>
          <w:lang w:val="es-ES_tradnl"/>
        </w:rPr>
        <w:t>- ambiental</w:t>
      </w:r>
      <w:r w:rsidR="0034488E" w:rsidRPr="0078289D">
        <w:rPr>
          <w:color w:val="000000"/>
          <w:sz w:val="28"/>
          <w:szCs w:val="28"/>
          <w:lang w:val="es-ES_tradnl"/>
        </w:rPr>
        <w:t xml:space="preserve"> a</w:t>
      </w:r>
      <w:r w:rsidR="007F3BDD" w:rsidRPr="0078289D">
        <w:rPr>
          <w:color w:val="000000"/>
          <w:sz w:val="28"/>
          <w:szCs w:val="28"/>
          <w:lang w:val="es-ES_tradnl"/>
        </w:rPr>
        <w:t xml:space="preserve">l Ministerio de Ambiente y Desarrollo Sostenible para adoptar la </w:t>
      </w:r>
      <w:r w:rsidR="0034488E" w:rsidRPr="0078289D">
        <w:rPr>
          <w:color w:val="000000"/>
          <w:sz w:val="28"/>
          <w:szCs w:val="28"/>
          <w:lang w:val="es-ES_tradnl"/>
        </w:rPr>
        <w:t>delimitación</w:t>
      </w:r>
      <w:r w:rsidR="007F3BDD" w:rsidRPr="0078289D">
        <w:rPr>
          <w:color w:val="000000"/>
          <w:sz w:val="28"/>
          <w:szCs w:val="28"/>
          <w:lang w:val="es-ES_tradnl"/>
        </w:rPr>
        <w:t xml:space="preserve">, dicha entidad no está obligada a </w:t>
      </w:r>
      <w:r w:rsidR="0034488E" w:rsidRPr="0078289D">
        <w:rPr>
          <w:color w:val="000000"/>
          <w:sz w:val="28"/>
          <w:szCs w:val="28"/>
          <w:lang w:val="es-ES_tradnl"/>
        </w:rPr>
        <w:t>basarse en</w:t>
      </w:r>
      <w:r w:rsidR="007F3BDD" w:rsidRPr="0078289D">
        <w:rPr>
          <w:color w:val="000000"/>
          <w:sz w:val="28"/>
          <w:szCs w:val="28"/>
          <w:lang w:val="es-ES_tradnl"/>
        </w:rPr>
        <w:t xml:space="preserve"> el área de referencia presentada p</w:t>
      </w:r>
      <w:r w:rsidR="001854AD" w:rsidRPr="0078289D">
        <w:rPr>
          <w:color w:val="000000"/>
          <w:sz w:val="28"/>
          <w:szCs w:val="28"/>
          <w:lang w:val="es-ES_tradnl"/>
        </w:rPr>
        <w:t>or el IAvH como área delimitada.</w:t>
      </w:r>
      <w:r w:rsidR="007F3BDD" w:rsidRPr="0078289D">
        <w:rPr>
          <w:color w:val="000000"/>
          <w:sz w:val="28"/>
          <w:szCs w:val="28"/>
          <w:lang w:val="es-ES_tradnl"/>
        </w:rPr>
        <w:t xml:space="preserve"> </w:t>
      </w:r>
      <w:r w:rsidR="001854AD" w:rsidRPr="0078289D">
        <w:rPr>
          <w:color w:val="000000"/>
          <w:sz w:val="28"/>
          <w:szCs w:val="28"/>
          <w:lang w:val="es-ES_tradnl"/>
        </w:rPr>
        <w:t>Más aun, la ley no</w:t>
      </w:r>
      <w:r w:rsidR="00A01B2A" w:rsidRPr="0078289D">
        <w:rPr>
          <w:color w:val="000000"/>
          <w:sz w:val="28"/>
          <w:szCs w:val="28"/>
          <w:lang w:val="es-ES_tradnl"/>
        </w:rPr>
        <w:t xml:space="preserve"> define una serie de parámetros, criterios u orientaciones, que deba</w:t>
      </w:r>
      <w:r w:rsidR="001854AD" w:rsidRPr="0078289D">
        <w:rPr>
          <w:color w:val="000000"/>
          <w:sz w:val="28"/>
          <w:szCs w:val="28"/>
          <w:lang w:val="es-ES_tradnl"/>
        </w:rPr>
        <w:t xml:space="preserve"> seguir el Ministerio de Ambiente</w:t>
      </w:r>
      <w:r w:rsidR="00A01B2A" w:rsidRPr="0078289D">
        <w:rPr>
          <w:color w:val="000000"/>
          <w:sz w:val="28"/>
          <w:szCs w:val="28"/>
          <w:lang w:val="es-ES_tradnl"/>
        </w:rPr>
        <w:t xml:space="preserve"> al delimitar</w:t>
      </w:r>
      <w:r w:rsidR="001854AD" w:rsidRPr="0078289D">
        <w:rPr>
          <w:color w:val="000000"/>
          <w:sz w:val="28"/>
          <w:szCs w:val="28"/>
          <w:lang w:val="es-ES_tradnl"/>
        </w:rPr>
        <w:t xml:space="preserve"> </w:t>
      </w:r>
      <w:r w:rsidR="00A01B2A" w:rsidRPr="0078289D">
        <w:rPr>
          <w:color w:val="000000"/>
          <w:sz w:val="28"/>
          <w:szCs w:val="28"/>
          <w:lang w:val="es-ES_tradnl"/>
        </w:rPr>
        <w:t>los páramos. En esa m</w:t>
      </w:r>
      <w:r w:rsidR="008D50FA" w:rsidRPr="0078289D">
        <w:rPr>
          <w:color w:val="000000"/>
          <w:sz w:val="28"/>
          <w:szCs w:val="28"/>
          <w:lang w:val="es-ES_tradnl"/>
        </w:rPr>
        <w:t>edida, si el Ministerio no está</w:t>
      </w:r>
      <w:r w:rsidR="00A01B2A" w:rsidRPr="0078289D">
        <w:rPr>
          <w:color w:val="000000"/>
          <w:sz w:val="28"/>
          <w:szCs w:val="28"/>
          <w:lang w:val="es-ES_tradnl"/>
        </w:rPr>
        <w:t xml:space="preserve"> obligado a seguir </w:t>
      </w:r>
      <w:r w:rsidR="009D5462" w:rsidRPr="0078289D">
        <w:rPr>
          <w:color w:val="000000"/>
          <w:sz w:val="28"/>
          <w:szCs w:val="28"/>
          <w:lang w:val="es-ES_tradnl"/>
        </w:rPr>
        <w:t xml:space="preserve">los criterios </w:t>
      </w:r>
      <w:r w:rsidR="008D50FA" w:rsidRPr="0078289D">
        <w:rPr>
          <w:color w:val="000000"/>
          <w:sz w:val="28"/>
          <w:szCs w:val="28"/>
          <w:lang w:val="es-ES_tradnl"/>
        </w:rPr>
        <w:t>utilizados por el IA</w:t>
      </w:r>
      <w:r w:rsidR="009D5462" w:rsidRPr="0078289D">
        <w:rPr>
          <w:color w:val="000000"/>
          <w:sz w:val="28"/>
          <w:szCs w:val="28"/>
          <w:lang w:val="es-ES_tradnl"/>
        </w:rPr>
        <w:t xml:space="preserve">vH, ni existen criterios a los cuales deba sujetarse en el ejercicio de </w:t>
      </w:r>
      <w:r w:rsidR="008D50FA" w:rsidRPr="0078289D">
        <w:rPr>
          <w:color w:val="000000"/>
          <w:sz w:val="28"/>
          <w:szCs w:val="28"/>
          <w:lang w:val="es-ES_tradnl"/>
        </w:rPr>
        <w:t>su</w:t>
      </w:r>
      <w:r w:rsidR="009D5462" w:rsidRPr="0078289D">
        <w:rPr>
          <w:color w:val="000000"/>
          <w:sz w:val="28"/>
          <w:szCs w:val="28"/>
          <w:lang w:val="es-ES_tradnl"/>
        </w:rPr>
        <w:t xml:space="preserve"> obligación de delimitar los páramos</w:t>
      </w:r>
      <w:r w:rsidR="008D50FA" w:rsidRPr="0078289D">
        <w:rPr>
          <w:color w:val="000000"/>
          <w:sz w:val="28"/>
          <w:szCs w:val="28"/>
          <w:lang w:val="es-ES_tradnl"/>
        </w:rPr>
        <w:t xml:space="preserve"> de nuestro país</w:t>
      </w:r>
      <w:r w:rsidR="009D5462" w:rsidRPr="0078289D">
        <w:rPr>
          <w:color w:val="000000"/>
          <w:sz w:val="28"/>
          <w:szCs w:val="28"/>
          <w:lang w:val="es-ES_tradnl"/>
        </w:rPr>
        <w:t xml:space="preserve">, </w:t>
      </w:r>
      <w:r w:rsidR="003444A9" w:rsidRPr="0078289D">
        <w:rPr>
          <w:color w:val="000000"/>
          <w:sz w:val="28"/>
          <w:szCs w:val="28"/>
          <w:lang w:val="es-ES_tradnl"/>
        </w:rPr>
        <w:t xml:space="preserve">es necesario concluir que </w:t>
      </w:r>
      <w:r w:rsidR="007F3BDD" w:rsidRPr="0078289D">
        <w:rPr>
          <w:color w:val="000000"/>
          <w:sz w:val="28"/>
          <w:szCs w:val="28"/>
          <w:lang w:val="es-ES_tradnl"/>
        </w:rPr>
        <w:t xml:space="preserve">la cartera de ambiente </w:t>
      </w:r>
      <w:r w:rsidR="00CB2DAD" w:rsidRPr="0078289D">
        <w:rPr>
          <w:color w:val="000000"/>
          <w:sz w:val="28"/>
          <w:szCs w:val="28"/>
          <w:lang w:val="es-ES_tradnl"/>
        </w:rPr>
        <w:t>podría tener</w:t>
      </w:r>
      <w:r w:rsidR="003444A9" w:rsidRPr="0078289D">
        <w:rPr>
          <w:color w:val="000000"/>
          <w:sz w:val="28"/>
          <w:szCs w:val="28"/>
          <w:lang w:val="es-ES_tradnl"/>
        </w:rPr>
        <w:t xml:space="preserve"> </w:t>
      </w:r>
      <w:r w:rsidR="007F3BDD" w:rsidRPr="0078289D">
        <w:rPr>
          <w:color w:val="000000"/>
          <w:sz w:val="28"/>
          <w:szCs w:val="28"/>
          <w:lang w:val="es-ES_tradnl"/>
        </w:rPr>
        <w:t xml:space="preserve">un margen de </w:t>
      </w:r>
      <w:r w:rsidR="003444A9" w:rsidRPr="0078289D">
        <w:rPr>
          <w:color w:val="000000"/>
          <w:sz w:val="28"/>
          <w:szCs w:val="28"/>
          <w:lang w:val="es-ES_tradnl"/>
        </w:rPr>
        <w:t xml:space="preserve">total </w:t>
      </w:r>
      <w:r w:rsidR="007F3BDD" w:rsidRPr="0078289D">
        <w:rPr>
          <w:color w:val="000000"/>
          <w:sz w:val="28"/>
          <w:szCs w:val="28"/>
          <w:lang w:val="es-ES_tradnl"/>
        </w:rPr>
        <w:t xml:space="preserve">discrecionalidad para la determinación del área definitiva de páramo.  </w:t>
      </w:r>
    </w:p>
    <w:p w:rsidR="007F3BDD" w:rsidRPr="0078289D" w:rsidRDefault="007F3BDD" w:rsidP="0078289D">
      <w:pPr>
        <w:pStyle w:val="Listavistosa-nfasis11"/>
        <w:spacing w:line="240" w:lineRule="auto"/>
        <w:ind w:left="0"/>
        <w:jc w:val="both"/>
        <w:rPr>
          <w:color w:val="000000"/>
          <w:sz w:val="28"/>
          <w:szCs w:val="28"/>
          <w:lang w:val="es-ES_tradnl"/>
        </w:rPr>
      </w:pPr>
    </w:p>
    <w:p w:rsidR="00D54561"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lastRenderedPageBreak/>
        <w:t>Por todo lo anterior, es posible concluir que si bien existe una definición de páramo</w:t>
      </w:r>
      <w:r w:rsidR="008B1582" w:rsidRPr="0078289D">
        <w:rPr>
          <w:color w:val="000000"/>
          <w:sz w:val="28"/>
          <w:szCs w:val="28"/>
          <w:lang w:val="es-ES_tradnl"/>
        </w:rPr>
        <w:t xml:space="preserve"> y la obligación de llevar a cabo su delimitación</w:t>
      </w:r>
      <w:r w:rsidRPr="0078289D">
        <w:rPr>
          <w:color w:val="000000"/>
          <w:sz w:val="28"/>
          <w:szCs w:val="28"/>
          <w:lang w:val="es-ES_tradnl"/>
        </w:rPr>
        <w:t xml:space="preserve">, la determinación del alcance de su ámbito de protección se concreta </w:t>
      </w:r>
      <w:r w:rsidR="00CB2DAD" w:rsidRPr="0078289D">
        <w:rPr>
          <w:color w:val="000000"/>
          <w:sz w:val="28"/>
          <w:szCs w:val="28"/>
          <w:lang w:val="es-ES_tradnl"/>
        </w:rPr>
        <w:t>en</w:t>
      </w:r>
      <w:r w:rsidRPr="0078289D">
        <w:rPr>
          <w:color w:val="000000"/>
          <w:sz w:val="28"/>
          <w:szCs w:val="28"/>
          <w:lang w:val="es-ES_tradnl"/>
        </w:rPr>
        <w:t xml:space="preserve"> los actos administrativos que profiera el Ministerio de Ambiente y Desarrollo Sostenible, al </w:t>
      </w:r>
      <w:r w:rsidR="008B1091" w:rsidRPr="0078289D">
        <w:rPr>
          <w:color w:val="000000"/>
          <w:sz w:val="28"/>
          <w:szCs w:val="28"/>
          <w:lang w:val="es-ES_tradnl"/>
        </w:rPr>
        <w:t>delimitar las zonas de páramo. De hecho, la plena discrecionalidad para delimitar los páramos</w:t>
      </w:r>
      <w:r w:rsidRPr="0078289D">
        <w:rPr>
          <w:color w:val="000000"/>
          <w:sz w:val="28"/>
          <w:szCs w:val="28"/>
          <w:lang w:val="es-ES_tradnl"/>
        </w:rPr>
        <w:t xml:space="preserve"> ha generado problemas para el establecimiento de medidas de protección, de los usos del suelo permitidos, compatibles y prohibidos, y de la determinación de las entidades encargadas de su administración, manejo y protección</w:t>
      </w:r>
      <w:r w:rsidR="008B1091" w:rsidRPr="0078289D">
        <w:rPr>
          <w:color w:val="000000"/>
          <w:sz w:val="28"/>
          <w:szCs w:val="28"/>
          <w:lang w:val="es-ES_tradnl"/>
        </w:rPr>
        <w:t xml:space="preserve"> en nuestro país</w:t>
      </w:r>
      <w:r w:rsidRPr="0078289D">
        <w:rPr>
          <w:color w:val="000000"/>
          <w:sz w:val="28"/>
          <w:szCs w:val="28"/>
          <w:lang w:val="es-ES_tradnl"/>
        </w:rPr>
        <w:t>.</w:t>
      </w:r>
      <w:r w:rsidR="009577C5" w:rsidRPr="0078289D">
        <w:rPr>
          <w:color w:val="000000"/>
          <w:sz w:val="28"/>
          <w:szCs w:val="28"/>
          <w:lang w:val="es-ES_tradnl"/>
        </w:rPr>
        <w:t xml:space="preserve"> Así, por ejemplo, e</w:t>
      </w:r>
      <w:r w:rsidR="002B5C70" w:rsidRPr="0078289D">
        <w:rPr>
          <w:color w:val="000000"/>
          <w:sz w:val="28"/>
          <w:szCs w:val="28"/>
          <w:lang w:val="es-ES_tradnl"/>
        </w:rPr>
        <w:t xml:space="preserve">s bien conocido que </w:t>
      </w:r>
      <w:r w:rsidR="009577C5" w:rsidRPr="0078289D">
        <w:rPr>
          <w:color w:val="000000"/>
          <w:sz w:val="28"/>
          <w:szCs w:val="28"/>
          <w:lang w:val="es-ES_tradnl"/>
        </w:rPr>
        <w:t>en la actual</w:t>
      </w:r>
      <w:r w:rsidR="005E78BA" w:rsidRPr="0078289D">
        <w:rPr>
          <w:color w:val="000000"/>
          <w:sz w:val="28"/>
          <w:szCs w:val="28"/>
          <w:lang w:val="es-ES_tradnl"/>
        </w:rPr>
        <w:t>idad existen conflictos socio-ambientales</w:t>
      </w:r>
      <w:r w:rsidR="009577C5" w:rsidRPr="0078289D">
        <w:rPr>
          <w:color w:val="000000"/>
          <w:sz w:val="28"/>
          <w:szCs w:val="28"/>
          <w:lang w:val="es-ES_tradnl"/>
        </w:rPr>
        <w:t xml:space="preserve"> relacionados con </w:t>
      </w:r>
      <w:r w:rsidR="005E78BA" w:rsidRPr="0078289D">
        <w:rPr>
          <w:color w:val="000000"/>
          <w:sz w:val="28"/>
          <w:szCs w:val="28"/>
          <w:lang w:val="es-ES_tradnl"/>
        </w:rPr>
        <w:t xml:space="preserve">el criterio utilizado por el Ministerio de Ambiente en </w:t>
      </w:r>
      <w:r w:rsidR="009577C5" w:rsidRPr="0078289D">
        <w:rPr>
          <w:color w:val="000000"/>
          <w:sz w:val="28"/>
          <w:szCs w:val="28"/>
          <w:lang w:val="es-ES_tradnl"/>
        </w:rPr>
        <w:t xml:space="preserve">la delimitación del páramo de Santurbán. </w:t>
      </w:r>
      <w:r w:rsidR="00023934" w:rsidRPr="0078289D">
        <w:rPr>
          <w:color w:val="000000"/>
          <w:sz w:val="28"/>
          <w:szCs w:val="28"/>
          <w:lang w:val="es-ES_tradnl"/>
        </w:rPr>
        <w:t xml:space="preserve"> </w:t>
      </w:r>
    </w:p>
    <w:p w:rsidR="00D54561" w:rsidRPr="0078289D" w:rsidRDefault="00D54561" w:rsidP="0078289D">
      <w:pPr>
        <w:pStyle w:val="Listavistosa-nfasis11"/>
        <w:tabs>
          <w:tab w:val="left" w:pos="426"/>
        </w:tabs>
        <w:spacing w:line="240" w:lineRule="auto"/>
        <w:ind w:left="0"/>
        <w:jc w:val="both"/>
        <w:rPr>
          <w:color w:val="000000"/>
          <w:sz w:val="28"/>
          <w:szCs w:val="28"/>
          <w:lang w:val="es-ES_tradnl"/>
        </w:rPr>
      </w:pPr>
    </w:p>
    <w:p w:rsidR="000F06A5" w:rsidRPr="0078289D" w:rsidRDefault="00D54561"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Una delimitación inadecuada, o que no consulte sólidos criterios científicos</w:t>
      </w:r>
      <w:r w:rsidR="00023934" w:rsidRPr="0078289D">
        <w:rPr>
          <w:color w:val="000000"/>
          <w:sz w:val="28"/>
          <w:szCs w:val="28"/>
          <w:lang w:val="es-ES_tradnl"/>
        </w:rPr>
        <w:t xml:space="preserve"> </w:t>
      </w:r>
      <w:r w:rsidRPr="0078289D">
        <w:rPr>
          <w:color w:val="000000"/>
          <w:sz w:val="28"/>
          <w:szCs w:val="28"/>
          <w:lang w:val="es-ES_tradnl"/>
        </w:rPr>
        <w:t xml:space="preserve">puede llegar a </w:t>
      </w:r>
      <w:r w:rsidR="00023934" w:rsidRPr="0078289D">
        <w:rPr>
          <w:color w:val="000000"/>
          <w:sz w:val="28"/>
          <w:szCs w:val="28"/>
          <w:lang w:val="es-ES_tradnl"/>
        </w:rPr>
        <w:t>afecta</w:t>
      </w:r>
      <w:r w:rsidRPr="0078289D">
        <w:rPr>
          <w:color w:val="000000"/>
          <w:sz w:val="28"/>
          <w:szCs w:val="28"/>
          <w:lang w:val="es-ES_tradnl"/>
        </w:rPr>
        <w:t>r</w:t>
      </w:r>
      <w:r w:rsidR="00BE2A97" w:rsidRPr="0078289D">
        <w:rPr>
          <w:color w:val="000000"/>
          <w:sz w:val="28"/>
          <w:szCs w:val="28"/>
          <w:lang w:val="es-ES_tradnl"/>
        </w:rPr>
        <w:t xml:space="preserve"> </w:t>
      </w:r>
      <w:r w:rsidRPr="0078289D">
        <w:rPr>
          <w:color w:val="000000"/>
          <w:sz w:val="28"/>
          <w:szCs w:val="28"/>
          <w:lang w:val="es-ES_tradnl"/>
        </w:rPr>
        <w:t>los</w:t>
      </w:r>
      <w:r w:rsidR="00BE2A97" w:rsidRPr="0078289D">
        <w:rPr>
          <w:color w:val="000000"/>
          <w:sz w:val="28"/>
          <w:szCs w:val="28"/>
          <w:lang w:val="es-ES_tradnl"/>
        </w:rPr>
        <w:t xml:space="preserve"> ecosistema</w:t>
      </w:r>
      <w:r w:rsidRPr="0078289D">
        <w:rPr>
          <w:color w:val="000000"/>
          <w:sz w:val="28"/>
          <w:szCs w:val="28"/>
          <w:lang w:val="es-ES_tradnl"/>
        </w:rPr>
        <w:t>s</w:t>
      </w:r>
      <w:r w:rsidR="00BE2A97" w:rsidRPr="0078289D">
        <w:rPr>
          <w:color w:val="000000"/>
          <w:sz w:val="28"/>
          <w:szCs w:val="28"/>
          <w:lang w:val="es-ES_tradnl"/>
        </w:rPr>
        <w:t xml:space="preserve"> de páramo, y como </w:t>
      </w:r>
      <w:r w:rsidR="00B53441" w:rsidRPr="0078289D">
        <w:rPr>
          <w:color w:val="000000"/>
          <w:sz w:val="28"/>
          <w:szCs w:val="28"/>
          <w:lang w:val="es-ES_tradnl"/>
        </w:rPr>
        <w:t>lo analizará</w:t>
      </w:r>
      <w:r w:rsidR="00BE2A97" w:rsidRPr="0078289D">
        <w:rPr>
          <w:color w:val="000000"/>
          <w:sz w:val="28"/>
          <w:szCs w:val="28"/>
          <w:lang w:val="es-ES_tradnl"/>
        </w:rPr>
        <w:t xml:space="preserve"> </w:t>
      </w:r>
      <w:r w:rsidR="00B53441" w:rsidRPr="0078289D">
        <w:rPr>
          <w:color w:val="000000"/>
          <w:sz w:val="28"/>
          <w:szCs w:val="28"/>
          <w:lang w:val="es-ES_tradnl"/>
        </w:rPr>
        <w:t xml:space="preserve">la Corte </w:t>
      </w:r>
      <w:r w:rsidR="00BE2A97" w:rsidRPr="0078289D">
        <w:rPr>
          <w:color w:val="000000"/>
          <w:sz w:val="28"/>
          <w:szCs w:val="28"/>
          <w:lang w:val="es-ES_tradnl"/>
        </w:rPr>
        <w:t xml:space="preserve">a continuación, </w:t>
      </w:r>
      <w:r w:rsidR="002A6520" w:rsidRPr="0078289D">
        <w:rPr>
          <w:color w:val="000000"/>
          <w:sz w:val="28"/>
          <w:szCs w:val="28"/>
          <w:lang w:val="es-ES_tradnl"/>
        </w:rPr>
        <w:t xml:space="preserve">con ello </w:t>
      </w:r>
      <w:r w:rsidR="00BE2A97" w:rsidRPr="0078289D">
        <w:rPr>
          <w:color w:val="000000"/>
          <w:sz w:val="28"/>
          <w:szCs w:val="28"/>
          <w:lang w:val="es-ES_tradnl"/>
        </w:rPr>
        <w:t xml:space="preserve">se </w:t>
      </w:r>
      <w:r w:rsidR="00487BDE" w:rsidRPr="0078289D">
        <w:rPr>
          <w:color w:val="000000"/>
          <w:sz w:val="28"/>
          <w:szCs w:val="28"/>
          <w:lang w:val="es-ES_tradnl"/>
        </w:rPr>
        <w:t>podría causar</w:t>
      </w:r>
      <w:r w:rsidR="00BE2A97" w:rsidRPr="0078289D">
        <w:rPr>
          <w:color w:val="000000"/>
          <w:sz w:val="28"/>
          <w:szCs w:val="28"/>
          <w:lang w:val="es-ES_tradnl"/>
        </w:rPr>
        <w:t xml:space="preserve"> un riesgo para </w:t>
      </w:r>
      <w:r w:rsidR="006B727C" w:rsidRPr="0078289D">
        <w:rPr>
          <w:color w:val="000000"/>
          <w:sz w:val="28"/>
          <w:szCs w:val="28"/>
          <w:lang w:val="es-ES_tradnl"/>
        </w:rPr>
        <w:t xml:space="preserve">la disponibilidad y la continuidad de servicios ambientales de los cuales depende </w:t>
      </w:r>
      <w:r w:rsidR="00C034E4" w:rsidRPr="0078289D">
        <w:rPr>
          <w:color w:val="000000"/>
          <w:sz w:val="28"/>
          <w:szCs w:val="28"/>
          <w:lang w:val="es-ES_tradnl"/>
        </w:rPr>
        <w:t xml:space="preserve">el derecho fundamental al agua. </w:t>
      </w:r>
      <w:r w:rsidR="002A6520" w:rsidRPr="0078289D">
        <w:rPr>
          <w:color w:val="000000"/>
          <w:sz w:val="28"/>
          <w:szCs w:val="28"/>
          <w:lang w:val="es-ES_tradnl"/>
        </w:rPr>
        <w:t xml:space="preserve">Más aun, una delimitación inadecuada, </w:t>
      </w:r>
      <w:r w:rsidR="00A92EFC" w:rsidRPr="0078289D">
        <w:rPr>
          <w:color w:val="000000"/>
          <w:sz w:val="28"/>
          <w:szCs w:val="28"/>
          <w:lang w:val="es-ES_tradnl"/>
        </w:rPr>
        <w:t>podría llegar a permitir</w:t>
      </w:r>
      <w:r w:rsidR="002A6520" w:rsidRPr="0078289D">
        <w:rPr>
          <w:color w:val="000000"/>
          <w:sz w:val="28"/>
          <w:szCs w:val="28"/>
          <w:lang w:val="es-ES_tradnl"/>
        </w:rPr>
        <w:t xml:space="preserve"> </w:t>
      </w:r>
      <w:r w:rsidR="00A92EFC" w:rsidRPr="0078289D">
        <w:rPr>
          <w:color w:val="000000"/>
          <w:sz w:val="28"/>
          <w:szCs w:val="28"/>
          <w:lang w:val="es-ES_tradnl"/>
        </w:rPr>
        <w:t xml:space="preserve">la utilización del suelo de los páramos para realizar actividades de minería y de hidrocarburos </w:t>
      </w:r>
      <w:r w:rsidR="00F36BDB" w:rsidRPr="0078289D">
        <w:rPr>
          <w:color w:val="000000"/>
          <w:sz w:val="28"/>
          <w:szCs w:val="28"/>
          <w:lang w:val="es-ES_tradnl"/>
        </w:rPr>
        <w:t xml:space="preserve">en estos ecosistemas. </w:t>
      </w:r>
    </w:p>
    <w:p w:rsidR="000F06A5" w:rsidRPr="0078289D" w:rsidRDefault="000F06A5" w:rsidP="0078289D">
      <w:pPr>
        <w:pStyle w:val="Listavistosa-nfasis11"/>
        <w:tabs>
          <w:tab w:val="left" w:pos="426"/>
        </w:tabs>
        <w:spacing w:line="240" w:lineRule="auto"/>
        <w:ind w:left="0"/>
        <w:jc w:val="both"/>
        <w:rPr>
          <w:color w:val="000000"/>
          <w:sz w:val="28"/>
          <w:szCs w:val="28"/>
          <w:lang w:val="es-ES_tradnl"/>
        </w:rPr>
      </w:pPr>
    </w:p>
    <w:p w:rsidR="002A6520" w:rsidRPr="0078289D" w:rsidRDefault="00F36BDB"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De ser así, no sólo se </w:t>
      </w:r>
      <w:r w:rsidR="00487BDE" w:rsidRPr="0078289D">
        <w:rPr>
          <w:color w:val="000000"/>
          <w:sz w:val="28"/>
          <w:szCs w:val="28"/>
          <w:lang w:val="es-ES_tradnl"/>
        </w:rPr>
        <w:t>permitiría</w:t>
      </w:r>
      <w:r w:rsidRPr="0078289D">
        <w:rPr>
          <w:color w:val="000000"/>
          <w:sz w:val="28"/>
          <w:szCs w:val="28"/>
          <w:lang w:val="es-ES_tradnl"/>
        </w:rPr>
        <w:t xml:space="preserve"> el desarrollo de actividades mineras y de hidrocarburos a quienes cuenten con </w:t>
      </w:r>
      <w:r w:rsidR="0012156C" w:rsidRPr="0078289D">
        <w:rPr>
          <w:color w:val="000000"/>
          <w:sz w:val="28"/>
          <w:szCs w:val="28"/>
          <w:lang w:val="es-ES_tradnl"/>
        </w:rPr>
        <w:t>una licencia ambiental y/o un contrato de concesión anterior</w:t>
      </w:r>
      <w:r w:rsidR="00213259" w:rsidRPr="0078289D">
        <w:rPr>
          <w:color w:val="000000"/>
          <w:sz w:val="28"/>
          <w:szCs w:val="28"/>
          <w:lang w:val="es-ES_tradnl"/>
        </w:rPr>
        <w:t>es</w:t>
      </w:r>
      <w:r w:rsidR="0012156C" w:rsidRPr="0078289D">
        <w:rPr>
          <w:color w:val="000000"/>
          <w:sz w:val="28"/>
          <w:szCs w:val="28"/>
          <w:lang w:val="es-ES_tradnl"/>
        </w:rPr>
        <w:t xml:space="preserve"> a la </w:t>
      </w:r>
      <w:r w:rsidR="0003566D" w:rsidRPr="0078289D">
        <w:rPr>
          <w:color w:val="000000"/>
          <w:sz w:val="28"/>
          <w:szCs w:val="28"/>
          <w:lang w:val="es-ES_tradnl"/>
        </w:rPr>
        <w:t xml:space="preserve">prohibición, como lo establece el parágrafo primero del artículo 173 de la Ley 1753 </w:t>
      </w:r>
      <w:r w:rsidR="00487BDE" w:rsidRPr="0078289D">
        <w:rPr>
          <w:color w:val="000000"/>
          <w:sz w:val="28"/>
          <w:szCs w:val="28"/>
          <w:lang w:val="es-ES_tradnl"/>
        </w:rPr>
        <w:t>de 2015, también se les permitiría</w:t>
      </w:r>
      <w:r w:rsidR="0003566D" w:rsidRPr="0078289D">
        <w:rPr>
          <w:color w:val="000000"/>
          <w:sz w:val="28"/>
          <w:szCs w:val="28"/>
          <w:lang w:val="es-ES_tradnl"/>
        </w:rPr>
        <w:t xml:space="preserve"> </w:t>
      </w:r>
      <w:r w:rsidR="00E546F0" w:rsidRPr="0078289D">
        <w:rPr>
          <w:color w:val="000000"/>
          <w:sz w:val="28"/>
          <w:szCs w:val="28"/>
          <w:lang w:val="es-ES_tradnl"/>
        </w:rPr>
        <w:t>desarrollar dichas actividades</w:t>
      </w:r>
      <w:r w:rsidR="0003566D" w:rsidRPr="0078289D">
        <w:rPr>
          <w:color w:val="000000"/>
          <w:sz w:val="28"/>
          <w:szCs w:val="28"/>
          <w:lang w:val="es-ES_tradnl"/>
        </w:rPr>
        <w:t xml:space="preserve"> a cualquier persona que cuente con </w:t>
      </w:r>
      <w:r w:rsidR="005D5888" w:rsidRPr="0078289D">
        <w:rPr>
          <w:color w:val="000000"/>
          <w:sz w:val="28"/>
          <w:szCs w:val="28"/>
          <w:lang w:val="es-ES_tradnl"/>
        </w:rPr>
        <w:t xml:space="preserve">una licencia y contrato de concesión, independientemente de cuándo les haya sido expedida, pues </w:t>
      </w:r>
      <w:r w:rsidR="00295DFF" w:rsidRPr="0078289D">
        <w:rPr>
          <w:color w:val="000000"/>
          <w:sz w:val="28"/>
          <w:szCs w:val="28"/>
          <w:lang w:val="es-ES_tradnl"/>
        </w:rPr>
        <w:t xml:space="preserve">formalmente </w:t>
      </w:r>
      <w:r w:rsidR="00CF0902" w:rsidRPr="0078289D">
        <w:rPr>
          <w:color w:val="000000"/>
          <w:sz w:val="28"/>
          <w:szCs w:val="28"/>
          <w:lang w:val="es-ES_tradnl"/>
        </w:rPr>
        <w:t>tales</w:t>
      </w:r>
      <w:r w:rsidR="00E546F0" w:rsidRPr="0078289D">
        <w:rPr>
          <w:color w:val="000000"/>
          <w:sz w:val="28"/>
          <w:szCs w:val="28"/>
          <w:lang w:val="es-ES_tradnl"/>
        </w:rPr>
        <w:t xml:space="preserve"> áreas </w:t>
      </w:r>
      <w:r w:rsidR="00295DFF" w:rsidRPr="0078289D">
        <w:rPr>
          <w:color w:val="000000"/>
          <w:sz w:val="28"/>
          <w:szCs w:val="28"/>
          <w:lang w:val="es-ES_tradnl"/>
        </w:rPr>
        <w:t xml:space="preserve">no serían </w:t>
      </w:r>
      <w:r w:rsidR="00CF0902" w:rsidRPr="0078289D">
        <w:rPr>
          <w:color w:val="000000"/>
          <w:sz w:val="28"/>
          <w:szCs w:val="28"/>
          <w:lang w:val="es-ES_tradnl"/>
        </w:rPr>
        <w:t xml:space="preserve">parte de los </w:t>
      </w:r>
      <w:r w:rsidR="00AA69DF" w:rsidRPr="0078289D">
        <w:rPr>
          <w:color w:val="000000"/>
          <w:sz w:val="28"/>
          <w:szCs w:val="28"/>
          <w:lang w:val="es-ES_tradnl"/>
        </w:rPr>
        <w:t xml:space="preserve">páramos, por lo tanto no contarían con ningún tipo de protección especial. </w:t>
      </w:r>
      <w:r w:rsidR="00AB725B" w:rsidRPr="0078289D">
        <w:rPr>
          <w:color w:val="000000"/>
          <w:sz w:val="28"/>
          <w:szCs w:val="28"/>
          <w:lang w:val="es-ES_tradnl"/>
        </w:rPr>
        <w:t xml:space="preserve">En esa medida, ante la amplitud </w:t>
      </w:r>
      <w:r w:rsidR="00F81ED0" w:rsidRPr="0078289D">
        <w:rPr>
          <w:color w:val="000000"/>
          <w:sz w:val="28"/>
          <w:szCs w:val="28"/>
          <w:lang w:val="es-ES_tradnl"/>
        </w:rPr>
        <w:t>y la falta de criterios jurídicos vinculantes para la delimitación de los páramos,</w:t>
      </w:r>
      <w:r w:rsidR="00AB725B" w:rsidRPr="0078289D">
        <w:rPr>
          <w:color w:val="000000"/>
          <w:sz w:val="28"/>
          <w:szCs w:val="28"/>
          <w:lang w:val="es-ES_tradnl"/>
        </w:rPr>
        <w:t xml:space="preserve"> </w:t>
      </w:r>
      <w:r w:rsidR="00C22EE6" w:rsidRPr="0078289D">
        <w:rPr>
          <w:color w:val="000000"/>
          <w:sz w:val="28"/>
          <w:szCs w:val="28"/>
          <w:lang w:val="es-ES_tradnl"/>
        </w:rPr>
        <w:t xml:space="preserve">independientemente de </w:t>
      </w:r>
      <w:r w:rsidR="00AB725B" w:rsidRPr="0078289D">
        <w:rPr>
          <w:color w:val="000000"/>
          <w:sz w:val="28"/>
          <w:szCs w:val="28"/>
          <w:lang w:val="es-ES_tradnl"/>
        </w:rPr>
        <w:t xml:space="preserve">la decisión </w:t>
      </w:r>
      <w:r w:rsidR="00C22EE6" w:rsidRPr="0078289D">
        <w:rPr>
          <w:color w:val="000000"/>
          <w:sz w:val="28"/>
          <w:szCs w:val="28"/>
          <w:lang w:val="es-ES_tradnl"/>
        </w:rPr>
        <w:t xml:space="preserve">adoptada por la Corte en relación con </w:t>
      </w:r>
      <w:r w:rsidR="005D1D1C" w:rsidRPr="0078289D">
        <w:rPr>
          <w:color w:val="000000"/>
          <w:sz w:val="28"/>
          <w:szCs w:val="28"/>
          <w:lang w:val="es-ES_tradnl"/>
        </w:rPr>
        <w:t>la disposición demandada,</w:t>
      </w:r>
      <w:r w:rsidR="00C22EE6" w:rsidRPr="0078289D">
        <w:rPr>
          <w:color w:val="000000"/>
          <w:sz w:val="28"/>
          <w:szCs w:val="28"/>
          <w:lang w:val="es-ES_tradnl"/>
        </w:rPr>
        <w:t xml:space="preserve"> la prohibición carecería de efectos. </w:t>
      </w:r>
    </w:p>
    <w:p w:rsidR="002A6520" w:rsidRPr="0078289D" w:rsidRDefault="002A6520" w:rsidP="0078289D">
      <w:pPr>
        <w:pStyle w:val="Listavistosa-nfasis11"/>
        <w:tabs>
          <w:tab w:val="left" w:pos="426"/>
        </w:tabs>
        <w:spacing w:line="240" w:lineRule="auto"/>
        <w:ind w:left="0"/>
        <w:jc w:val="both"/>
        <w:rPr>
          <w:color w:val="000000"/>
          <w:sz w:val="28"/>
          <w:szCs w:val="28"/>
          <w:lang w:val="es-ES_tradnl"/>
        </w:rPr>
      </w:pPr>
    </w:p>
    <w:p w:rsidR="007F3BDD" w:rsidRPr="0078289D" w:rsidRDefault="00E037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Por lo tanto, en la medida en que la protección del ecosistema de páramo depende directamente de</w:t>
      </w:r>
      <w:r w:rsidR="00023934" w:rsidRPr="0078289D">
        <w:rPr>
          <w:color w:val="000000"/>
          <w:sz w:val="28"/>
          <w:szCs w:val="28"/>
          <w:lang w:val="es-ES_tradnl"/>
        </w:rPr>
        <w:t>l cumplimiento riguroso</w:t>
      </w:r>
      <w:r w:rsidRPr="0078289D">
        <w:rPr>
          <w:color w:val="000000"/>
          <w:sz w:val="28"/>
          <w:szCs w:val="28"/>
          <w:lang w:val="es-ES_tradnl"/>
        </w:rPr>
        <w:t xml:space="preserve"> </w:t>
      </w:r>
      <w:r w:rsidR="00023934" w:rsidRPr="0078289D">
        <w:rPr>
          <w:color w:val="000000"/>
          <w:sz w:val="28"/>
          <w:szCs w:val="28"/>
          <w:lang w:val="es-ES_tradnl"/>
        </w:rPr>
        <w:t>de la labor de</w:t>
      </w:r>
      <w:r w:rsidRPr="0078289D">
        <w:rPr>
          <w:color w:val="000000"/>
          <w:sz w:val="28"/>
          <w:szCs w:val="28"/>
          <w:lang w:val="es-ES_tradnl"/>
        </w:rPr>
        <w:t xml:space="preserve"> delimitac</w:t>
      </w:r>
      <w:r w:rsidR="0021615C" w:rsidRPr="0078289D">
        <w:rPr>
          <w:color w:val="000000"/>
          <w:sz w:val="28"/>
          <w:szCs w:val="28"/>
          <w:lang w:val="es-ES_tradnl"/>
        </w:rPr>
        <w:t>ión por parte del Ministerio de Ambiente</w:t>
      </w:r>
      <w:r w:rsidRPr="0078289D">
        <w:rPr>
          <w:color w:val="000000"/>
          <w:sz w:val="28"/>
          <w:szCs w:val="28"/>
          <w:lang w:val="es-ES_tradnl"/>
        </w:rPr>
        <w:t xml:space="preserve">, la Corte procederá a integrar la unidad normativa con los primeros dos incisos del artículo 173 </w:t>
      </w:r>
      <w:r w:rsidR="006B2E2D" w:rsidRPr="0078289D">
        <w:rPr>
          <w:color w:val="000000"/>
          <w:sz w:val="28"/>
          <w:szCs w:val="28"/>
          <w:lang w:val="es-ES_tradnl"/>
        </w:rPr>
        <w:t xml:space="preserve">de la Ley 1753 de 2015, pues </w:t>
      </w:r>
      <w:r w:rsidR="007E74D5" w:rsidRPr="0078289D">
        <w:rPr>
          <w:color w:val="000000"/>
          <w:sz w:val="28"/>
          <w:szCs w:val="28"/>
          <w:lang w:val="es-ES_tradnl"/>
        </w:rPr>
        <w:t>en la medida en qu</w:t>
      </w:r>
      <w:r w:rsidR="0021615C" w:rsidRPr="0078289D">
        <w:rPr>
          <w:color w:val="000000"/>
          <w:sz w:val="28"/>
          <w:szCs w:val="28"/>
          <w:lang w:val="es-ES_tradnl"/>
        </w:rPr>
        <w:t xml:space="preserve">e corresponde al Ministerio de Ambiente la obligación de </w:t>
      </w:r>
      <w:r w:rsidR="007E74D5" w:rsidRPr="0078289D">
        <w:rPr>
          <w:color w:val="000000"/>
          <w:sz w:val="28"/>
          <w:szCs w:val="28"/>
          <w:lang w:val="es-ES_tradnl"/>
        </w:rPr>
        <w:t>delimitar el área de los páramos</w:t>
      </w:r>
      <w:r w:rsidR="006B2E2D" w:rsidRPr="0078289D">
        <w:rPr>
          <w:color w:val="000000"/>
          <w:sz w:val="28"/>
          <w:szCs w:val="28"/>
          <w:lang w:val="es-ES_tradnl"/>
        </w:rPr>
        <w:t xml:space="preserve">, la decisión a adoptar podría </w:t>
      </w:r>
      <w:r w:rsidR="00CF5A75" w:rsidRPr="0078289D">
        <w:rPr>
          <w:color w:val="000000"/>
          <w:sz w:val="28"/>
          <w:szCs w:val="28"/>
          <w:lang w:val="es-ES_tradnl"/>
        </w:rPr>
        <w:t>resultar completamente ineficaz, particularmente si se tiene en cuenta que en nuestro país el Ministerio de Ambiente sólo ha delimitado un páramo.</w:t>
      </w:r>
    </w:p>
    <w:p w:rsidR="00C94D67" w:rsidRPr="0078289D" w:rsidRDefault="00C94D67"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p>
    <w:p w:rsidR="007F3BDD" w:rsidRPr="0078289D" w:rsidRDefault="00D73DDC"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Las c</w:t>
      </w:r>
      <w:r w:rsidR="007F3BDD" w:rsidRPr="0078289D">
        <w:rPr>
          <w:b/>
          <w:i/>
          <w:color w:val="000000"/>
          <w:sz w:val="28"/>
          <w:szCs w:val="28"/>
          <w:lang w:val="es-ES_tradnl"/>
        </w:rPr>
        <w:t>aracterísticas del ecosistema de páramo</w:t>
      </w:r>
      <w:r w:rsidR="007F3BDD" w:rsidRPr="0078289D">
        <w:rPr>
          <w:i/>
          <w:sz w:val="28"/>
          <w:szCs w:val="28"/>
          <w:lang w:val="es-ES_tradnl"/>
        </w:rPr>
        <w:t xml:space="preserve"> </w:t>
      </w:r>
      <w:r w:rsidR="007F3BDD" w:rsidRPr="0078289D">
        <w:rPr>
          <w:b/>
          <w:i/>
          <w:color w:val="000000"/>
          <w:sz w:val="28"/>
          <w:szCs w:val="28"/>
          <w:lang w:val="es-ES_tradnl"/>
        </w:rPr>
        <w:t xml:space="preserve">y </w:t>
      </w:r>
      <w:r w:rsidRPr="0078289D">
        <w:rPr>
          <w:b/>
          <w:i/>
          <w:color w:val="000000"/>
          <w:sz w:val="28"/>
          <w:szCs w:val="28"/>
          <w:lang w:val="es-ES_tradnl"/>
        </w:rPr>
        <w:t xml:space="preserve">los </w:t>
      </w:r>
      <w:r w:rsidR="007F3BDD" w:rsidRPr="0078289D">
        <w:rPr>
          <w:b/>
          <w:i/>
          <w:color w:val="000000"/>
          <w:sz w:val="28"/>
          <w:szCs w:val="28"/>
          <w:lang w:val="es-ES_tradnl"/>
        </w:rPr>
        <w:t>servicios ambientales que presta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rPr>
      </w:pPr>
    </w:p>
    <w:p w:rsidR="007F3BDD" w:rsidRPr="0078289D" w:rsidRDefault="00301D91"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141. </w:t>
      </w:r>
      <w:r w:rsidR="007F3BDD" w:rsidRPr="0078289D">
        <w:rPr>
          <w:color w:val="000000"/>
          <w:sz w:val="28"/>
          <w:szCs w:val="28"/>
          <w:lang w:val="es-ES_tradnl"/>
        </w:rPr>
        <w:t>Como se mencionó con anterioridad, por man</w:t>
      </w:r>
      <w:r w:rsidR="00D75A92" w:rsidRPr="0078289D">
        <w:rPr>
          <w:color w:val="000000"/>
          <w:sz w:val="28"/>
          <w:szCs w:val="28"/>
          <w:lang w:val="es-ES_tradnl"/>
        </w:rPr>
        <w:t>dato de la ley los páramos requieren de</w:t>
      </w:r>
      <w:r w:rsidR="002745EF" w:rsidRPr="0078289D">
        <w:rPr>
          <w:color w:val="000000"/>
          <w:sz w:val="28"/>
          <w:szCs w:val="28"/>
          <w:lang w:val="es-ES_tradnl"/>
        </w:rPr>
        <w:t xml:space="preserve"> </w:t>
      </w:r>
      <w:r w:rsidR="00C034E4" w:rsidRPr="0078289D">
        <w:rPr>
          <w:color w:val="000000"/>
          <w:sz w:val="28"/>
          <w:szCs w:val="28"/>
          <w:lang w:val="es-ES_tradnl"/>
        </w:rPr>
        <w:t>protección especial. E</w:t>
      </w:r>
      <w:r w:rsidR="007F3BDD" w:rsidRPr="0078289D">
        <w:rPr>
          <w:color w:val="000000"/>
          <w:sz w:val="28"/>
          <w:szCs w:val="28"/>
          <w:lang w:val="es-ES_tradnl"/>
        </w:rPr>
        <w:t xml:space="preserve">n esa medida, le corresponde al Ministerio de Ambiente y Desarrollo Sostenible, como organismo rector de la gestión del </w:t>
      </w:r>
      <w:r w:rsidR="007F3BDD" w:rsidRPr="0078289D">
        <w:rPr>
          <w:color w:val="000000"/>
          <w:sz w:val="28"/>
          <w:szCs w:val="28"/>
          <w:lang w:val="es-ES_tradnl"/>
        </w:rPr>
        <w:lastRenderedPageBreak/>
        <w:t>medio ambiente y de lo</w:t>
      </w:r>
      <w:r w:rsidR="00C034E4" w:rsidRPr="0078289D">
        <w:rPr>
          <w:color w:val="000000"/>
          <w:sz w:val="28"/>
          <w:szCs w:val="28"/>
          <w:lang w:val="es-ES_tradnl"/>
        </w:rPr>
        <w:t>s recursos naturales renovables</w:t>
      </w:r>
      <w:r w:rsidR="007469A4" w:rsidRPr="0078289D">
        <w:rPr>
          <w:color w:val="000000"/>
          <w:sz w:val="28"/>
          <w:szCs w:val="28"/>
          <w:lang w:val="es-ES_tradnl"/>
        </w:rPr>
        <w:t>,</w:t>
      </w:r>
      <w:r w:rsidR="007F3BDD" w:rsidRPr="0078289D">
        <w:rPr>
          <w:color w:val="000000"/>
          <w:sz w:val="28"/>
          <w:szCs w:val="28"/>
          <w:lang w:val="es-ES_tradnl"/>
        </w:rPr>
        <w:t xml:space="preserve"> delimitar </w:t>
      </w:r>
      <w:r w:rsidR="007469A4" w:rsidRPr="0078289D">
        <w:rPr>
          <w:color w:val="000000"/>
          <w:sz w:val="28"/>
          <w:szCs w:val="28"/>
          <w:lang w:val="es-ES_tradnl"/>
        </w:rPr>
        <w:t>los páramos</w:t>
      </w:r>
      <w:r w:rsidR="00D75A92" w:rsidRPr="0078289D">
        <w:rPr>
          <w:color w:val="000000"/>
          <w:sz w:val="28"/>
          <w:szCs w:val="28"/>
          <w:lang w:val="es-ES_tradnl"/>
        </w:rPr>
        <w:t>, para lo cual</w:t>
      </w:r>
      <w:r w:rsidR="007469A4" w:rsidRPr="0078289D">
        <w:rPr>
          <w:color w:val="000000"/>
          <w:sz w:val="28"/>
          <w:szCs w:val="28"/>
          <w:lang w:val="es-ES_tradnl"/>
        </w:rPr>
        <w:t xml:space="preserve"> </w:t>
      </w:r>
      <w:r w:rsidR="00D75A92" w:rsidRPr="0078289D">
        <w:rPr>
          <w:color w:val="000000"/>
          <w:sz w:val="28"/>
          <w:szCs w:val="28"/>
          <w:lang w:val="es-ES_tradnl"/>
        </w:rPr>
        <w:t>deberá</w:t>
      </w:r>
      <w:r w:rsidR="007F3BDD" w:rsidRPr="0078289D">
        <w:rPr>
          <w:color w:val="000000"/>
          <w:sz w:val="28"/>
          <w:szCs w:val="28"/>
          <w:lang w:val="es-ES_tradnl"/>
        </w:rPr>
        <w:t xml:space="preserve"> </w:t>
      </w:r>
      <w:r w:rsidR="007469A4" w:rsidRPr="0078289D">
        <w:rPr>
          <w:color w:val="000000"/>
          <w:sz w:val="28"/>
          <w:szCs w:val="28"/>
          <w:lang w:val="es-ES_tradnl"/>
        </w:rPr>
        <w:t>tener en cuenta el resultado de</w:t>
      </w:r>
      <w:r w:rsidR="00D75A92" w:rsidRPr="0078289D">
        <w:rPr>
          <w:color w:val="000000"/>
          <w:sz w:val="28"/>
          <w:szCs w:val="28"/>
          <w:lang w:val="es-ES_tradnl"/>
        </w:rPr>
        <w:t>l</w:t>
      </w:r>
      <w:r w:rsidR="007F3BDD" w:rsidRPr="0078289D">
        <w:rPr>
          <w:color w:val="000000"/>
          <w:sz w:val="28"/>
          <w:szCs w:val="28"/>
          <w:lang w:val="es-ES_tradnl"/>
        </w:rPr>
        <w:t xml:space="preserve"> proceso de investigación científica, </w:t>
      </w:r>
      <w:r w:rsidR="00D75A92" w:rsidRPr="0078289D">
        <w:rPr>
          <w:color w:val="000000"/>
          <w:sz w:val="28"/>
          <w:szCs w:val="28"/>
          <w:lang w:val="es-ES_tradnl"/>
        </w:rPr>
        <w:t>como lo ordena</w:t>
      </w:r>
      <w:r w:rsidR="007F3BDD" w:rsidRPr="0078289D">
        <w:rPr>
          <w:color w:val="000000"/>
          <w:sz w:val="28"/>
          <w:szCs w:val="28"/>
          <w:lang w:val="es-ES_tradnl"/>
        </w:rPr>
        <w:t xml:space="preserve"> la Ley 99 de 1993</w:t>
      </w:r>
      <w:r w:rsidR="002745EF" w:rsidRPr="0078289D">
        <w:rPr>
          <w:color w:val="000000"/>
          <w:sz w:val="28"/>
          <w:szCs w:val="28"/>
          <w:lang w:val="es-ES_tradnl"/>
        </w:rPr>
        <w:t>.</w:t>
      </w:r>
      <w:r w:rsidR="007F3BDD" w:rsidRPr="0078289D">
        <w:rPr>
          <w:rStyle w:val="Refdenotaalpie"/>
          <w:sz w:val="28"/>
          <w:szCs w:val="28"/>
          <w:lang w:val="es-ES_tradnl"/>
        </w:rPr>
        <w:footnoteReference w:id="111"/>
      </w:r>
      <w:r w:rsidR="007F3BDD" w:rsidRPr="0078289D">
        <w:rPr>
          <w:color w:val="000000"/>
          <w:sz w:val="28"/>
          <w:szCs w:val="28"/>
          <w:lang w:val="es-ES_tradnl"/>
        </w:rPr>
        <w:t xml:space="preserve"> Por lo anterior, </w:t>
      </w:r>
      <w:r w:rsidR="00D75A92" w:rsidRPr="0078289D">
        <w:rPr>
          <w:color w:val="000000"/>
          <w:sz w:val="28"/>
          <w:szCs w:val="28"/>
          <w:lang w:val="es-ES_tradnl"/>
        </w:rPr>
        <w:t xml:space="preserve">resulta necesario profundizar en los elementos que hacen parte del mencionado ecosistema para que éste </w:t>
      </w:r>
      <w:r w:rsidR="00C94D67" w:rsidRPr="0078289D">
        <w:rPr>
          <w:color w:val="000000"/>
          <w:sz w:val="28"/>
          <w:szCs w:val="28"/>
          <w:lang w:val="es-ES_tradnl"/>
        </w:rPr>
        <w:t>pueda ser considerado como páramo.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En primer lugar se debe destacar que el ecosistema de páramo no </w:t>
      </w:r>
      <w:r w:rsidR="00BE0556" w:rsidRPr="0078289D">
        <w:rPr>
          <w:color w:val="000000"/>
          <w:sz w:val="28"/>
          <w:szCs w:val="28"/>
          <w:lang w:val="es-ES_tradnl"/>
        </w:rPr>
        <w:t xml:space="preserve">existe </w:t>
      </w:r>
      <w:r w:rsidR="00235EF1" w:rsidRPr="0078289D">
        <w:rPr>
          <w:color w:val="000000"/>
          <w:sz w:val="28"/>
          <w:szCs w:val="28"/>
          <w:lang w:val="es-ES_tradnl"/>
        </w:rPr>
        <w:t>sino en determinadas áreas de nuestro planeta</w:t>
      </w:r>
      <w:r w:rsidRPr="0078289D">
        <w:rPr>
          <w:color w:val="000000"/>
          <w:sz w:val="28"/>
          <w:szCs w:val="28"/>
          <w:lang w:val="es-ES_tradnl"/>
        </w:rPr>
        <w:t xml:space="preserve">. Este tipo de ecosistema es </w:t>
      </w:r>
      <w:r w:rsidR="006C5CDF" w:rsidRPr="0078289D">
        <w:rPr>
          <w:color w:val="000000"/>
          <w:sz w:val="28"/>
          <w:szCs w:val="28"/>
          <w:lang w:val="es-ES_tradnl"/>
        </w:rPr>
        <w:t>propio</w:t>
      </w:r>
      <w:r w:rsidRPr="0078289D">
        <w:rPr>
          <w:color w:val="000000"/>
          <w:sz w:val="28"/>
          <w:szCs w:val="28"/>
          <w:lang w:val="es-ES_tradnl"/>
        </w:rPr>
        <w:t xml:space="preserve"> en la región </w:t>
      </w:r>
      <w:r w:rsidR="006C5CDF" w:rsidRPr="0078289D">
        <w:rPr>
          <w:color w:val="000000"/>
          <w:sz w:val="28"/>
          <w:szCs w:val="28"/>
          <w:lang w:val="es-ES_tradnl"/>
        </w:rPr>
        <w:t xml:space="preserve">tropical </w:t>
      </w:r>
      <w:r w:rsidRPr="0078289D">
        <w:rPr>
          <w:color w:val="000000"/>
          <w:sz w:val="28"/>
          <w:szCs w:val="28"/>
          <w:lang w:val="es-ES_tradnl"/>
        </w:rPr>
        <w:t xml:space="preserve">Andina, </w:t>
      </w:r>
      <w:r w:rsidR="00235EF1" w:rsidRPr="0078289D">
        <w:rPr>
          <w:color w:val="000000"/>
          <w:sz w:val="28"/>
          <w:szCs w:val="28"/>
          <w:lang w:val="es-ES_tradnl"/>
        </w:rPr>
        <w:t>que incluye</w:t>
      </w:r>
      <w:r w:rsidRPr="0078289D">
        <w:rPr>
          <w:color w:val="000000"/>
          <w:sz w:val="28"/>
          <w:szCs w:val="28"/>
          <w:lang w:val="es-ES_tradnl"/>
        </w:rPr>
        <w:t xml:space="preserve"> ciertas zonas de Centroamérica</w:t>
      </w:r>
      <w:r w:rsidR="00235EF1" w:rsidRPr="0078289D">
        <w:rPr>
          <w:color w:val="000000"/>
          <w:sz w:val="28"/>
          <w:szCs w:val="28"/>
          <w:lang w:val="es-ES_tradnl"/>
        </w:rPr>
        <w:t>,</w:t>
      </w:r>
      <w:r w:rsidRPr="0078289D">
        <w:rPr>
          <w:color w:val="000000"/>
          <w:sz w:val="28"/>
          <w:szCs w:val="28"/>
          <w:lang w:val="es-ES_tradnl"/>
        </w:rPr>
        <w:t xml:space="preserve"> y </w:t>
      </w:r>
      <w:r w:rsidR="00235EF1" w:rsidRPr="0078289D">
        <w:rPr>
          <w:color w:val="000000"/>
          <w:sz w:val="28"/>
          <w:szCs w:val="28"/>
          <w:lang w:val="es-ES_tradnl"/>
        </w:rPr>
        <w:t xml:space="preserve">según algunas clasificaciones, también </w:t>
      </w:r>
      <w:r w:rsidRPr="0078289D">
        <w:rPr>
          <w:color w:val="000000"/>
          <w:sz w:val="28"/>
          <w:szCs w:val="28"/>
          <w:lang w:val="es-ES_tradnl"/>
        </w:rPr>
        <w:t xml:space="preserve">en las cumbres frías de algunas regiones </w:t>
      </w:r>
      <w:r w:rsidR="00F36768" w:rsidRPr="0078289D">
        <w:rPr>
          <w:color w:val="000000"/>
          <w:sz w:val="28"/>
          <w:szCs w:val="28"/>
          <w:lang w:val="es-ES_tradnl"/>
        </w:rPr>
        <w:t xml:space="preserve">tropicales </w:t>
      </w:r>
      <w:r w:rsidRPr="0078289D">
        <w:rPr>
          <w:color w:val="000000"/>
          <w:sz w:val="28"/>
          <w:szCs w:val="28"/>
          <w:lang w:val="es-ES_tradnl"/>
        </w:rPr>
        <w:t>de Asia, África y Oceanía</w:t>
      </w:r>
      <w:r w:rsidRPr="0078289D">
        <w:rPr>
          <w:rStyle w:val="Refdenotaalpie"/>
          <w:sz w:val="28"/>
          <w:szCs w:val="28"/>
          <w:lang w:val="es-ES_tradnl"/>
        </w:rPr>
        <w:footnoteReference w:id="112"/>
      </w:r>
      <w:r w:rsidRPr="0078289D">
        <w:rPr>
          <w:color w:val="000000"/>
          <w:sz w:val="28"/>
          <w:szCs w:val="28"/>
          <w:lang w:val="es-ES_tradnl"/>
        </w:rPr>
        <w:t xml:space="preserve">. Dentro de los países en los que existen estos ecosistemas, Colombia es el que tiene el mayor porcentaje de páramos a nivel mundial en una extensión de 1.925.410 hectáreas, </w:t>
      </w:r>
      <w:r w:rsidR="00701CA8" w:rsidRPr="0078289D">
        <w:rPr>
          <w:color w:val="000000"/>
          <w:sz w:val="28"/>
          <w:szCs w:val="28"/>
          <w:lang w:val="es-ES_tradnl"/>
        </w:rPr>
        <w:t>lo que equivale</w:t>
      </w:r>
      <w:r w:rsidRPr="0078289D">
        <w:rPr>
          <w:color w:val="000000"/>
          <w:sz w:val="28"/>
          <w:szCs w:val="28"/>
          <w:lang w:val="es-ES_tradnl"/>
        </w:rPr>
        <w:t xml:space="preserve"> a</w:t>
      </w:r>
      <w:r w:rsidR="00701CA8" w:rsidRPr="0078289D">
        <w:rPr>
          <w:color w:val="000000"/>
          <w:sz w:val="28"/>
          <w:szCs w:val="28"/>
          <w:lang w:val="es-ES_tradnl"/>
        </w:rPr>
        <w:t>l</w:t>
      </w:r>
      <w:r w:rsidRPr="0078289D">
        <w:rPr>
          <w:color w:val="000000"/>
          <w:sz w:val="28"/>
          <w:szCs w:val="28"/>
          <w:lang w:val="es-ES_tradnl"/>
        </w:rPr>
        <w:t xml:space="preserve"> 2% del territorio nacional</w:t>
      </w:r>
      <w:r w:rsidRPr="0078289D">
        <w:rPr>
          <w:rStyle w:val="Refdenotaalpie"/>
          <w:sz w:val="28"/>
          <w:szCs w:val="28"/>
          <w:lang w:val="es-ES_tradnl"/>
        </w:rPr>
        <w:footnoteReference w:id="113"/>
      </w:r>
      <w:r w:rsidRPr="0078289D">
        <w:rPr>
          <w:color w:val="000000"/>
          <w:sz w:val="28"/>
          <w:szCs w:val="28"/>
          <w:lang w:val="es-ES_tradnl"/>
        </w:rPr>
        <w:t xml:space="preserv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301D91"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142. </w:t>
      </w:r>
      <w:r w:rsidR="007F3BDD" w:rsidRPr="0078289D">
        <w:rPr>
          <w:color w:val="000000"/>
          <w:sz w:val="28"/>
          <w:szCs w:val="28"/>
          <w:lang w:val="es-ES_tradnl"/>
        </w:rPr>
        <w:t>Dentro de los distintos servicios ambientales que prestan los páramos se debe</w:t>
      </w:r>
      <w:r w:rsidRPr="0078289D">
        <w:rPr>
          <w:color w:val="000000"/>
          <w:sz w:val="28"/>
          <w:szCs w:val="28"/>
          <w:lang w:val="es-ES_tradnl"/>
        </w:rPr>
        <w:t>n</w:t>
      </w:r>
      <w:r w:rsidR="007F3BDD" w:rsidRPr="0078289D">
        <w:rPr>
          <w:color w:val="000000"/>
          <w:sz w:val="28"/>
          <w:szCs w:val="28"/>
          <w:lang w:val="es-ES_tradnl"/>
        </w:rPr>
        <w:t xml:space="preserve"> resaltar dos, que son fundamentales para la sociedad. Por una parte, los páramos son una pieza clave en la regulación del ciclo hídrico (en calidad y </w:t>
      </w:r>
      <w:r w:rsidR="00701CA8" w:rsidRPr="0078289D">
        <w:rPr>
          <w:color w:val="000000"/>
          <w:sz w:val="28"/>
          <w:szCs w:val="28"/>
          <w:lang w:val="es-ES_tradnl"/>
        </w:rPr>
        <w:t>disponibilidad</w:t>
      </w:r>
      <w:r w:rsidR="007F3BDD" w:rsidRPr="0078289D">
        <w:rPr>
          <w:color w:val="000000"/>
          <w:sz w:val="28"/>
          <w:szCs w:val="28"/>
          <w:lang w:val="es-ES_tradnl"/>
        </w:rPr>
        <w:t xml:space="preserve">), en razón a que son recolectores y proveedores de agua potable de alta calidad y fácil distribución. Por otra parte, los páramos son </w:t>
      </w:r>
      <w:r w:rsidR="00D123E9" w:rsidRPr="0078289D">
        <w:rPr>
          <w:color w:val="000000"/>
          <w:sz w:val="28"/>
          <w:szCs w:val="28"/>
          <w:lang w:val="es-ES_tradnl"/>
        </w:rPr>
        <w:t>“</w:t>
      </w:r>
      <w:r w:rsidR="007F3BDD" w:rsidRPr="0078289D">
        <w:rPr>
          <w:color w:val="000000"/>
          <w:sz w:val="28"/>
          <w:szCs w:val="28"/>
          <w:lang w:val="es-ES_tradnl"/>
        </w:rPr>
        <w:t>sumideros</w:t>
      </w:r>
      <w:r w:rsidR="00D123E9" w:rsidRPr="0078289D">
        <w:rPr>
          <w:color w:val="000000"/>
          <w:sz w:val="28"/>
          <w:szCs w:val="28"/>
          <w:lang w:val="es-ES_tradnl"/>
        </w:rPr>
        <w:t>”</w:t>
      </w:r>
      <w:r w:rsidR="007F3BDD" w:rsidRPr="0078289D">
        <w:rPr>
          <w:color w:val="000000"/>
          <w:sz w:val="28"/>
          <w:szCs w:val="28"/>
          <w:lang w:val="es-ES_tradnl"/>
        </w:rPr>
        <w:t xml:space="preserve"> de carbono, es decir, almacenan y capturan carbo</w:t>
      </w:r>
      <w:r w:rsidR="002C4FEB" w:rsidRPr="0078289D">
        <w:rPr>
          <w:color w:val="000000"/>
          <w:sz w:val="28"/>
          <w:szCs w:val="28"/>
          <w:lang w:val="es-ES_tradnl"/>
        </w:rPr>
        <w:t>no proveniente de la atmósfera</w:t>
      </w:r>
      <w:r w:rsidR="00D123E9" w:rsidRPr="0078289D">
        <w:rPr>
          <w:color w:val="000000"/>
          <w:sz w:val="28"/>
          <w:szCs w:val="28"/>
          <w:lang w:val="es-ES_tradnl"/>
        </w:rPr>
        <w:t xml:space="preserve">, </w:t>
      </w:r>
      <w:r w:rsidR="000920DC" w:rsidRPr="0078289D">
        <w:rPr>
          <w:color w:val="000000"/>
          <w:sz w:val="28"/>
          <w:szCs w:val="28"/>
          <w:lang w:val="es-ES_tradnl"/>
        </w:rPr>
        <w:t xml:space="preserve">según los cálculos más conservadores, </w:t>
      </w:r>
      <w:r w:rsidR="00D123E9" w:rsidRPr="0078289D">
        <w:rPr>
          <w:color w:val="000000"/>
          <w:sz w:val="28"/>
          <w:szCs w:val="28"/>
          <w:lang w:val="es-ES_tradnl"/>
        </w:rPr>
        <w:t>al menos</w:t>
      </w:r>
      <w:r w:rsidR="002C4FEB" w:rsidRPr="0078289D">
        <w:rPr>
          <w:color w:val="000000"/>
          <w:sz w:val="28"/>
          <w:szCs w:val="28"/>
          <w:lang w:val="es-ES_tradnl"/>
        </w:rPr>
        <w:t xml:space="preserve"> </w:t>
      </w:r>
      <w:r w:rsidR="007F3BDD" w:rsidRPr="0078289D">
        <w:rPr>
          <w:color w:val="000000"/>
          <w:sz w:val="28"/>
          <w:szCs w:val="28"/>
          <w:lang w:val="es-ES_tradnl"/>
        </w:rPr>
        <w:t>diez veces más que los bosques tropicales</w:t>
      </w:r>
      <w:r w:rsidR="007F3BDD" w:rsidRPr="0078289D">
        <w:rPr>
          <w:rStyle w:val="Refdenotaalpie"/>
          <w:sz w:val="28"/>
          <w:szCs w:val="28"/>
          <w:lang w:val="es-ES_tradnl"/>
        </w:rPr>
        <w:footnoteReference w:id="114"/>
      </w:r>
      <w:r w:rsidR="007F3BDD" w:rsidRPr="0078289D">
        <w:rPr>
          <w:color w:val="000000"/>
          <w:sz w:val="28"/>
          <w:szCs w:val="28"/>
          <w:lang w:val="es-ES_tradnl"/>
        </w:rPr>
        <w:t>, con lo cual contribuyen a mitigar los efectos del calentamiento global.</w:t>
      </w:r>
    </w:p>
    <w:p w:rsidR="00C46954" w:rsidRPr="0078289D" w:rsidRDefault="00C46954" w:rsidP="0078289D">
      <w:pPr>
        <w:pStyle w:val="Listavistosa-nfasis11"/>
        <w:spacing w:line="240" w:lineRule="auto"/>
        <w:ind w:left="0"/>
        <w:jc w:val="both"/>
        <w:rPr>
          <w:b/>
          <w:i/>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 xml:space="preserve">El páramo como regulador del ciclo hídrico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C40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143. </w:t>
      </w:r>
      <w:r w:rsidR="007F3BDD" w:rsidRPr="0078289D">
        <w:rPr>
          <w:color w:val="000000"/>
          <w:sz w:val="28"/>
          <w:szCs w:val="28"/>
          <w:lang w:val="es-ES_tradnl"/>
        </w:rPr>
        <w:t>En los ecosistemas de páramo nacen las principales estrellas fluviales del país, las cuales abastecen de agua a más del 70% de los colombianos</w:t>
      </w:r>
      <w:r w:rsidR="007F3BDD" w:rsidRPr="0078289D">
        <w:rPr>
          <w:rStyle w:val="Refdenotaalpie"/>
          <w:sz w:val="28"/>
          <w:szCs w:val="28"/>
          <w:lang w:val="es-ES_tradnl"/>
        </w:rPr>
        <w:footnoteReference w:id="115"/>
      </w:r>
      <w:r w:rsidR="007F3BDD" w:rsidRPr="0078289D">
        <w:rPr>
          <w:color w:val="000000"/>
          <w:sz w:val="28"/>
          <w:szCs w:val="28"/>
          <w:lang w:val="es-ES_tradnl"/>
        </w:rPr>
        <w:t xml:space="preserve">. Lo anterior se debe a que </w:t>
      </w:r>
      <w:r w:rsidR="007F3BDD" w:rsidRPr="0078289D">
        <w:rPr>
          <w:i/>
          <w:color w:val="000000"/>
          <w:sz w:val="28"/>
          <w:szCs w:val="28"/>
          <w:lang w:val="es-ES_tradnl"/>
        </w:rPr>
        <w:t>“el páramo es un sitio clave donde se presenta la ‘cosecha’ de agua de las lluvias y nieblas que se almacena en lagunas glaciares, turberas, pantanos y en los suelos humíferos”</w:t>
      </w:r>
      <w:r w:rsidR="007F3BDD" w:rsidRPr="0078289D">
        <w:rPr>
          <w:rStyle w:val="Refdenotaalpie"/>
          <w:i/>
          <w:sz w:val="28"/>
          <w:szCs w:val="28"/>
          <w:lang w:val="es-ES_tradnl"/>
        </w:rPr>
        <w:footnoteReference w:id="116"/>
      </w:r>
      <w:r w:rsidR="007F3BDD" w:rsidRPr="0078289D">
        <w:rPr>
          <w:color w:val="000000"/>
          <w:sz w:val="28"/>
          <w:szCs w:val="28"/>
          <w:lang w:val="es-ES_tradnl"/>
        </w:rPr>
        <w:t xml:space="preserve"> y que es </w:t>
      </w:r>
      <w:r w:rsidR="007F3BDD" w:rsidRPr="0078289D">
        <w:rPr>
          <w:i/>
          <w:color w:val="000000"/>
          <w:sz w:val="28"/>
          <w:szCs w:val="28"/>
          <w:lang w:val="es-ES_tradnl"/>
        </w:rPr>
        <w:t xml:space="preserve">“retenida </w:t>
      </w:r>
      <w:r w:rsidR="007F3BDD" w:rsidRPr="0078289D">
        <w:rPr>
          <w:i/>
          <w:color w:val="000000"/>
          <w:sz w:val="28"/>
          <w:szCs w:val="28"/>
          <w:lang w:val="es-ES_tradnl"/>
        </w:rPr>
        <w:lastRenderedPageBreak/>
        <w:t>por un periodo relativamente largo y liberada lenta y constantemente”</w:t>
      </w:r>
      <w:r w:rsidR="007F3BDD" w:rsidRPr="0078289D">
        <w:rPr>
          <w:rStyle w:val="Refdenotaalpie"/>
          <w:i/>
          <w:sz w:val="28"/>
          <w:szCs w:val="28"/>
          <w:lang w:val="es-ES_tradnl"/>
        </w:rPr>
        <w:footnoteReference w:id="117"/>
      </w:r>
      <w:r w:rsidR="007F3BDD" w:rsidRPr="0078289D">
        <w:rPr>
          <w:color w:val="000000"/>
          <w:sz w:val="28"/>
          <w:szCs w:val="28"/>
          <w:lang w:val="es-ES_tradnl"/>
        </w:rPr>
        <w:t>. Así, debido a la función retenedora y proveedora de agua dulce es que se afirma que estos ecosistemas son reguladores del ciclo hídrico</w:t>
      </w:r>
      <w:r w:rsidR="002C4FEB" w:rsidRPr="0078289D">
        <w:rPr>
          <w:color w:val="000000"/>
          <w:sz w:val="28"/>
          <w:szCs w:val="28"/>
          <w:lang w:val="es-ES_tradnl"/>
        </w:rPr>
        <w:t xml:space="preserve"> o “productores de agua”</w:t>
      </w:r>
      <w:r w:rsidR="007F3BDD" w:rsidRPr="0078289D">
        <w:rPr>
          <w:color w:val="000000"/>
          <w:sz w:val="28"/>
          <w:szCs w:val="28"/>
          <w:lang w:val="es-ES_tradnl"/>
        </w:rPr>
        <w:t>. Dicha función resulta de suma importancia, pues ello impacta de forma positiva en la calidad, disponibilidad y accesibilidad del recurso.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i/>
          <w:color w:val="000000"/>
          <w:sz w:val="28"/>
          <w:szCs w:val="28"/>
          <w:lang w:val="es-ES_tradnl"/>
        </w:rPr>
      </w:pPr>
      <w:r w:rsidRPr="0078289D">
        <w:rPr>
          <w:i/>
          <w:color w:val="000000"/>
          <w:sz w:val="28"/>
          <w:szCs w:val="28"/>
          <w:lang w:val="es-ES_tradnl"/>
        </w:rPr>
        <w:t>a. Calidad y potabilidad del recurso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C40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144. </w:t>
      </w:r>
      <w:r w:rsidR="007F3BDD" w:rsidRPr="0078289D">
        <w:rPr>
          <w:color w:val="000000"/>
          <w:sz w:val="28"/>
          <w:szCs w:val="28"/>
          <w:lang w:val="es-ES_tradnl"/>
        </w:rPr>
        <w:t xml:space="preserve">La calidad del agua proveniente de los páramos es una consecuencia del proceso de infiltración de las aguas lluvias y de niebla que ocurre en estos ecosistemas. De manera sintética, se ha afirmado que la potabilidad del agua sucede cuando ésta se filtra hasta cierta profundidad y sufre algunas modificaciones, proceso en el cual se descomponen y disuelven </w:t>
      </w:r>
      <w:r w:rsidR="0040454B" w:rsidRPr="0078289D">
        <w:rPr>
          <w:color w:val="000000"/>
          <w:sz w:val="28"/>
          <w:szCs w:val="28"/>
          <w:lang w:val="es-ES_tradnl"/>
        </w:rPr>
        <w:t>diversos</w:t>
      </w:r>
      <w:r w:rsidR="007F3BDD" w:rsidRPr="0078289D">
        <w:rPr>
          <w:color w:val="000000"/>
          <w:sz w:val="28"/>
          <w:szCs w:val="28"/>
          <w:lang w:val="es-ES_tradnl"/>
        </w:rPr>
        <w:t xml:space="preserve"> minerales que se separan del recurso hídrico, el cual pasa al subsuelo y se convierte en agua freática, la cual alimentará los acuíferos subterráneos, principal fuente de agua de nacederos, quebradas y ríos</w:t>
      </w:r>
      <w:r w:rsidR="007F3BDD" w:rsidRPr="0078289D">
        <w:rPr>
          <w:rStyle w:val="Refdenotaalpie"/>
          <w:sz w:val="28"/>
          <w:szCs w:val="28"/>
          <w:lang w:val="es-ES_tradnl"/>
        </w:rPr>
        <w:footnoteReference w:id="118"/>
      </w:r>
      <w:r w:rsidR="007F3BDD" w:rsidRPr="0078289D">
        <w:rPr>
          <w:color w:val="000000"/>
          <w:sz w:val="28"/>
          <w:szCs w:val="28"/>
          <w:lang w:val="es-ES_tradnl"/>
        </w:rPr>
        <w:t>. De lo anterior se infiere que el proceso de recepción, infiltración y liberación del recurso es lento y constante, lo cual evita la erosión del suelo y permite que el agua esté disponible de manera continua</w:t>
      </w:r>
      <w:r w:rsidR="00D00D8D" w:rsidRPr="0078289D">
        <w:rPr>
          <w:color w:val="000000"/>
          <w:sz w:val="28"/>
          <w:szCs w:val="28"/>
          <w:lang w:val="es-ES_tradnl"/>
        </w:rPr>
        <w:t xml:space="preserve"> para el consumo</w:t>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C40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145. </w:t>
      </w:r>
      <w:r w:rsidR="007F3BDD" w:rsidRPr="0078289D">
        <w:rPr>
          <w:color w:val="000000"/>
          <w:sz w:val="28"/>
          <w:szCs w:val="28"/>
          <w:lang w:val="es-ES_tradnl"/>
        </w:rPr>
        <w:t xml:space="preserve">Como complemento de lo anterior, se ha podido establecer que la calidad del agua captada en cercanías a zonas de páramo es de mejor calidad que aquella proveniente de otras fuentes </w:t>
      </w:r>
      <w:r w:rsidR="00D00D8D" w:rsidRPr="0078289D">
        <w:rPr>
          <w:color w:val="000000"/>
          <w:sz w:val="28"/>
          <w:szCs w:val="28"/>
          <w:lang w:val="es-ES_tradnl"/>
        </w:rPr>
        <w:t>por lo cual</w:t>
      </w:r>
      <w:r w:rsidR="007F3BDD" w:rsidRPr="0078289D">
        <w:rPr>
          <w:color w:val="000000"/>
          <w:sz w:val="28"/>
          <w:szCs w:val="28"/>
          <w:lang w:val="es-ES_tradnl"/>
        </w:rPr>
        <w:t xml:space="preserve"> los costos de tratamiento del recurso son inferiores</w:t>
      </w:r>
      <w:r w:rsidR="007F3BDD" w:rsidRPr="0078289D">
        <w:rPr>
          <w:rStyle w:val="Refdenotaalpie"/>
          <w:sz w:val="28"/>
          <w:szCs w:val="28"/>
          <w:lang w:val="es-ES_tradnl"/>
        </w:rPr>
        <w:footnoteReference w:id="119"/>
      </w:r>
      <w:r w:rsidR="007F3BDD" w:rsidRPr="0078289D">
        <w:rPr>
          <w:color w:val="000000"/>
          <w:sz w:val="28"/>
          <w:szCs w:val="28"/>
          <w:lang w:val="es-ES_tradnl"/>
        </w:rPr>
        <w:t>. Lo anterior implica que la calidad del recurso hídrico proveniente de los páramos no sólo impacta positivamente en la calidad de vida de los habitantes en términos de potabilidad, sino que también tiene un impacto positivo desde el punto de vista económico, ya que los menores costos de tratamiento de la misma influyen en la determinación de</w:t>
      </w:r>
      <w:r w:rsidR="00CE6AC3" w:rsidRPr="0078289D">
        <w:rPr>
          <w:color w:val="000000"/>
          <w:sz w:val="28"/>
          <w:szCs w:val="28"/>
          <w:lang w:val="es-ES_tradnl"/>
        </w:rPr>
        <w:t xml:space="preserve"> la tarifa</w:t>
      </w:r>
      <w:r w:rsidR="00104C2D" w:rsidRPr="0078289D">
        <w:rPr>
          <w:color w:val="000000"/>
          <w:sz w:val="28"/>
          <w:szCs w:val="28"/>
          <w:lang w:val="es-ES_tradnl"/>
        </w:rPr>
        <w:t xml:space="preserve">, y garantizan que </w:t>
      </w:r>
      <w:r w:rsidR="005D22DC" w:rsidRPr="0078289D">
        <w:rPr>
          <w:color w:val="000000"/>
          <w:sz w:val="28"/>
          <w:szCs w:val="28"/>
          <w:lang w:val="es-ES_tradnl"/>
        </w:rPr>
        <w:t>personas pertenecientes a</w:t>
      </w:r>
      <w:r w:rsidR="00104C2D" w:rsidRPr="0078289D">
        <w:rPr>
          <w:color w:val="000000"/>
          <w:sz w:val="28"/>
          <w:szCs w:val="28"/>
          <w:lang w:val="es-ES_tradnl"/>
        </w:rPr>
        <w:t xml:space="preserve"> distintos niveles socioeconómicos tengan acceso a ella</w:t>
      </w:r>
      <w:r w:rsidR="007F3BDD" w:rsidRPr="0078289D">
        <w:rPr>
          <w:color w:val="000000"/>
          <w:sz w:val="28"/>
          <w:szCs w:val="28"/>
          <w:lang w:val="es-ES_tradnl"/>
        </w:rPr>
        <w:t>.</w:t>
      </w:r>
    </w:p>
    <w:p w:rsidR="00F8752D" w:rsidRPr="0078289D" w:rsidRDefault="00F8752D" w:rsidP="0078289D">
      <w:pPr>
        <w:pStyle w:val="Listavistosa-nfasis11"/>
        <w:spacing w:line="240" w:lineRule="auto"/>
        <w:ind w:left="0"/>
        <w:jc w:val="both"/>
        <w:rPr>
          <w:i/>
          <w:color w:val="000000"/>
          <w:sz w:val="28"/>
          <w:szCs w:val="28"/>
          <w:lang w:val="es-ES_tradnl"/>
        </w:rPr>
      </w:pPr>
    </w:p>
    <w:p w:rsidR="007F3BDD" w:rsidRPr="0078289D" w:rsidRDefault="007F3BDD" w:rsidP="0078289D">
      <w:pPr>
        <w:pStyle w:val="Listavistosa-nfasis11"/>
        <w:spacing w:line="240" w:lineRule="auto"/>
        <w:ind w:left="0"/>
        <w:jc w:val="both"/>
        <w:rPr>
          <w:i/>
          <w:color w:val="000000"/>
          <w:sz w:val="28"/>
          <w:szCs w:val="28"/>
          <w:lang w:val="es-ES_tradnl"/>
        </w:rPr>
      </w:pPr>
      <w:r w:rsidRPr="0078289D">
        <w:rPr>
          <w:i/>
          <w:color w:val="000000"/>
          <w:sz w:val="28"/>
          <w:szCs w:val="28"/>
          <w:lang w:val="es-ES_tradnl"/>
        </w:rPr>
        <w:t>b. Disponibilidad del recurso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C40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146. </w:t>
      </w:r>
      <w:r w:rsidR="007F3BDD" w:rsidRPr="0078289D">
        <w:rPr>
          <w:color w:val="000000"/>
          <w:sz w:val="28"/>
          <w:szCs w:val="28"/>
          <w:lang w:val="es-ES_tradnl"/>
        </w:rPr>
        <w:t>La disponibilidad del recurso puede ser abordada desde distintas p</w:t>
      </w:r>
      <w:r w:rsidR="0058370D" w:rsidRPr="0078289D">
        <w:rPr>
          <w:color w:val="000000"/>
          <w:sz w:val="28"/>
          <w:szCs w:val="28"/>
          <w:lang w:val="es-ES_tradnl"/>
        </w:rPr>
        <w:t xml:space="preserve">erspectivas. En primer lugar </w:t>
      </w:r>
      <w:r w:rsidR="007F3BDD" w:rsidRPr="0078289D">
        <w:rPr>
          <w:color w:val="000000"/>
          <w:sz w:val="28"/>
          <w:szCs w:val="28"/>
          <w:lang w:val="es-ES_tradnl"/>
        </w:rPr>
        <w:t xml:space="preserve">puede ser analizada como sostenibilidad, lo cual hace referencia a las obligaciones que tiene el Estado para garantizar el </w:t>
      </w:r>
      <w:r w:rsidR="007F3BDD" w:rsidRPr="0078289D">
        <w:rPr>
          <w:color w:val="000000"/>
          <w:sz w:val="28"/>
          <w:szCs w:val="28"/>
          <w:lang w:val="es-ES_tradnl"/>
        </w:rPr>
        <w:lastRenderedPageBreak/>
        <w:t>cuidado, protección, preservación, conservación y recuperación de los recursos naturales</w:t>
      </w:r>
      <w:r w:rsidR="007F3BDD" w:rsidRPr="0078289D">
        <w:rPr>
          <w:rStyle w:val="Refdenotaalpie"/>
          <w:sz w:val="28"/>
          <w:szCs w:val="28"/>
          <w:lang w:val="es-ES_tradnl"/>
        </w:rPr>
        <w:footnoteReference w:id="120"/>
      </w:r>
      <w:r w:rsidR="007F3BDD" w:rsidRPr="0078289D">
        <w:rPr>
          <w:color w:val="000000"/>
          <w:sz w:val="28"/>
          <w:szCs w:val="28"/>
          <w:lang w:val="es-ES_tradnl"/>
        </w:rPr>
        <w:t xml:space="preserve">, y en particular del recurso hídrico para los habitantes y para las generaciones venideras, en virtud del principio de responsabilidad intergeneracional consagrado en la Declaración de Río de Janeiro de 1992.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Debido a que los ecosistemas de páramo son receptores del recurso hídrico y a que el proceso de liberación del recurso es lento, mientras se protejan dichos ecosistemas el proceso de recepción e infiltración del agua garantizará la disponibilidad del mismo.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C4057"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147. </w:t>
      </w:r>
      <w:r w:rsidR="007F3BDD" w:rsidRPr="0078289D">
        <w:rPr>
          <w:color w:val="000000"/>
          <w:sz w:val="28"/>
          <w:szCs w:val="28"/>
          <w:lang w:val="es-ES_tradnl"/>
        </w:rPr>
        <w:t xml:space="preserve">En segundo lugar, la disponibilidad se puede ver como continuidad, lo cual hace referencia a la regularidad con la que se suministra el agua. En concordancia con el argumento antes indicado, debido a que el proceso de liberación del recurso es lento y constante, mientras el proceso natural del páramo no se vea comprometido, la continuidad en la prestación de este servicio ambiental será regular, lo cual incide de manera directa en el goce efectivo del derecho fundamental al </w:t>
      </w:r>
      <w:r w:rsidR="008A0769" w:rsidRPr="0078289D">
        <w:rPr>
          <w:color w:val="000000"/>
          <w:sz w:val="28"/>
          <w:szCs w:val="28"/>
          <w:lang w:val="es-ES_tradnl"/>
        </w:rPr>
        <w:t>agua por parte de la población.</w:t>
      </w:r>
    </w:p>
    <w:p w:rsidR="00BA4939" w:rsidRPr="0078289D" w:rsidRDefault="00BA4939"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i/>
          <w:color w:val="000000"/>
          <w:sz w:val="28"/>
          <w:szCs w:val="28"/>
          <w:lang w:val="es-ES_tradnl"/>
        </w:rPr>
      </w:pPr>
      <w:r w:rsidRPr="0078289D">
        <w:rPr>
          <w:i/>
          <w:color w:val="000000"/>
          <w:sz w:val="28"/>
          <w:szCs w:val="28"/>
          <w:lang w:val="es-ES_tradnl"/>
        </w:rPr>
        <w:t>c. Accesibilidad</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148. </w:t>
      </w:r>
      <w:r w:rsidR="007F3BDD" w:rsidRPr="0078289D">
        <w:rPr>
          <w:color w:val="000000"/>
          <w:sz w:val="28"/>
          <w:szCs w:val="28"/>
          <w:lang w:val="es-ES_tradnl"/>
        </w:rPr>
        <w:t>Uno de los motivos por los cuales los ecosistemas de páramo son considerados ecosistemas estratégicos, es su proximidad a centros poblados con alta densidad demográfica</w:t>
      </w:r>
      <w:r w:rsidR="007F3BDD" w:rsidRPr="0078289D">
        <w:rPr>
          <w:rStyle w:val="Refdenotaalpie"/>
          <w:sz w:val="28"/>
          <w:szCs w:val="28"/>
          <w:lang w:val="es-ES_tradnl"/>
        </w:rPr>
        <w:footnoteReference w:id="121"/>
      </w:r>
      <w:r w:rsidR="007F3BDD" w:rsidRPr="0078289D">
        <w:rPr>
          <w:color w:val="000000"/>
          <w:sz w:val="28"/>
          <w:szCs w:val="28"/>
          <w:lang w:val="es-ES_tradnl"/>
        </w:rPr>
        <w:t>. Ello permite que  los ecosistemas de páramo sean una de las principales fuentes de captación del recurso hídrico porque el transporte y suministro del mismo es más sencillo y económico, toda vez que el agua no debe recorrer grandes distancias para ser llevada a los lugares de donde se capta para su posterior utilización y se canaliza y/o distribuye mayormente por efecto de la gravedad</w:t>
      </w:r>
      <w:r w:rsidR="007F3BDD" w:rsidRPr="0078289D">
        <w:rPr>
          <w:rStyle w:val="Refdenotaalpie"/>
          <w:sz w:val="28"/>
          <w:szCs w:val="28"/>
          <w:lang w:val="es-ES_tradnl"/>
        </w:rPr>
        <w:footnoteReference w:id="122"/>
      </w:r>
      <w:r w:rsidR="007F3BDD" w:rsidRPr="0078289D">
        <w:rPr>
          <w:color w:val="000000"/>
          <w:sz w:val="28"/>
          <w:szCs w:val="28"/>
          <w:lang w:val="es-ES_tradnl"/>
        </w:rPr>
        <w:t xml:space="preserve">. </w:t>
      </w:r>
    </w:p>
    <w:p w:rsidR="00CE6AC3" w:rsidRPr="0078289D" w:rsidRDefault="00CE6AC3"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El páramo como sistema de captura de carbono</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149. </w:t>
      </w:r>
      <w:r w:rsidR="007F3BDD" w:rsidRPr="0078289D">
        <w:rPr>
          <w:color w:val="000000"/>
          <w:sz w:val="28"/>
          <w:szCs w:val="28"/>
          <w:lang w:val="es-ES_tradnl"/>
        </w:rPr>
        <w:t xml:space="preserve">Como se mencionó con anterioridad, el páramo también presta un servicio ambiental como sistema de captura de carbono. Ello encuentra su sustento en que </w:t>
      </w:r>
      <w:r w:rsidR="007F3BDD" w:rsidRPr="0078289D">
        <w:rPr>
          <w:i/>
          <w:color w:val="000000"/>
          <w:sz w:val="28"/>
          <w:szCs w:val="28"/>
          <w:lang w:val="es-ES_tradnl"/>
        </w:rPr>
        <w:t>“[e]l suelo más común en paramos es de origen volcánico y se conoce técnicamente como ando</w:t>
      </w:r>
      <w:r w:rsidR="00982CF6" w:rsidRPr="0078289D">
        <w:rPr>
          <w:i/>
          <w:color w:val="000000"/>
          <w:sz w:val="28"/>
          <w:szCs w:val="28"/>
          <w:lang w:val="es-ES_tradnl"/>
        </w:rPr>
        <w:t>sol, del japonés que significa ‘</w:t>
      </w:r>
      <w:r w:rsidR="007F3BDD" w:rsidRPr="0078289D">
        <w:rPr>
          <w:i/>
          <w:color w:val="000000"/>
          <w:sz w:val="28"/>
          <w:szCs w:val="28"/>
          <w:lang w:val="es-ES_tradnl"/>
        </w:rPr>
        <w:t xml:space="preserve">tierra </w:t>
      </w:r>
      <w:r w:rsidR="00982CF6" w:rsidRPr="0078289D">
        <w:rPr>
          <w:i/>
          <w:color w:val="000000"/>
          <w:sz w:val="28"/>
          <w:szCs w:val="28"/>
          <w:lang w:val="es-ES_tradnl"/>
        </w:rPr>
        <w:t>negra’</w:t>
      </w:r>
      <w:r w:rsidR="007F3BDD" w:rsidRPr="0078289D">
        <w:rPr>
          <w:i/>
          <w:color w:val="000000"/>
          <w:sz w:val="28"/>
          <w:szCs w:val="28"/>
          <w:lang w:val="es-ES_tradnl"/>
        </w:rPr>
        <w:t>. Este color negro viene del alto contenido de materia orgánica, que por las bajas temperaturas no se descompone fácilmente.”</w:t>
      </w:r>
      <w:r w:rsidR="007F3BDD" w:rsidRPr="0078289D">
        <w:rPr>
          <w:rStyle w:val="Refdenotaalpie"/>
          <w:i/>
          <w:sz w:val="28"/>
          <w:szCs w:val="28"/>
          <w:lang w:val="es-ES_tradnl"/>
        </w:rPr>
        <w:footnoteReference w:id="123"/>
      </w:r>
      <w:r w:rsidR="007F3BDD" w:rsidRPr="0078289D">
        <w:rPr>
          <w:i/>
          <w:color w:val="000000"/>
          <w:sz w:val="28"/>
          <w:szCs w:val="28"/>
          <w:lang w:val="es-ES_tradnl"/>
        </w:rPr>
        <w:t xml:space="preserve"> </w:t>
      </w:r>
    </w:p>
    <w:p w:rsidR="007F3BDD" w:rsidRPr="0078289D" w:rsidRDefault="007F3BDD" w:rsidP="0078289D">
      <w:pPr>
        <w:pStyle w:val="Listavistosa-nfasis11"/>
        <w:tabs>
          <w:tab w:val="left" w:pos="426"/>
        </w:tabs>
        <w:spacing w:line="240" w:lineRule="auto"/>
        <w:ind w:left="0"/>
        <w:jc w:val="both"/>
        <w:rPr>
          <w:i/>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i/>
          <w:color w:val="000000"/>
          <w:sz w:val="28"/>
          <w:szCs w:val="28"/>
          <w:lang w:val="es-ES_tradnl"/>
        </w:rPr>
      </w:pPr>
      <w:r w:rsidRPr="0078289D">
        <w:rPr>
          <w:color w:val="000000"/>
          <w:sz w:val="28"/>
          <w:szCs w:val="28"/>
          <w:lang w:val="es-ES_tradnl"/>
        </w:rPr>
        <w:t xml:space="preserve">En consecuencia, los altos contenidos de materia orgánica junto con el material volcánico presente en suelo de los páramos, forman </w:t>
      </w:r>
      <w:r w:rsidRPr="0078289D">
        <w:rPr>
          <w:i/>
          <w:color w:val="000000"/>
          <w:sz w:val="28"/>
          <w:szCs w:val="28"/>
          <w:lang w:val="es-ES_tradnl"/>
        </w:rPr>
        <w:t>“complejos órganominerales, [que] contribuyen a aumentar la capacidad de retención y regulación del agua y el almacenamiento de carbono.”</w:t>
      </w:r>
      <w:r w:rsidRPr="0078289D">
        <w:rPr>
          <w:rStyle w:val="Refdenotaalpie"/>
          <w:i/>
          <w:sz w:val="28"/>
          <w:szCs w:val="28"/>
          <w:lang w:val="es-ES_tradnl"/>
        </w:rPr>
        <w:footnoteReference w:id="124"/>
      </w:r>
      <w:r w:rsidRPr="0078289D">
        <w:rPr>
          <w:color w:val="000000"/>
          <w:sz w:val="28"/>
          <w:szCs w:val="28"/>
          <w:lang w:val="es-ES_tradnl"/>
        </w:rPr>
        <w:t xml:space="preserve"> En esta medida, los páramos juegan un rol importante en la mitigación del cambio climático en tanto que se trata de depósitos naturales de carbono, ya que </w:t>
      </w:r>
      <w:r w:rsidRPr="0078289D">
        <w:rPr>
          <w:i/>
          <w:color w:val="000000"/>
          <w:sz w:val="28"/>
          <w:szCs w:val="28"/>
          <w:lang w:val="es-ES_tradnl"/>
        </w:rPr>
        <w:t>“(…) las características del suelo y su vegetación permiten al páramo hacer grandes capturas y acumulaciones del dióxido de carbono que, como resultado de procesos industriales, se presenta en la atmósfera y causa daños en la capa de ozono e influye negativamente en el cambio climático global. Por eso en los páramos hay grandes cantidades de carbono que, de no estar atrapados en sus suelos, estarían en la atmósfera.”</w:t>
      </w:r>
      <w:r w:rsidRPr="0078289D">
        <w:rPr>
          <w:rStyle w:val="Refdenotaalpie"/>
          <w:i/>
          <w:sz w:val="28"/>
          <w:szCs w:val="28"/>
          <w:lang w:val="es-ES_tradnl"/>
        </w:rPr>
        <w:footnoteReference w:id="125"/>
      </w:r>
      <w:r w:rsidRPr="0078289D">
        <w:rPr>
          <w:i/>
          <w:color w:val="000000"/>
          <w:sz w:val="28"/>
          <w:szCs w:val="28"/>
          <w:lang w:val="es-ES_tradnl"/>
        </w:rPr>
        <w:t xml:space="preserve"> </w:t>
      </w:r>
    </w:p>
    <w:p w:rsidR="00842C0D" w:rsidRPr="0078289D" w:rsidRDefault="00842C0D" w:rsidP="0078289D">
      <w:pPr>
        <w:pStyle w:val="Listavistosa-nfasis11"/>
        <w:tabs>
          <w:tab w:val="left" w:pos="426"/>
        </w:tabs>
        <w:spacing w:line="240" w:lineRule="auto"/>
        <w:ind w:left="0"/>
        <w:jc w:val="both"/>
        <w:rPr>
          <w:i/>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150. </w:t>
      </w:r>
      <w:r w:rsidR="007F3BDD" w:rsidRPr="0078289D">
        <w:rPr>
          <w:color w:val="000000"/>
          <w:sz w:val="28"/>
          <w:szCs w:val="28"/>
          <w:lang w:val="es-ES_tradnl"/>
        </w:rPr>
        <w:t>En atención a las características del suelo y la vegetación del páramo es que se ha afirmado que la capacidad de captura y de almacenamiento de carbono en los ecosistemas de páramo es mayor que la del bosque tropical. En esa medida, el pá</w:t>
      </w:r>
      <w:r w:rsidR="00757873" w:rsidRPr="0078289D">
        <w:rPr>
          <w:color w:val="000000"/>
          <w:sz w:val="28"/>
          <w:szCs w:val="28"/>
          <w:lang w:val="es-ES_tradnl"/>
        </w:rPr>
        <w:t>ramo no solo debe ser protegido</w:t>
      </w:r>
      <w:r w:rsidR="007F3BDD" w:rsidRPr="0078289D">
        <w:rPr>
          <w:color w:val="000000"/>
          <w:sz w:val="28"/>
          <w:szCs w:val="28"/>
          <w:lang w:val="es-ES_tradnl"/>
        </w:rPr>
        <w:t xml:space="preserve"> en tanto que es un recurso de la naturaleza, sino en atención a los servicios ambientales que presta, los cuales resultan estratégicos para contribuir a mitigar el cambio climático</w:t>
      </w:r>
      <w:r w:rsidR="00CE6AC3" w:rsidRPr="0078289D">
        <w:rPr>
          <w:color w:val="000000"/>
          <w:sz w:val="28"/>
          <w:szCs w:val="28"/>
          <w:lang w:val="es-ES_tradnl"/>
        </w:rPr>
        <w:t xml:space="preserve"> y a garantizar el acceso al agua potable</w:t>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La biodiversidad en el ecosistema de páramo</w:t>
      </w:r>
    </w:p>
    <w:p w:rsidR="007F3BDD" w:rsidRPr="0078289D" w:rsidRDefault="007F3BDD" w:rsidP="0078289D">
      <w:pPr>
        <w:pStyle w:val="Listavistosa-nfasis11"/>
        <w:spacing w:line="240" w:lineRule="auto"/>
        <w:ind w:left="0"/>
        <w:jc w:val="both"/>
        <w:rPr>
          <w:color w:val="000000"/>
          <w:sz w:val="28"/>
          <w:szCs w:val="28"/>
          <w:lang w:val="es-ES_tradnl"/>
        </w:rPr>
      </w:pPr>
    </w:p>
    <w:p w:rsidR="00BF0B42"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151. </w:t>
      </w:r>
      <w:r w:rsidR="003B09D5" w:rsidRPr="0078289D">
        <w:rPr>
          <w:color w:val="000000"/>
          <w:sz w:val="28"/>
          <w:szCs w:val="28"/>
          <w:lang w:val="es-ES_tradnl"/>
        </w:rPr>
        <w:t xml:space="preserve">La importancia de su protección también radica en que se trata de un ecosistema biodiverso, </w:t>
      </w:r>
      <w:r w:rsidR="00BF0B42" w:rsidRPr="0078289D">
        <w:rPr>
          <w:color w:val="000000"/>
          <w:sz w:val="28"/>
          <w:szCs w:val="28"/>
          <w:lang w:val="es-ES_tradnl"/>
        </w:rPr>
        <w:t xml:space="preserve">una </w:t>
      </w:r>
      <w:r w:rsidR="00493CA0" w:rsidRPr="0078289D">
        <w:rPr>
          <w:color w:val="000000"/>
          <w:sz w:val="28"/>
          <w:szCs w:val="28"/>
          <w:lang w:val="es-ES_tradnl"/>
        </w:rPr>
        <w:t>característica que</w:t>
      </w:r>
      <w:r w:rsidR="00BF0B42" w:rsidRPr="0078289D">
        <w:rPr>
          <w:color w:val="000000"/>
          <w:sz w:val="28"/>
          <w:szCs w:val="28"/>
          <w:lang w:val="es-ES_tradnl"/>
        </w:rPr>
        <w:t>, como se verá a continuación,</w:t>
      </w:r>
      <w:r w:rsidR="003B09D5" w:rsidRPr="0078289D">
        <w:rPr>
          <w:color w:val="000000"/>
          <w:sz w:val="28"/>
          <w:szCs w:val="28"/>
          <w:lang w:val="es-ES_tradnl"/>
        </w:rPr>
        <w:t xml:space="preserve"> está </w:t>
      </w:r>
      <w:r w:rsidR="00493CA0" w:rsidRPr="0078289D">
        <w:rPr>
          <w:color w:val="000000"/>
          <w:sz w:val="28"/>
          <w:szCs w:val="28"/>
          <w:lang w:val="es-ES_tradnl"/>
        </w:rPr>
        <w:t>íntimamente relacionada con</w:t>
      </w:r>
      <w:r w:rsidR="007F3BDD" w:rsidRPr="0078289D">
        <w:rPr>
          <w:color w:val="000000"/>
          <w:sz w:val="28"/>
          <w:szCs w:val="28"/>
          <w:lang w:val="es-ES_tradnl"/>
        </w:rPr>
        <w:t xml:space="preserve"> las funciones que presta el páramo como regulador del ciclo híd</w:t>
      </w:r>
      <w:r w:rsidR="00493CA0" w:rsidRPr="0078289D">
        <w:rPr>
          <w:color w:val="000000"/>
          <w:sz w:val="28"/>
          <w:szCs w:val="28"/>
          <w:lang w:val="es-ES_tradnl"/>
        </w:rPr>
        <w:t>rico y como sumidero de carbono</w:t>
      </w:r>
      <w:r w:rsidR="007F3BDD" w:rsidRPr="0078289D">
        <w:rPr>
          <w:color w:val="000000"/>
          <w:sz w:val="28"/>
          <w:szCs w:val="28"/>
          <w:lang w:val="es-ES_tradnl"/>
        </w:rPr>
        <w:t xml:space="preserve">. </w:t>
      </w:r>
    </w:p>
    <w:p w:rsidR="00842444" w:rsidRPr="0078289D" w:rsidRDefault="00842444"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Según el CDB, la diversidad biológica o biodiversidad se entiende como </w:t>
      </w:r>
      <w:r w:rsidRPr="0078289D">
        <w:rPr>
          <w:i/>
          <w:color w:val="000000"/>
          <w:sz w:val="28"/>
          <w:szCs w:val="28"/>
          <w:lang w:val="es-ES_tradnl"/>
        </w:rPr>
        <w:t>“(…)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r w:rsidRPr="0078289D">
        <w:rPr>
          <w:color w:val="000000"/>
          <w:sz w:val="28"/>
          <w:szCs w:val="28"/>
          <w:lang w:val="es-ES_tradnl"/>
        </w:rPr>
        <w:t>.</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A modo de referencia, la biodiversidad de la flora y la fauna presente en los páramos de Colombia se refleja en la existencia de </w:t>
      </w:r>
      <w:r w:rsidRPr="0078289D">
        <w:rPr>
          <w:i/>
          <w:color w:val="000000"/>
          <w:sz w:val="28"/>
          <w:szCs w:val="28"/>
          <w:lang w:val="es-ES_tradnl"/>
        </w:rPr>
        <w:t>“(…) aproximadamente 3379 especies de plantas; 70 especies de mamíferos, 154 especies de aves y 90 especies de anfibios.”</w:t>
      </w:r>
      <w:r w:rsidRPr="0078289D">
        <w:rPr>
          <w:rStyle w:val="Refdenotaalpie"/>
          <w:i/>
          <w:sz w:val="28"/>
          <w:szCs w:val="28"/>
          <w:lang w:val="es-ES_tradnl"/>
        </w:rPr>
        <w:footnoteReference w:id="126"/>
      </w:r>
      <w:r w:rsidRPr="0078289D">
        <w:rPr>
          <w:i/>
          <w:color w:val="000000"/>
          <w:sz w:val="28"/>
          <w:szCs w:val="28"/>
          <w:lang w:val="es-ES_tradnl"/>
        </w:rPr>
        <w:t xml:space="preserve"> </w:t>
      </w:r>
      <w:r w:rsidRPr="0078289D">
        <w:rPr>
          <w:color w:val="000000"/>
          <w:sz w:val="28"/>
          <w:szCs w:val="28"/>
          <w:lang w:val="es-ES_tradnl"/>
        </w:rPr>
        <w:t>Así mismo, se destaca la presencia del oso andino, el cóndor y el puma entre otras especies, las cuales habitan entre el páramo y los bosques.</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Interacción entre los distintos recursos del páramo y relación de interdependencia entre el páramo y el bosque</w:t>
      </w:r>
    </w:p>
    <w:p w:rsidR="00842C0D" w:rsidRPr="0078289D" w:rsidRDefault="00842C0D" w:rsidP="0078289D">
      <w:pPr>
        <w:pStyle w:val="Listavistosa-nfasis11"/>
        <w:tabs>
          <w:tab w:val="left" w:pos="426"/>
        </w:tabs>
        <w:spacing w:line="240" w:lineRule="auto"/>
        <w:ind w:left="0"/>
        <w:jc w:val="both"/>
        <w:rPr>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152. </w:t>
      </w:r>
      <w:r w:rsidR="007F3BDD" w:rsidRPr="0078289D">
        <w:rPr>
          <w:color w:val="000000"/>
          <w:sz w:val="28"/>
          <w:szCs w:val="28"/>
          <w:lang w:val="es-ES_tradnl"/>
        </w:rPr>
        <w:t>Una vez estudiadas las características y los principales servicios ambientales que prestan los páramos, resulta necesario indicar qu</w:t>
      </w:r>
      <w:r w:rsidR="00820CFC" w:rsidRPr="0078289D">
        <w:rPr>
          <w:color w:val="000000"/>
          <w:sz w:val="28"/>
          <w:szCs w:val="28"/>
          <w:lang w:val="es-ES_tradnl"/>
        </w:rPr>
        <w:t xml:space="preserve">e los ecosistemas no pueden entenderse </w:t>
      </w:r>
      <w:r w:rsidR="007F3BDD" w:rsidRPr="0078289D">
        <w:rPr>
          <w:color w:val="000000"/>
          <w:sz w:val="28"/>
          <w:szCs w:val="28"/>
          <w:lang w:val="es-ES_tradnl"/>
        </w:rPr>
        <w:t xml:space="preserve">de manera fragmentada. </w:t>
      </w:r>
      <w:r w:rsidR="002E24C7" w:rsidRPr="0078289D">
        <w:rPr>
          <w:color w:val="000000"/>
          <w:sz w:val="28"/>
          <w:szCs w:val="28"/>
          <w:lang w:val="es-ES_tradnl"/>
        </w:rPr>
        <w:t>Para el caso particular que estudia la Corte,</w:t>
      </w:r>
      <w:r w:rsidR="00B61F9E" w:rsidRPr="0078289D">
        <w:rPr>
          <w:color w:val="000000"/>
          <w:sz w:val="28"/>
          <w:szCs w:val="28"/>
          <w:lang w:val="es-ES_tradnl"/>
        </w:rPr>
        <w:t xml:space="preserve"> no se puede </w:t>
      </w:r>
      <w:r w:rsidR="00DD238C" w:rsidRPr="0078289D">
        <w:rPr>
          <w:color w:val="000000"/>
          <w:sz w:val="28"/>
          <w:szCs w:val="28"/>
          <w:lang w:val="es-ES_tradnl"/>
        </w:rPr>
        <w:t>comprender el funcionamiento del pár</w:t>
      </w:r>
      <w:r w:rsidR="002E24C7" w:rsidRPr="0078289D">
        <w:rPr>
          <w:color w:val="000000"/>
          <w:sz w:val="28"/>
          <w:szCs w:val="28"/>
          <w:lang w:val="es-ES_tradnl"/>
        </w:rPr>
        <w:t>amo</w:t>
      </w:r>
      <w:r w:rsidR="00DD238C" w:rsidRPr="0078289D">
        <w:rPr>
          <w:color w:val="000000"/>
          <w:sz w:val="28"/>
          <w:szCs w:val="28"/>
          <w:lang w:val="es-ES_tradnl"/>
        </w:rPr>
        <w:t xml:space="preserve"> al margen del funcionamiento de los ecosistemas de bosques que lo rodean en las partes inferiores, pues </w:t>
      </w:r>
      <w:r w:rsidR="002E24C7" w:rsidRPr="0078289D">
        <w:rPr>
          <w:color w:val="000000"/>
          <w:sz w:val="28"/>
          <w:szCs w:val="28"/>
          <w:lang w:val="es-ES_tradnl"/>
        </w:rPr>
        <w:t>estos dos</w:t>
      </w:r>
      <w:r w:rsidR="00DD238C" w:rsidRPr="0078289D">
        <w:rPr>
          <w:color w:val="000000"/>
          <w:sz w:val="28"/>
          <w:szCs w:val="28"/>
          <w:lang w:val="es-ES_tradnl"/>
        </w:rPr>
        <w:t xml:space="preserve"> ecosistema</w:t>
      </w:r>
      <w:r w:rsidR="002E24C7" w:rsidRPr="0078289D">
        <w:rPr>
          <w:color w:val="000000"/>
          <w:sz w:val="28"/>
          <w:szCs w:val="28"/>
          <w:lang w:val="es-ES_tradnl"/>
        </w:rPr>
        <w:t>s</w:t>
      </w:r>
      <w:r w:rsidR="00DD238C" w:rsidRPr="0078289D">
        <w:rPr>
          <w:color w:val="000000"/>
          <w:sz w:val="28"/>
          <w:szCs w:val="28"/>
          <w:lang w:val="es-ES_tradnl"/>
        </w:rPr>
        <w:t xml:space="preserve"> interactúan y dependen entre sí.</w:t>
      </w:r>
      <w:r w:rsidR="00B61F9E" w:rsidRPr="0078289D">
        <w:rPr>
          <w:color w:val="000000"/>
          <w:sz w:val="28"/>
          <w:szCs w:val="28"/>
          <w:lang w:val="es-ES_tradnl"/>
        </w:rPr>
        <w:t xml:space="preserve"> </w:t>
      </w:r>
      <w:r w:rsidR="007F3BDD" w:rsidRPr="0078289D">
        <w:rPr>
          <w:color w:val="000000"/>
          <w:sz w:val="28"/>
          <w:szCs w:val="28"/>
          <w:lang w:val="es-ES_tradnl"/>
        </w:rPr>
        <w:t xml:space="preserve">Lo anterior ha sido reconocido por el CBD, instrumento en el cual se define al ecosistema como </w:t>
      </w:r>
      <w:r w:rsidR="007F3BDD" w:rsidRPr="0078289D">
        <w:rPr>
          <w:i/>
          <w:color w:val="000000"/>
          <w:sz w:val="28"/>
          <w:szCs w:val="28"/>
          <w:lang w:val="es-ES_tradnl"/>
        </w:rPr>
        <w:t>“(…) un complejo dinámico de comunidades vegetales, animales y de microorganismos y su medio no viviente que interactúan como una unidad funcional”</w:t>
      </w:r>
      <w:r w:rsidR="007F3BDD" w:rsidRPr="0078289D">
        <w:rPr>
          <w:color w:val="000000"/>
          <w:sz w:val="28"/>
          <w:szCs w:val="28"/>
          <w:lang w:val="es-ES_tradnl"/>
        </w:rPr>
        <w:t xml:space="preserv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153. </w:t>
      </w:r>
      <w:r w:rsidR="007F3BDD" w:rsidRPr="0078289D">
        <w:rPr>
          <w:color w:val="000000"/>
          <w:sz w:val="28"/>
          <w:szCs w:val="28"/>
          <w:lang w:val="es-ES_tradnl"/>
        </w:rPr>
        <w:t xml:space="preserve">En la medida </w:t>
      </w:r>
      <w:r w:rsidR="004D4CF7" w:rsidRPr="0078289D">
        <w:rPr>
          <w:color w:val="000000"/>
          <w:sz w:val="28"/>
          <w:szCs w:val="28"/>
          <w:lang w:val="es-ES_tradnl"/>
        </w:rPr>
        <w:t xml:space="preserve">en </w:t>
      </w:r>
      <w:r w:rsidR="007F3BDD" w:rsidRPr="0078289D">
        <w:rPr>
          <w:color w:val="000000"/>
          <w:sz w:val="28"/>
          <w:szCs w:val="28"/>
          <w:lang w:val="es-ES_tradnl"/>
        </w:rPr>
        <w:t>que los distintos recursos que hacen parte del páramo cumplen una función específica para los procesos biológicos y químicos que allí se desarrollan, el alcance de las medidas de protección sobre este ecosistema no pueden ser determinadas por un criterio único como, por ejemplo, la altura</w:t>
      </w:r>
      <w:r w:rsidR="002E24C7" w:rsidRPr="0078289D">
        <w:rPr>
          <w:color w:val="000000"/>
          <w:sz w:val="28"/>
          <w:szCs w:val="28"/>
          <w:lang w:val="es-ES_tradnl"/>
        </w:rPr>
        <w:t xml:space="preserve"> en que se encuentran ubicados,</w:t>
      </w:r>
      <w:r w:rsidR="007F3BDD" w:rsidRPr="0078289D">
        <w:rPr>
          <w:color w:val="000000"/>
          <w:sz w:val="28"/>
          <w:szCs w:val="28"/>
          <w:lang w:val="es-ES_tradnl"/>
        </w:rPr>
        <w:t xml:space="preserve"> o las presencia de frailejones</w:t>
      </w:r>
      <w:r w:rsidR="002E24C7" w:rsidRPr="0078289D">
        <w:rPr>
          <w:color w:val="000000"/>
          <w:sz w:val="28"/>
          <w:szCs w:val="28"/>
          <w:lang w:val="es-ES_tradnl"/>
        </w:rPr>
        <w:t xml:space="preserve"> en el medio</w:t>
      </w:r>
      <w:r w:rsidR="007F3BDD" w:rsidRPr="0078289D">
        <w:rPr>
          <w:color w:val="000000"/>
          <w:sz w:val="28"/>
          <w:szCs w:val="28"/>
          <w:lang w:val="es-ES_tradnl"/>
        </w:rPr>
        <w:t>. Así mismo, los impactos sobre el ecosistema tampoco pueden analizarse de manera aislada, pues una afectación de</w:t>
      </w:r>
      <w:r w:rsidR="00CA0755" w:rsidRPr="0078289D">
        <w:rPr>
          <w:color w:val="000000"/>
          <w:sz w:val="28"/>
          <w:szCs w:val="28"/>
          <w:lang w:val="es-ES_tradnl"/>
        </w:rPr>
        <w:t>l</w:t>
      </w:r>
      <w:r w:rsidR="007F3BDD" w:rsidRPr="0078289D">
        <w:rPr>
          <w:color w:val="000000"/>
          <w:sz w:val="28"/>
          <w:szCs w:val="28"/>
          <w:lang w:val="es-ES_tradnl"/>
        </w:rPr>
        <w:t xml:space="preserve"> suelo </w:t>
      </w:r>
      <w:r w:rsidR="00CA0755" w:rsidRPr="0078289D">
        <w:rPr>
          <w:color w:val="000000"/>
          <w:sz w:val="28"/>
          <w:szCs w:val="28"/>
          <w:lang w:val="es-ES_tradnl"/>
        </w:rPr>
        <w:t xml:space="preserve">o en la diversidad biológica </w:t>
      </w:r>
      <w:r w:rsidR="007F3BDD" w:rsidRPr="0078289D">
        <w:rPr>
          <w:color w:val="000000"/>
          <w:sz w:val="28"/>
          <w:szCs w:val="28"/>
          <w:lang w:val="es-ES_tradnl"/>
        </w:rPr>
        <w:t>puede derivar también en una afectación del agua.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842C0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154. </w:t>
      </w:r>
      <w:r w:rsidR="007F3BDD" w:rsidRPr="0078289D">
        <w:rPr>
          <w:color w:val="000000"/>
          <w:sz w:val="28"/>
          <w:szCs w:val="28"/>
          <w:lang w:val="es-ES_tradnl"/>
        </w:rPr>
        <w:t>Ahora bien, los páramos tampoco pueden ser considerados ecosistemas independientes</w:t>
      </w:r>
      <w:r w:rsidR="00CA0755" w:rsidRPr="0078289D">
        <w:rPr>
          <w:color w:val="000000"/>
          <w:sz w:val="28"/>
          <w:szCs w:val="28"/>
          <w:lang w:val="es-ES_tradnl"/>
        </w:rPr>
        <w:t>,</w:t>
      </w:r>
      <w:r w:rsidR="007F3BDD" w:rsidRPr="0078289D">
        <w:rPr>
          <w:color w:val="000000"/>
          <w:sz w:val="28"/>
          <w:szCs w:val="28"/>
          <w:lang w:val="es-ES_tradnl"/>
        </w:rPr>
        <w:t xml:space="preserve"> pues están estrechamente relacionados con los demás ecosistemas adyacentes como los bosques, principalmente en lo relacionado con el recurso hídrico. Según el IAvH </w:t>
      </w:r>
      <w:r w:rsidR="007F3BDD" w:rsidRPr="0078289D">
        <w:rPr>
          <w:i/>
          <w:color w:val="000000"/>
          <w:sz w:val="28"/>
          <w:szCs w:val="28"/>
          <w:lang w:val="es-ES_tradnl"/>
        </w:rPr>
        <w:t>“[l]as cumbres montañosas del territorio colombiano son un componente importantes de los sistemas hídricos. En las selvas altoandinas, los páramos y los glaciares ocurren procesos de singular importancia para las distintas cuencas que allí nacen, en especial la recarga y la regulación de caudales aguas abajo.”</w:t>
      </w:r>
      <w:r w:rsidR="007F3BDD" w:rsidRPr="0078289D">
        <w:rPr>
          <w:rStyle w:val="Refdenotaalpie"/>
          <w:i/>
          <w:sz w:val="28"/>
          <w:szCs w:val="28"/>
          <w:lang w:val="es-ES_tradnl"/>
        </w:rPr>
        <w:footnoteReference w:id="127"/>
      </w:r>
      <w:r w:rsidR="007F3BDD" w:rsidRPr="0078289D">
        <w:rPr>
          <w:color w:val="000000"/>
          <w:sz w:val="28"/>
          <w:szCs w:val="28"/>
          <w:lang w:val="es-ES_tradnl"/>
        </w:rPr>
        <w:t xml:space="preserv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color w:val="000000"/>
          <w:sz w:val="28"/>
          <w:szCs w:val="28"/>
          <w:lang w:val="es-ES_tradnl"/>
        </w:rPr>
      </w:pPr>
      <w:r w:rsidRPr="0078289D">
        <w:rPr>
          <w:color w:val="000000"/>
          <w:sz w:val="28"/>
          <w:szCs w:val="28"/>
          <w:lang w:val="es-ES_tradnl"/>
        </w:rPr>
        <w:t xml:space="preserve">Esta situación no ha sido ajena al desarrollo normativo sobre áreas protegidas. En efecto, uno de los deberes del Estado es precisamente promover </w:t>
      </w:r>
      <w:r w:rsidRPr="0078289D">
        <w:rPr>
          <w:i/>
          <w:color w:val="000000"/>
          <w:sz w:val="28"/>
          <w:szCs w:val="28"/>
          <w:lang w:val="es-ES_tradnl"/>
        </w:rPr>
        <w:t>“(…) un desarrollo ambientalmente adecuado y sostenible en zonas adyacentes a áreas protegidas, con miras a aumentar la protección de esas zonas.”</w:t>
      </w:r>
      <w:r w:rsidRPr="0078289D">
        <w:rPr>
          <w:rStyle w:val="Refdenotaalpie"/>
          <w:i/>
          <w:sz w:val="28"/>
          <w:szCs w:val="28"/>
          <w:lang w:val="es-ES_tradnl"/>
        </w:rPr>
        <w:footnoteReference w:id="128"/>
      </w:r>
      <w:r w:rsidRPr="0078289D">
        <w:rPr>
          <w:color w:val="000000"/>
          <w:sz w:val="28"/>
          <w:szCs w:val="28"/>
          <w:lang w:val="es-ES_tradnl"/>
        </w:rPr>
        <w:t xml:space="preserve"> En este mismo sentido, el artículo 16 de la Ley 373 de 1997, modificado por el </w:t>
      </w:r>
      <w:r w:rsidR="007C3AEE" w:rsidRPr="0078289D">
        <w:rPr>
          <w:color w:val="000000"/>
          <w:sz w:val="28"/>
          <w:szCs w:val="28"/>
          <w:lang w:val="es-ES_tradnl"/>
        </w:rPr>
        <w:t>artículo</w:t>
      </w:r>
      <w:r w:rsidRPr="0078289D">
        <w:rPr>
          <w:color w:val="000000"/>
          <w:sz w:val="28"/>
          <w:szCs w:val="28"/>
          <w:lang w:val="es-ES_tradnl"/>
        </w:rPr>
        <w:t xml:space="preserve"> 89 de la Ley 812 de 2003, establece lo siguiente:</w:t>
      </w:r>
    </w:p>
    <w:p w:rsidR="007F3BDD" w:rsidRPr="0078289D" w:rsidRDefault="007F3BDD" w:rsidP="0078289D">
      <w:pPr>
        <w:pStyle w:val="Listavistosa-nfasis11"/>
        <w:spacing w:line="240" w:lineRule="auto"/>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426"/>
        <w:jc w:val="both"/>
        <w:rPr>
          <w:i/>
          <w:color w:val="000000"/>
          <w:sz w:val="28"/>
          <w:szCs w:val="28"/>
          <w:lang w:val="es-ES_tradnl"/>
        </w:rPr>
      </w:pPr>
      <w:r w:rsidRPr="0078289D">
        <w:rPr>
          <w:i/>
          <w:color w:val="000000"/>
          <w:sz w:val="28"/>
          <w:szCs w:val="28"/>
          <w:lang w:val="es-ES_tradnl"/>
        </w:rPr>
        <w:t>“(…) las zonas de páramo, bosques de niebla y áreas de influencia de nacimientos acuíferos y de estrellas fluviales, deberán ser adquiridos o protegidos con carácter prioritario por las autoridades ambientales, entidades territoriales y entidades administrativas de la jurisdicción correspondiente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color w:val="000000"/>
          <w:sz w:val="28"/>
          <w:szCs w:val="28"/>
          <w:lang w:val="es-ES_tradnl"/>
        </w:rPr>
      </w:pPr>
      <w:r w:rsidRPr="0078289D">
        <w:rPr>
          <w:color w:val="000000"/>
          <w:sz w:val="28"/>
          <w:szCs w:val="28"/>
          <w:lang w:val="es-ES_tradnl"/>
        </w:rPr>
        <w:t>En este orden de ideas, se advierte que entre el páramo y el bosque existen sistemas de flujo</w:t>
      </w:r>
      <w:r w:rsidR="00D76899" w:rsidRPr="0078289D">
        <w:rPr>
          <w:color w:val="000000"/>
          <w:sz w:val="28"/>
          <w:szCs w:val="28"/>
          <w:lang w:val="es-ES_tradnl"/>
        </w:rPr>
        <w:t>s</w:t>
      </w:r>
      <w:r w:rsidRPr="0078289D">
        <w:rPr>
          <w:color w:val="000000"/>
          <w:sz w:val="28"/>
          <w:szCs w:val="28"/>
          <w:lang w:val="es-ES_tradnl"/>
        </w:rPr>
        <w:t xml:space="preserve"> de aguas subterráneas y superficiales</w:t>
      </w:r>
      <w:r w:rsidR="00D76899" w:rsidRPr="0078289D">
        <w:rPr>
          <w:color w:val="000000"/>
          <w:sz w:val="28"/>
          <w:szCs w:val="28"/>
          <w:lang w:val="es-ES_tradnl"/>
        </w:rPr>
        <w:t>, y de especies polinizadoras</w:t>
      </w:r>
      <w:r w:rsidR="0095443E" w:rsidRPr="0078289D">
        <w:rPr>
          <w:color w:val="000000"/>
          <w:sz w:val="28"/>
          <w:szCs w:val="28"/>
          <w:lang w:val="es-ES_tradnl"/>
        </w:rPr>
        <w:t>, entre otras,</w:t>
      </w:r>
      <w:r w:rsidRPr="0078289D">
        <w:rPr>
          <w:color w:val="000000"/>
          <w:sz w:val="28"/>
          <w:szCs w:val="28"/>
          <w:lang w:val="es-ES_tradnl"/>
        </w:rPr>
        <w:t xml:space="preserve"> que son vitales para la pervivencia de estos ecosistemas. Por ello, en la determinación de las medidas de protección de cualquiera de estos, se deberá tener en cuenta la relación de interdependencia antes señalada.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Vulnerabilidad, fragilidad y capacidad de recuperación del ecosistema de páramo</w:t>
      </w:r>
    </w:p>
    <w:p w:rsidR="007F3BDD" w:rsidRPr="0078289D" w:rsidRDefault="007F3BDD" w:rsidP="0078289D">
      <w:pPr>
        <w:pStyle w:val="Listavistosa-nfasis11"/>
        <w:spacing w:line="240" w:lineRule="auto"/>
        <w:ind w:left="0"/>
        <w:jc w:val="both"/>
        <w:rPr>
          <w:color w:val="000000"/>
          <w:sz w:val="28"/>
          <w:szCs w:val="28"/>
          <w:lang w:val="es-ES_tradnl"/>
        </w:rPr>
      </w:pPr>
    </w:p>
    <w:p w:rsidR="00F41164" w:rsidRPr="0078289D" w:rsidRDefault="003D5644"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155. </w:t>
      </w:r>
      <w:r w:rsidR="007F3BDD" w:rsidRPr="0078289D">
        <w:rPr>
          <w:color w:val="000000"/>
          <w:sz w:val="28"/>
          <w:szCs w:val="28"/>
          <w:lang w:val="es-ES_tradnl"/>
        </w:rPr>
        <w:t xml:space="preserve">Como se indicó con anterioridad, los procesos biológicos y químicos que suceden en los páramos son lentos debido a las bajas temperaturas </w:t>
      </w:r>
      <w:r w:rsidR="006A024B" w:rsidRPr="0078289D">
        <w:rPr>
          <w:color w:val="000000"/>
          <w:sz w:val="28"/>
          <w:szCs w:val="28"/>
          <w:lang w:val="es-ES_tradnl"/>
        </w:rPr>
        <w:t>y a la baja concentración de oxígeno, que son propias de estos ecosistemas. Esta</w:t>
      </w:r>
      <w:r w:rsidR="007F3BDD" w:rsidRPr="0078289D">
        <w:rPr>
          <w:color w:val="000000"/>
          <w:sz w:val="28"/>
          <w:szCs w:val="28"/>
          <w:lang w:val="es-ES_tradnl"/>
        </w:rPr>
        <w:t xml:space="preserve"> </w:t>
      </w:r>
      <w:r w:rsidR="006A024B" w:rsidRPr="0078289D">
        <w:rPr>
          <w:color w:val="000000"/>
          <w:sz w:val="28"/>
          <w:szCs w:val="28"/>
          <w:lang w:val="es-ES_tradnl"/>
        </w:rPr>
        <w:t>característica</w:t>
      </w:r>
      <w:r w:rsidR="007F3BDD" w:rsidRPr="0078289D">
        <w:rPr>
          <w:color w:val="000000"/>
          <w:sz w:val="28"/>
          <w:szCs w:val="28"/>
          <w:lang w:val="es-ES_tradnl"/>
        </w:rPr>
        <w:t xml:space="preserve"> implica que la capacidad de recuperación del ecosistema tarda mucho más tiempo que en temperaturas más altas o con un porcentaje de oxígeno mayor</w:t>
      </w:r>
      <w:r w:rsidR="007C2C34" w:rsidRPr="0078289D">
        <w:rPr>
          <w:color w:val="000000"/>
          <w:sz w:val="28"/>
          <w:szCs w:val="28"/>
          <w:lang w:val="es-ES_tradnl"/>
        </w:rPr>
        <w:t>, donde la presencia de estos dos elementos facilita la biodegradación y la oxidación</w:t>
      </w:r>
      <w:r w:rsidR="00F41164" w:rsidRPr="0078289D">
        <w:rPr>
          <w:color w:val="000000"/>
          <w:sz w:val="28"/>
          <w:szCs w:val="28"/>
          <w:lang w:val="es-ES_tradnl"/>
        </w:rPr>
        <w:t xml:space="preserve"> de la materia orgánica</w:t>
      </w:r>
      <w:r w:rsidR="007F3BDD" w:rsidRPr="0078289D">
        <w:rPr>
          <w:color w:val="000000"/>
          <w:sz w:val="28"/>
          <w:szCs w:val="28"/>
          <w:lang w:val="es-ES_tradnl"/>
        </w:rPr>
        <w:t xml:space="preserve">. </w:t>
      </w:r>
      <w:r w:rsidR="005637C5" w:rsidRPr="0078289D">
        <w:rPr>
          <w:color w:val="000000"/>
          <w:sz w:val="28"/>
          <w:szCs w:val="28"/>
          <w:lang w:val="es-ES_tradnl"/>
        </w:rPr>
        <w:t>Esto es lo que suele llamarse el “metabolismo lento” de los páramos.</w:t>
      </w:r>
    </w:p>
    <w:p w:rsidR="00F41164" w:rsidRPr="0078289D" w:rsidRDefault="00F41164" w:rsidP="0078289D">
      <w:pPr>
        <w:pStyle w:val="Listavistosa-nfasis11"/>
        <w:tabs>
          <w:tab w:val="left" w:pos="426"/>
        </w:tabs>
        <w:spacing w:line="240" w:lineRule="auto"/>
        <w:ind w:left="0"/>
        <w:jc w:val="both"/>
        <w:rPr>
          <w:color w:val="000000"/>
          <w:sz w:val="28"/>
          <w:szCs w:val="28"/>
          <w:lang w:val="es-ES_tradnl"/>
        </w:rPr>
      </w:pPr>
    </w:p>
    <w:p w:rsidR="007F3BD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Así mismo, se </w:t>
      </w:r>
      <w:r w:rsidR="001F482E" w:rsidRPr="0078289D">
        <w:rPr>
          <w:color w:val="000000"/>
          <w:sz w:val="28"/>
          <w:szCs w:val="28"/>
          <w:lang w:val="es-ES_tradnl"/>
        </w:rPr>
        <w:t>sabe</w:t>
      </w:r>
      <w:r w:rsidRPr="0078289D">
        <w:rPr>
          <w:color w:val="000000"/>
          <w:sz w:val="28"/>
          <w:szCs w:val="28"/>
          <w:lang w:val="es-ES_tradnl"/>
        </w:rPr>
        <w:t xml:space="preserve"> que </w:t>
      </w:r>
      <w:r w:rsidR="00F5337C" w:rsidRPr="0078289D">
        <w:rPr>
          <w:color w:val="000000"/>
          <w:sz w:val="28"/>
          <w:szCs w:val="28"/>
          <w:lang w:val="es-ES_tradnl"/>
        </w:rPr>
        <w:t>la</w:t>
      </w:r>
      <w:r w:rsidRPr="0078289D">
        <w:rPr>
          <w:color w:val="000000"/>
          <w:sz w:val="28"/>
          <w:szCs w:val="28"/>
          <w:lang w:val="es-ES_tradnl"/>
        </w:rPr>
        <w:t xml:space="preserve"> restauración </w:t>
      </w:r>
      <w:r w:rsidR="00F5337C" w:rsidRPr="0078289D">
        <w:rPr>
          <w:color w:val="000000"/>
          <w:sz w:val="28"/>
          <w:szCs w:val="28"/>
          <w:lang w:val="es-ES_tradnl"/>
        </w:rPr>
        <w:t xml:space="preserve">o recuperación de un ecosistema de páramo </w:t>
      </w:r>
      <w:r w:rsidRPr="0078289D">
        <w:rPr>
          <w:color w:val="000000"/>
          <w:sz w:val="28"/>
          <w:szCs w:val="28"/>
          <w:lang w:val="es-ES_tradnl"/>
        </w:rPr>
        <w:t>es</w:t>
      </w:r>
      <w:r w:rsidR="00F5337C" w:rsidRPr="0078289D">
        <w:rPr>
          <w:color w:val="000000"/>
          <w:sz w:val="28"/>
          <w:szCs w:val="28"/>
          <w:lang w:val="es-ES_tradnl"/>
        </w:rPr>
        <w:t xml:space="preserve"> prácticamente</w:t>
      </w:r>
      <w:r w:rsidRPr="0078289D">
        <w:rPr>
          <w:color w:val="000000"/>
          <w:sz w:val="28"/>
          <w:szCs w:val="28"/>
          <w:lang w:val="es-ES_tradnl"/>
        </w:rPr>
        <w:t xml:space="preserve"> imposible,</w:t>
      </w:r>
      <w:r w:rsidRPr="0078289D">
        <w:rPr>
          <w:i/>
          <w:color w:val="000000"/>
          <w:sz w:val="28"/>
          <w:szCs w:val="28"/>
          <w:lang w:val="es-ES_tradnl"/>
        </w:rPr>
        <w:t xml:space="preserve"> </w:t>
      </w:r>
      <w:r w:rsidRPr="0078289D">
        <w:rPr>
          <w:color w:val="000000"/>
          <w:sz w:val="28"/>
          <w:szCs w:val="28"/>
          <w:lang w:val="es-ES_tradnl"/>
        </w:rPr>
        <w:t xml:space="preserve">en la medida que </w:t>
      </w:r>
      <w:r w:rsidR="001F482E" w:rsidRPr="0078289D">
        <w:rPr>
          <w:color w:val="000000"/>
          <w:sz w:val="28"/>
          <w:szCs w:val="28"/>
          <w:lang w:val="es-ES_tradnl"/>
        </w:rPr>
        <w:t xml:space="preserve">es un ecosistema que </w:t>
      </w:r>
      <w:r w:rsidR="00F41164" w:rsidRPr="0078289D">
        <w:rPr>
          <w:color w:val="000000"/>
          <w:sz w:val="28"/>
          <w:szCs w:val="28"/>
          <w:lang w:val="es-ES_tradnl"/>
        </w:rPr>
        <w:t>evolucion</w:t>
      </w:r>
      <w:r w:rsidR="001F482E" w:rsidRPr="0078289D">
        <w:rPr>
          <w:color w:val="000000"/>
          <w:sz w:val="28"/>
          <w:szCs w:val="28"/>
          <w:lang w:val="es-ES_tradnl"/>
        </w:rPr>
        <w:t xml:space="preserve">ó </w:t>
      </w:r>
      <w:r w:rsidR="00A54358" w:rsidRPr="0078289D">
        <w:rPr>
          <w:color w:val="000000"/>
          <w:sz w:val="28"/>
          <w:szCs w:val="28"/>
          <w:lang w:val="es-ES_tradnl"/>
        </w:rPr>
        <w:t xml:space="preserve">en un contexto geográfico estable, </w:t>
      </w:r>
      <w:r w:rsidR="001F482E" w:rsidRPr="0078289D">
        <w:rPr>
          <w:color w:val="000000"/>
          <w:sz w:val="28"/>
          <w:szCs w:val="28"/>
          <w:lang w:val="es-ES_tradnl"/>
        </w:rPr>
        <w:t xml:space="preserve">de manera relativamente aislada de </w:t>
      </w:r>
      <w:r w:rsidR="00E12208" w:rsidRPr="0078289D">
        <w:rPr>
          <w:color w:val="000000"/>
          <w:sz w:val="28"/>
          <w:szCs w:val="28"/>
          <w:lang w:val="es-ES_tradnl"/>
        </w:rPr>
        <w:t>factores de perturbación exógena</w:t>
      </w:r>
      <w:r w:rsidR="00F41164" w:rsidRPr="0078289D">
        <w:rPr>
          <w:color w:val="000000"/>
          <w:sz w:val="28"/>
          <w:szCs w:val="28"/>
          <w:lang w:val="es-ES_tradnl"/>
        </w:rPr>
        <w:t xml:space="preserve">, como los </w:t>
      </w:r>
      <w:r w:rsidR="00A54358" w:rsidRPr="0078289D">
        <w:rPr>
          <w:color w:val="000000"/>
          <w:sz w:val="28"/>
          <w:szCs w:val="28"/>
          <w:lang w:val="es-ES_tradnl"/>
        </w:rPr>
        <w:t xml:space="preserve">cambios de clima, los </w:t>
      </w:r>
      <w:r w:rsidR="00F41164" w:rsidRPr="0078289D">
        <w:rPr>
          <w:color w:val="000000"/>
          <w:sz w:val="28"/>
          <w:szCs w:val="28"/>
          <w:lang w:val="es-ES_tradnl"/>
        </w:rPr>
        <w:t xml:space="preserve">incendios, o la presencia </w:t>
      </w:r>
      <w:r w:rsidR="00A54358" w:rsidRPr="0078289D">
        <w:rPr>
          <w:color w:val="000000"/>
          <w:sz w:val="28"/>
          <w:szCs w:val="28"/>
          <w:lang w:val="es-ES_tradnl"/>
        </w:rPr>
        <w:t>humana</w:t>
      </w:r>
      <w:r w:rsidR="00E12208" w:rsidRPr="0078289D">
        <w:rPr>
          <w:color w:val="000000"/>
          <w:sz w:val="28"/>
          <w:szCs w:val="28"/>
          <w:lang w:val="es-ES_tradnl"/>
        </w:rPr>
        <w:t xml:space="preserve">. </w:t>
      </w:r>
      <w:r w:rsidR="00BB052D" w:rsidRPr="0078289D">
        <w:rPr>
          <w:color w:val="000000"/>
          <w:sz w:val="28"/>
          <w:szCs w:val="28"/>
          <w:lang w:val="es-ES_tradnl"/>
        </w:rPr>
        <w:t>Al desarrollarse de manera aislada</w:t>
      </w:r>
      <w:r w:rsidR="00E12208" w:rsidRPr="0078289D">
        <w:rPr>
          <w:color w:val="000000"/>
          <w:sz w:val="28"/>
          <w:szCs w:val="28"/>
          <w:lang w:val="es-ES_tradnl"/>
        </w:rPr>
        <w:t xml:space="preserve">, la capacidad de adaptación de los diversos elementos que componen este bioma es bastante </w:t>
      </w:r>
      <w:r w:rsidR="00F06DC2" w:rsidRPr="0078289D">
        <w:rPr>
          <w:color w:val="000000"/>
          <w:sz w:val="28"/>
          <w:szCs w:val="28"/>
          <w:lang w:val="es-ES_tradnl"/>
        </w:rPr>
        <w:t>limitada</w:t>
      </w:r>
      <w:r w:rsidR="007C2C34" w:rsidRPr="0078289D">
        <w:rPr>
          <w:color w:val="000000"/>
          <w:sz w:val="28"/>
          <w:szCs w:val="28"/>
          <w:lang w:val="es-ES_tradnl"/>
        </w:rPr>
        <w:t>.</w:t>
      </w:r>
      <w:r w:rsidR="00E12208" w:rsidRPr="0078289D">
        <w:rPr>
          <w:color w:val="000000"/>
          <w:sz w:val="28"/>
          <w:szCs w:val="28"/>
          <w:lang w:val="es-ES_tradnl"/>
        </w:rPr>
        <w:t xml:space="preserve"> </w:t>
      </w:r>
      <w:r w:rsidR="007C2C34" w:rsidRPr="0078289D">
        <w:rPr>
          <w:color w:val="000000"/>
          <w:sz w:val="28"/>
          <w:szCs w:val="28"/>
          <w:lang w:val="es-ES_tradnl"/>
        </w:rPr>
        <w:t xml:space="preserve">Por lo tanto, </w:t>
      </w:r>
      <w:r w:rsidR="00F06DC2" w:rsidRPr="0078289D">
        <w:rPr>
          <w:color w:val="000000"/>
          <w:sz w:val="28"/>
          <w:szCs w:val="28"/>
          <w:lang w:val="es-ES_tradnl"/>
        </w:rPr>
        <w:t xml:space="preserve">cuando </w:t>
      </w:r>
      <w:r w:rsidRPr="0078289D">
        <w:rPr>
          <w:color w:val="000000"/>
          <w:sz w:val="28"/>
          <w:szCs w:val="28"/>
          <w:lang w:val="es-ES_tradnl"/>
        </w:rPr>
        <w:t>las funciones ecosistémicas de suelo y subsuelo sufren impactos negativos</w:t>
      </w:r>
      <w:r w:rsidR="00F06DC2" w:rsidRPr="0078289D">
        <w:rPr>
          <w:color w:val="000000"/>
          <w:sz w:val="28"/>
          <w:szCs w:val="28"/>
          <w:lang w:val="es-ES_tradnl"/>
        </w:rPr>
        <w:t>, suelen ser</w:t>
      </w:r>
      <w:r w:rsidRPr="0078289D">
        <w:rPr>
          <w:color w:val="000000"/>
          <w:sz w:val="28"/>
          <w:szCs w:val="28"/>
          <w:lang w:val="es-ES_tradnl"/>
        </w:rPr>
        <w:t xml:space="preserve"> irreversibles</w:t>
      </w:r>
      <w:r w:rsidRPr="0078289D">
        <w:rPr>
          <w:rStyle w:val="Refdenotaalpie"/>
          <w:sz w:val="28"/>
          <w:szCs w:val="28"/>
          <w:lang w:val="es-ES_tradnl"/>
        </w:rPr>
        <w:footnoteReference w:id="129"/>
      </w:r>
      <w:r w:rsidRPr="0078289D">
        <w:rPr>
          <w:color w:val="000000"/>
          <w:sz w:val="28"/>
          <w:szCs w:val="28"/>
          <w:lang w:val="es-ES_tradnl"/>
        </w:rPr>
        <w:t>.</w:t>
      </w:r>
    </w:p>
    <w:p w:rsidR="00842444" w:rsidRPr="0078289D" w:rsidRDefault="00842444" w:rsidP="0078289D">
      <w:pPr>
        <w:pStyle w:val="Listavistosa-nfasis11"/>
        <w:tabs>
          <w:tab w:val="left" w:pos="426"/>
        </w:tabs>
        <w:spacing w:line="240" w:lineRule="auto"/>
        <w:ind w:left="0"/>
        <w:jc w:val="both"/>
        <w:rPr>
          <w:i/>
          <w:color w:val="000000"/>
          <w:sz w:val="28"/>
          <w:szCs w:val="28"/>
          <w:lang w:val="es-ES_tradnl"/>
        </w:rPr>
      </w:pPr>
    </w:p>
    <w:p w:rsidR="007F3BDD" w:rsidRPr="0078289D" w:rsidRDefault="003D5644"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156. </w:t>
      </w:r>
      <w:r w:rsidR="00026F89" w:rsidRPr="0078289D">
        <w:rPr>
          <w:color w:val="000000"/>
          <w:sz w:val="28"/>
          <w:szCs w:val="28"/>
          <w:lang w:val="es-ES_tradnl"/>
        </w:rPr>
        <w:t>También</w:t>
      </w:r>
      <w:r w:rsidR="007F3BDD" w:rsidRPr="0078289D">
        <w:rPr>
          <w:color w:val="000000"/>
          <w:sz w:val="28"/>
          <w:szCs w:val="28"/>
          <w:lang w:val="es-ES_tradnl"/>
        </w:rPr>
        <w:t xml:space="preserve"> se </w:t>
      </w:r>
      <w:r w:rsidR="005B11FA" w:rsidRPr="0078289D">
        <w:rPr>
          <w:color w:val="000000"/>
          <w:sz w:val="28"/>
          <w:szCs w:val="28"/>
          <w:lang w:val="es-ES_tradnl"/>
        </w:rPr>
        <w:t>sabe</w:t>
      </w:r>
      <w:r w:rsidR="007F3BDD" w:rsidRPr="0078289D">
        <w:rPr>
          <w:color w:val="000000"/>
          <w:sz w:val="28"/>
          <w:szCs w:val="28"/>
          <w:lang w:val="es-ES_tradnl"/>
        </w:rPr>
        <w:t xml:space="preserve"> que la remoción de la capa vegetal puede traer como consecuencia la liberación del carbono depositado en estos sumideros</w:t>
      </w:r>
      <w:r w:rsidR="00BB052D" w:rsidRPr="0078289D">
        <w:rPr>
          <w:color w:val="000000"/>
          <w:sz w:val="28"/>
          <w:szCs w:val="28"/>
          <w:lang w:val="es-ES_tradnl"/>
        </w:rPr>
        <w:t xml:space="preserve">, </w:t>
      </w:r>
      <w:r w:rsidR="001D2C89" w:rsidRPr="0078289D">
        <w:rPr>
          <w:color w:val="000000"/>
          <w:sz w:val="28"/>
          <w:szCs w:val="28"/>
          <w:lang w:val="es-ES_tradnl"/>
        </w:rPr>
        <w:t>lo cual trae</w:t>
      </w:r>
      <w:r w:rsidR="00BB052D" w:rsidRPr="0078289D">
        <w:rPr>
          <w:color w:val="000000"/>
          <w:sz w:val="28"/>
          <w:szCs w:val="28"/>
          <w:lang w:val="es-ES_tradnl"/>
        </w:rPr>
        <w:t xml:space="preserve"> consecuencias </w:t>
      </w:r>
      <w:r w:rsidR="001D2C89" w:rsidRPr="0078289D">
        <w:rPr>
          <w:color w:val="000000"/>
          <w:sz w:val="28"/>
          <w:szCs w:val="28"/>
          <w:lang w:val="es-ES_tradnl"/>
        </w:rPr>
        <w:t>graves</w:t>
      </w:r>
      <w:r w:rsidR="00BB052D" w:rsidRPr="0078289D">
        <w:rPr>
          <w:color w:val="000000"/>
          <w:sz w:val="28"/>
          <w:szCs w:val="28"/>
          <w:lang w:val="es-ES_tradnl"/>
        </w:rPr>
        <w:t xml:space="preserve"> para el calentamiento global</w:t>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708"/>
        <w:jc w:val="both"/>
        <w:rPr>
          <w:i/>
          <w:color w:val="000000"/>
          <w:sz w:val="28"/>
          <w:szCs w:val="28"/>
          <w:lang w:val="es-ES_tradnl"/>
        </w:rPr>
      </w:pPr>
      <w:r w:rsidRPr="0078289D">
        <w:rPr>
          <w:i/>
          <w:color w:val="000000"/>
          <w:sz w:val="28"/>
          <w:szCs w:val="28"/>
          <w:lang w:val="es-ES_tradnl"/>
        </w:rPr>
        <w:t>“Con un buen manejo de los páramos, se conserva el suelo y se mantiene el carbono almacenado mientras que si se descubre y maltrata el suelo, existe el peligro de que mucho del carbono se descomponga y vaya a la atmósfera como dióxido de carbono, el principal causante del calentamiento global.”</w:t>
      </w:r>
      <w:r w:rsidRPr="0078289D">
        <w:rPr>
          <w:rStyle w:val="Refdenotaalpie"/>
          <w:i/>
          <w:sz w:val="28"/>
          <w:szCs w:val="28"/>
          <w:lang w:val="es-ES_tradnl"/>
        </w:rPr>
        <w:footnoteReference w:id="130"/>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3D5644"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157. </w:t>
      </w:r>
      <w:r w:rsidR="007F3BDD" w:rsidRPr="0078289D">
        <w:rPr>
          <w:color w:val="000000"/>
          <w:sz w:val="28"/>
          <w:szCs w:val="28"/>
          <w:lang w:val="es-ES_tradnl"/>
        </w:rPr>
        <w:t>De lo anterior surge otro factor de vulnerabilidad de los páramos, asociado a los impactos del cambio climático sobre estos ecosistemas. Así, empíricamente se ha indicado lo siguiente respecto de este tema: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708"/>
        <w:jc w:val="both"/>
        <w:rPr>
          <w:i/>
          <w:color w:val="000000"/>
          <w:sz w:val="28"/>
          <w:szCs w:val="28"/>
          <w:lang w:val="es-ES_tradnl"/>
        </w:rPr>
      </w:pPr>
      <w:r w:rsidRPr="0078289D">
        <w:rPr>
          <w:i/>
          <w:color w:val="000000"/>
          <w:sz w:val="28"/>
          <w:szCs w:val="28"/>
          <w:lang w:val="es-ES_tradnl"/>
        </w:rPr>
        <w:t>“(…) en la alta montaña de la cordillera Central de Colombia se ha registrado un aumento de temperatura de 1.3</w:t>
      </w:r>
      <w:r w:rsidRPr="0078289D">
        <w:rPr>
          <w:i/>
          <w:color w:val="000000"/>
          <w:sz w:val="28"/>
          <w:szCs w:val="28"/>
          <w:vertAlign w:val="superscript"/>
          <w:lang w:val="es-ES_tradnl"/>
        </w:rPr>
        <w:t>o</w:t>
      </w:r>
      <w:r w:rsidRPr="0078289D">
        <w:rPr>
          <w:i/>
          <w:color w:val="000000"/>
          <w:sz w:val="28"/>
          <w:szCs w:val="28"/>
          <w:lang w:val="es-ES_tradnl"/>
        </w:rPr>
        <w:t>C por década (Ruiz et al. 2008) acompañado de reducción de humedad en los días soleados. En las series históricas de precipitación y temperatura de Colombia el IDEAM (2010), a través de índices de extremos climáticos, encontró: i) disminución de la precipitación media anual, ii) disminución de eventos extremos de lluvia en páramos y zonas aledañas, iii) incremento de eventos extremos de lluvia en los otros pisos térmicos (cálido, templado y frío), independientemente de la tendencia positiva o negativa en la precipitación total anual, iv) aumento de la temperatura máxima en el páramo alto (1°C por década), subpáramo y bosque altoandino (0.3-0.6°C por década), v) incremento en la temperatura mínima, menos pronunciado o incluso negativo en algunas estaciones de páramo negativo; vi) mayor incremento de temperatura media en el páramo alto.”</w:t>
      </w:r>
      <w:r w:rsidRPr="0078289D">
        <w:rPr>
          <w:rStyle w:val="Refdenotaalpie"/>
          <w:i/>
          <w:sz w:val="28"/>
          <w:szCs w:val="28"/>
          <w:lang w:val="es-ES_tradnl"/>
        </w:rPr>
        <w:footnoteReference w:id="131"/>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Default="003D5644"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158. </w:t>
      </w:r>
      <w:r w:rsidR="007F3BDD" w:rsidRPr="0078289D">
        <w:rPr>
          <w:color w:val="000000"/>
          <w:sz w:val="28"/>
          <w:szCs w:val="28"/>
          <w:lang w:val="es-ES_tradnl"/>
        </w:rPr>
        <w:t xml:space="preserve">De la misma manera, la remoción de la capa vegetal no sólo tiene un impacto en cuanto se refiere a la captura y almacenamiento de carbono. De un lado, el cambio de la naturaleza del suelo disminuye la capacidad del mismo para realizar el proceso de infiltración lenta del recurso hídrico que lo caracteriza. </w:t>
      </w:r>
      <w:r w:rsidR="006B59A3" w:rsidRPr="0078289D">
        <w:rPr>
          <w:color w:val="000000"/>
          <w:sz w:val="28"/>
          <w:szCs w:val="28"/>
          <w:lang w:val="es-ES_tradnl"/>
        </w:rPr>
        <w:t>Por</w:t>
      </w:r>
      <w:r w:rsidR="007F3BDD" w:rsidRPr="0078289D">
        <w:rPr>
          <w:color w:val="000000"/>
          <w:sz w:val="28"/>
          <w:szCs w:val="28"/>
          <w:lang w:val="es-ES_tradnl"/>
        </w:rPr>
        <w:t xml:space="preserve"> otra parte, la afectación sobre la flora y la fauna puede generar efectos adversos sobre el ecosistema</w:t>
      </w:r>
      <w:r w:rsidR="006B59A3" w:rsidRPr="0078289D">
        <w:rPr>
          <w:color w:val="000000"/>
          <w:sz w:val="28"/>
          <w:szCs w:val="28"/>
          <w:lang w:val="es-ES_tradnl"/>
        </w:rPr>
        <w:t>,</w:t>
      </w:r>
      <w:r w:rsidR="007F3BDD" w:rsidRPr="0078289D">
        <w:rPr>
          <w:color w:val="000000"/>
          <w:sz w:val="28"/>
          <w:szCs w:val="28"/>
          <w:lang w:val="es-ES_tradnl"/>
        </w:rPr>
        <w:t xml:space="preserve"> al alterarse ciertos procesos como la polinización,</w:t>
      </w:r>
      <w:r w:rsidR="006B59A3" w:rsidRPr="0078289D">
        <w:rPr>
          <w:color w:val="000000"/>
          <w:sz w:val="28"/>
          <w:szCs w:val="28"/>
          <w:lang w:val="es-ES_tradnl"/>
        </w:rPr>
        <w:t xml:space="preserve"> cambios en las redes tróficas, favoreciendo</w:t>
      </w:r>
      <w:r w:rsidR="007F3BDD" w:rsidRPr="0078289D">
        <w:rPr>
          <w:color w:val="000000"/>
          <w:sz w:val="28"/>
          <w:szCs w:val="28"/>
          <w:lang w:val="es-ES_tradnl"/>
        </w:rPr>
        <w:t xml:space="preserve"> la aparición d</w:t>
      </w:r>
      <w:r w:rsidR="006B59A3" w:rsidRPr="0078289D">
        <w:rPr>
          <w:color w:val="000000"/>
          <w:sz w:val="28"/>
          <w:szCs w:val="28"/>
          <w:lang w:val="es-ES_tradnl"/>
        </w:rPr>
        <w:t>e especies invasoras que extingue</w:t>
      </w:r>
      <w:r w:rsidR="007F3BDD" w:rsidRPr="0078289D">
        <w:rPr>
          <w:color w:val="000000"/>
          <w:sz w:val="28"/>
          <w:szCs w:val="28"/>
          <w:lang w:val="es-ES_tradnl"/>
        </w:rPr>
        <w:t>n a las nativas</w:t>
      </w:r>
      <w:r w:rsidR="007F3BDD" w:rsidRPr="0078289D">
        <w:rPr>
          <w:rStyle w:val="Refdenotaalpie"/>
          <w:sz w:val="28"/>
          <w:szCs w:val="28"/>
          <w:lang w:val="es-ES_tradnl"/>
        </w:rPr>
        <w:footnoteReference w:id="132"/>
      </w:r>
      <w:r w:rsidR="007F3BDD" w:rsidRPr="0078289D">
        <w:rPr>
          <w:color w:val="000000"/>
          <w:sz w:val="28"/>
          <w:szCs w:val="28"/>
          <w:lang w:val="es-ES_tradnl"/>
        </w:rPr>
        <w:t>.</w:t>
      </w:r>
    </w:p>
    <w:p w:rsidR="00842444" w:rsidRPr="0078289D" w:rsidRDefault="00842444"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En síntesis, habida cuenta de los distintos factores de vulnerabilidad que podrían afectar el subsuelo, el suelo, la flora, la fauna y el aire en los ecosistemas de páramo, se puede concluir que se trata de ecosistemas vulnerables. Dicha vulnerabilidad se acrecienta si se tiene en cuenta que su capacidad de recuperación es lenta  en comparación con otros ecosistemas.</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E15EBE"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159. </w:t>
      </w:r>
      <w:r w:rsidR="007F3BDD" w:rsidRPr="0078289D">
        <w:rPr>
          <w:color w:val="000000"/>
          <w:sz w:val="28"/>
          <w:szCs w:val="28"/>
          <w:lang w:val="es-ES_tradnl"/>
        </w:rPr>
        <w:t>Además de los factores de vulnerabilidad antes indicados, los ecosistemas de páramo tienen umbrales de resistencia y re</w:t>
      </w:r>
      <w:r w:rsidR="00842444">
        <w:rPr>
          <w:color w:val="000000"/>
          <w:sz w:val="28"/>
          <w:szCs w:val="28"/>
          <w:lang w:val="es-ES_tradnl"/>
        </w:rPr>
        <w:t>s</w:t>
      </w:r>
      <w:r w:rsidR="007F3BDD" w:rsidRPr="0078289D">
        <w:rPr>
          <w:color w:val="000000"/>
          <w:sz w:val="28"/>
          <w:szCs w:val="28"/>
          <w:lang w:val="es-ES_tradnl"/>
        </w:rPr>
        <w:t>iliencia muy bajos, es decir, son  ecosistemas frágiles. Lo anterior se debe que</w:t>
      </w:r>
      <w:r w:rsidR="006338EB" w:rsidRPr="0078289D">
        <w:rPr>
          <w:color w:val="000000"/>
          <w:sz w:val="28"/>
          <w:szCs w:val="28"/>
          <w:lang w:val="es-ES_tradnl"/>
        </w:rPr>
        <w:t>, como se mencionó,</w:t>
      </w:r>
      <w:r w:rsidR="007F3BDD" w:rsidRPr="0078289D">
        <w:rPr>
          <w:color w:val="000000"/>
          <w:sz w:val="28"/>
          <w:szCs w:val="28"/>
          <w:lang w:val="es-ES_tradnl"/>
        </w:rPr>
        <w:t xml:space="preserve"> son ecosistemas que evolucionaron en aislamiento geográfico, lo cual implica que no fueron sometidos a disturbios</w:t>
      </w:r>
      <w:r w:rsidR="007F3BDD" w:rsidRPr="0078289D">
        <w:rPr>
          <w:rStyle w:val="Refdenotaalpie"/>
          <w:sz w:val="28"/>
          <w:szCs w:val="28"/>
          <w:lang w:val="es-ES_tradnl"/>
        </w:rPr>
        <w:footnoteReference w:id="133"/>
      </w:r>
      <w:r w:rsidR="007F3BDD" w:rsidRPr="0078289D">
        <w:rPr>
          <w:color w:val="000000"/>
          <w:sz w:val="28"/>
          <w:szCs w:val="28"/>
          <w:lang w:val="es-ES_tradnl"/>
        </w:rPr>
        <w:t xml:space="preserve"> permanentes (bien fueran antrópicos o naturales) que permitieran que los páramos desarrollaran adaptaciones especiales</w:t>
      </w:r>
      <w:r w:rsidR="007F3BDD" w:rsidRPr="0078289D">
        <w:rPr>
          <w:rStyle w:val="Refdenotaalpie"/>
          <w:sz w:val="28"/>
          <w:szCs w:val="28"/>
          <w:lang w:val="es-ES_tradnl"/>
        </w:rPr>
        <w:footnoteReference w:id="134"/>
      </w:r>
      <w:r w:rsidR="007F3BDD" w:rsidRPr="0078289D">
        <w:rPr>
          <w:color w:val="000000"/>
          <w:sz w:val="28"/>
          <w:szCs w:val="28"/>
          <w:lang w:val="es-ES_tradnl"/>
        </w:rPr>
        <w:t>.</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6338EB"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Actualmente</w:t>
      </w:r>
      <w:r w:rsidR="007F3BDD" w:rsidRPr="0078289D">
        <w:rPr>
          <w:color w:val="000000"/>
          <w:sz w:val="28"/>
          <w:szCs w:val="28"/>
          <w:lang w:val="es-ES_tradnl"/>
        </w:rPr>
        <w:t xml:space="preserve">, los disturbios más comunes en los </w:t>
      </w:r>
      <w:r w:rsidRPr="0078289D">
        <w:rPr>
          <w:color w:val="000000"/>
          <w:sz w:val="28"/>
          <w:szCs w:val="28"/>
          <w:lang w:val="es-ES_tradnl"/>
        </w:rPr>
        <w:t>ecosistemas de páramo</w:t>
      </w:r>
      <w:r w:rsidR="007F3BDD" w:rsidRPr="0078289D">
        <w:rPr>
          <w:color w:val="000000"/>
          <w:sz w:val="28"/>
          <w:szCs w:val="28"/>
          <w:lang w:val="es-ES_tradnl"/>
        </w:rPr>
        <w:t xml:space="preserve"> son: (i) </w:t>
      </w:r>
      <w:r w:rsidRPr="0078289D">
        <w:rPr>
          <w:color w:val="000000"/>
          <w:sz w:val="28"/>
          <w:szCs w:val="28"/>
          <w:lang w:val="es-ES_tradnl"/>
        </w:rPr>
        <w:t xml:space="preserve">el </w:t>
      </w:r>
      <w:r w:rsidR="007F3BDD" w:rsidRPr="0078289D">
        <w:rPr>
          <w:color w:val="000000"/>
          <w:sz w:val="28"/>
          <w:szCs w:val="28"/>
          <w:lang w:val="es-ES_tradnl"/>
        </w:rPr>
        <w:t xml:space="preserve">fuego; (ii) </w:t>
      </w:r>
      <w:r w:rsidRPr="0078289D">
        <w:rPr>
          <w:color w:val="000000"/>
          <w:sz w:val="28"/>
          <w:szCs w:val="28"/>
          <w:lang w:val="es-ES_tradnl"/>
        </w:rPr>
        <w:t xml:space="preserve">la </w:t>
      </w:r>
      <w:r w:rsidR="007F3BDD" w:rsidRPr="0078289D">
        <w:rPr>
          <w:color w:val="000000"/>
          <w:sz w:val="28"/>
          <w:szCs w:val="28"/>
          <w:lang w:val="es-ES_tradnl"/>
        </w:rPr>
        <w:t xml:space="preserve">ganadería; (iii) </w:t>
      </w:r>
      <w:r w:rsidRPr="0078289D">
        <w:rPr>
          <w:color w:val="000000"/>
          <w:sz w:val="28"/>
          <w:szCs w:val="28"/>
          <w:lang w:val="es-ES_tradnl"/>
        </w:rPr>
        <w:t xml:space="preserve">la </w:t>
      </w:r>
      <w:r w:rsidR="007F3BDD" w:rsidRPr="0078289D">
        <w:rPr>
          <w:color w:val="000000"/>
          <w:sz w:val="28"/>
          <w:szCs w:val="28"/>
          <w:lang w:val="es-ES_tradnl"/>
        </w:rPr>
        <w:t xml:space="preserve">agricultura; (iv) </w:t>
      </w:r>
      <w:r w:rsidRPr="0078289D">
        <w:rPr>
          <w:color w:val="000000"/>
          <w:sz w:val="28"/>
          <w:szCs w:val="28"/>
          <w:lang w:val="es-ES_tradnl"/>
        </w:rPr>
        <w:t xml:space="preserve">la </w:t>
      </w:r>
      <w:r w:rsidR="007F3BDD" w:rsidRPr="0078289D">
        <w:rPr>
          <w:color w:val="000000"/>
          <w:sz w:val="28"/>
          <w:szCs w:val="28"/>
          <w:lang w:val="es-ES_tradnl"/>
        </w:rPr>
        <w:t xml:space="preserve">minería a cielo abierto y de socavón; (v) </w:t>
      </w:r>
      <w:r w:rsidRPr="0078289D">
        <w:rPr>
          <w:color w:val="000000"/>
          <w:sz w:val="28"/>
          <w:szCs w:val="28"/>
          <w:lang w:val="es-ES_tradnl"/>
        </w:rPr>
        <w:t xml:space="preserve">las </w:t>
      </w:r>
      <w:r w:rsidR="007F3BDD" w:rsidRPr="0078289D">
        <w:rPr>
          <w:color w:val="000000"/>
          <w:sz w:val="28"/>
          <w:szCs w:val="28"/>
          <w:lang w:val="es-ES_tradnl"/>
        </w:rPr>
        <w:t xml:space="preserve">plantaciones de especies exóticas; (vi) </w:t>
      </w:r>
      <w:r w:rsidRPr="0078289D">
        <w:rPr>
          <w:color w:val="000000"/>
          <w:sz w:val="28"/>
          <w:szCs w:val="28"/>
          <w:lang w:val="es-ES_tradnl"/>
        </w:rPr>
        <w:t xml:space="preserve">la </w:t>
      </w:r>
      <w:r w:rsidR="007F3BDD" w:rsidRPr="0078289D">
        <w:rPr>
          <w:color w:val="000000"/>
          <w:sz w:val="28"/>
          <w:szCs w:val="28"/>
          <w:lang w:val="es-ES_tradnl"/>
        </w:rPr>
        <w:t xml:space="preserve">construcción de obras civiles; (vii) </w:t>
      </w:r>
      <w:r w:rsidRPr="0078289D">
        <w:rPr>
          <w:color w:val="000000"/>
          <w:sz w:val="28"/>
          <w:szCs w:val="28"/>
          <w:lang w:val="es-ES_tradnl"/>
        </w:rPr>
        <w:t xml:space="preserve">el </w:t>
      </w:r>
      <w:r w:rsidR="007F3BDD" w:rsidRPr="0078289D">
        <w:rPr>
          <w:color w:val="000000"/>
          <w:sz w:val="28"/>
          <w:szCs w:val="28"/>
          <w:lang w:val="es-ES_tradnl"/>
        </w:rPr>
        <w:t xml:space="preserve">corte de matorrales para leña; (viii) </w:t>
      </w:r>
      <w:r w:rsidRPr="0078289D">
        <w:rPr>
          <w:color w:val="000000"/>
          <w:sz w:val="28"/>
          <w:szCs w:val="28"/>
          <w:lang w:val="es-ES_tradnl"/>
        </w:rPr>
        <w:t xml:space="preserve">la presencia de </w:t>
      </w:r>
      <w:r w:rsidR="007F3BDD" w:rsidRPr="0078289D">
        <w:rPr>
          <w:color w:val="000000"/>
          <w:sz w:val="28"/>
          <w:szCs w:val="28"/>
          <w:lang w:val="es-ES_tradnl"/>
        </w:rPr>
        <w:t xml:space="preserve">especies invasoras, y (ix) </w:t>
      </w:r>
      <w:r w:rsidRPr="0078289D">
        <w:rPr>
          <w:color w:val="000000"/>
          <w:sz w:val="28"/>
          <w:szCs w:val="28"/>
          <w:lang w:val="es-ES_tradnl"/>
        </w:rPr>
        <w:t xml:space="preserve">la </w:t>
      </w:r>
      <w:r w:rsidR="007F3BDD" w:rsidRPr="0078289D">
        <w:rPr>
          <w:color w:val="000000"/>
          <w:sz w:val="28"/>
          <w:szCs w:val="28"/>
          <w:lang w:val="es-ES_tradnl"/>
        </w:rPr>
        <w:t>cacería</w:t>
      </w:r>
      <w:r w:rsidR="007F3BDD" w:rsidRPr="0078289D">
        <w:rPr>
          <w:rStyle w:val="Refdenotaalpie"/>
          <w:sz w:val="28"/>
          <w:szCs w:val="28"/>
          <w:lang w:val="es-ES_tradnl"/>
        </w:rPr>
        <w:footnoteReference w:id="135"/>
      </w:r>
      <w:r w:rsidR="007F3BDD" w:rsidRPr="0078289D">
        <w:rPr>
          <w:color w:val="000000"/>
          <w:sz w:val="28"/>
          <w:szCs w:val="28"/>
          <w:lang w:val="es-ES_tradnl"/>
        </w:rPr>
        <w:t>. Como se puede observar, los ecosistemas de páramo han estado sometidos a una serie de disturbios que pueden acabar con estos ecosistemas en atención a su fragilidad.</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E15EBE"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160. </w:t>
      </w:r>
      <w:r w:rsidR="007F3BDD" w:rsidRPr="0078289D">
        <w:rPr>
          <w:color w:val="000000"/>
          <w:sz w:val="28"/>
          <w:szCs w:val="28"/>
          <w:lang w:val="es-ES_tradnl"/>
        </w:rPr>
        <w:t xml:space="preserve">Por lo anterior, se destaca que ante la vulnerabilidad, fragilidad y dificultad de recuperación de los ecosistemas de páramo, el Estado tiene a su cargo la obligación de brindar una protección más amplia y especial, dirigida específicamente a preservar este tipo de ecosistema. Lo anterior </w:t>
      </w:r>
      <w:r w:rsidR="009260BF" w:rsidRPr="0078289D">
        <w:rPr>
          <w:color w:val="000000"/>
          <w:sz w:val="28"/>
          <w:szCs w:val="28"/>
          <w:lang w:val="es-ES_tradnl"/>
        </w:rPr>
        <w:t xml:space="preserve">no sólo porque es </w:t>
      </w:r>
      <w:r w:rsidR="007F3BDD" w:rsidRPr="0078289D">
        <w:rPr>
          <w:color w:val="000000"/>
          <w:sz w:val="28"/>
          <w:szCs w:val="28"/>
          <w:lang w:val="es-ES_tradnl"/>
        </w:rPr>
        <w:t>un tipo de bioma que no es común en el mundo</w:t>
      </w:r>
      <w:r w:rsidR="009260BF" w:rsidRPr="0078289D">
        <w:rPr>
          <w:color w:val="000000"/>
          <w:sz w:val="28"/>
          <w:szCs w:val="28"/>
          <w:lang w:val="es-ES_tradnl"/>
        </w:rPr>
        <w:t>, sino también</w:t>
      </w:r>
      <w:r w:rsidR="007F3BDD" w:rsidRPr="0078289D">
        <w:rPr>
          <w:color w:val="000000"/>
          <w:sz w:val="28"/>
          <w:szCs w:val="28"/>
          <w:lang w:val="es-ES_tradnl"/>
        </w:rPr>
        <w:t xml:space="preserve"> en razón de los importantes servicios ambientales que presta, sumado al hecho que </w:t>
      </w:r>
      <w:r w:rsidR="003F556F" w:rsidRPr="0078289D">
        <w:rPr>
          <w:color w:val="000000"/>
          <w:sz w:val="28"/>
          <w:szCs w:val="28"/>
          <w:lang w:val="es-ES_tradnl"/>
        </w:rPr>
        <w:t>en la actualidad es</w:t>
      </w:r>
      <w:r w:rsidR="007F3BDD" w:rsidRPr="0078289D">
        <w:rPr>
          <w:color w:val="000000"/>
          <w:sz w:val="28"/>
          <w:szCs w:val="28"/>
          <w:lang w:val="es-ES_tradnl"/>
        </w:rPr>
        <w:t xml:space="preserve"> un ecosistema sometido a intervenciones negativas o disturbios que afectan su pervivencia.</w:t>
      </w:r>
    </w:p>
    <w:p w:rsidR="0098182A" w:rsidRPr="0078289D" w:rsidRDefault="0098182A" w:rsidP="0078289D">
      <w:pPr>
        <w:pStyle w:val="Listavistosa-nfasis11"/>
        <w:tabs>
          <w:tab w:val="left" w:pos="426"/>
        </w:tabs>
        <w:spacing w:line="240" w:lineRule="auto"/>
        <w:ind w:left="0"/>
        <w:jc w:val="both"/>
        <w:rPr>
          <w:color w:val="000000"/>
          <w:sz w:val="28"/>
          <w:szCs w:val="28"/>
          <w:lang w:val="es-ES_tradnl"/>
        </w:rPr>
      </w:pPr>
    </w:p>
    <w:p w:rsidR="0098182A" w:rsidRPr="0078289D" w:rsidRDefault="0098182A"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En esa medida</w:t>
      </w:r>
      <w:r w:rsidR="00FA5653" w:rsidRPr="0078289D">
        <w:rPr>
          <w:color w:val="000000"/>
          <w:sz w:val="28"/>
          <w:szCs w:val="28"/>
          <w:lang w:val="es-ES_tradnl"/>
        </w:rPr>
        <w:t>,</w:t>
      </w:r>
      <w:r w:rsidRPr="0078289D">
        <w:rPr>
          <w:color w:val="000000"/>
          <w:sz w:val="28"/>
          <w:szCs w:val="28"/>
          <w:lang w:val="es-ES_tradnl"/>
        </w:rPr>
        <w:t xml:space="preserve"> es necesario concluir que</w:t>
      </w:r>
      <w:r w:rsidR="00437D46" w:rsidRPr="0078289D">
        <w:rPr>
          <w:color w:val="000000"/>
          <w:sz w:val="28"/>
          <w:szCs w:val="28"/>
          <w:lang w:val="es-ES_tradnl"/>
        </w:rPr>
        <w:t xml:space="preserve"> debido a la vulnerabilidad de los ecosistemas de páramo, y al papel que cumplen en la regulación del ciclo hídrico y en la captura de carbono,</w:t>
      </w:r>
      <w:r w:rsidRPr="0078289D">
        <w:rPr>
          <w:color w:val="000000"/>
          <w:sz w:val="28"/>
          <w:szCs w:val="28"/>
          <w:lang w:val="es-ES_tradnl"/>
        </w:rPr>
        <w:t xml:space="preserve"> el proceso de delimitación de los páramos que lleva a cabo el Ministerio de Ambiente y Desarrollo Sostenible es de una importancia fundamental</w:t>
      </w:r>
      <w:r w:rsidR="00F02E99" w:rsidRPr="0078289D">
        <w:rPr>
          <w:color w:val="000000"/>
          <w:sz w:val="28"/>
          <w:szCs w:val="28"/>
          <w:lang w:val="es-ES_tradnl"/>
        </w:rPr>
        <w:t>.</w:t>
      </w:r>
      <w:r w:rsidRPr="0078289D">
        <w:rPr>
          <w:color w:val="000000"/>
          <w:sz w:val="28"/>
          <w:szCs w:val="28"/>
          <w:lang w:val="es-ES_tradnl"/>
        </w:rPr>
        <w:t xml:space="preserve"> </w:t>
      </w:r>
      <w:r w:rsidR="00F02E99" w:rsidRPr="0078289D">
        <w:rPr>
          <w:color w:val="000000"/>
          <w:sz w:val="28"/>
          <w:szCs w:val="28"/>
          <w:lang w:val="es-ES_tradnl"/>
        </w:rPr>
        <w:t>En esa medida, d</w:t>
      </w:r>
      <w:r w:rsidR="00F00D9E" w:rsidRPr="0078289D">
        <w:rPr>
          <w:color w:val="000000"/>
          <w:sz w:val="28"/>
          <w:szCs w:val="28"/>
          <w:lang w:val="es-ES_tradnl"/>
        </w:rPr>
        <w:t xml:space="preserve">icha función debe llevarse a cabo a partir de criterios ecológicos que comprendan la complejidad de las interacciones entre los elementos de un ecosistema y entre los distintos ecosistemas. De lo contrario, se </w:t>
      </w:r>
      <w:r w:rsidR="009260BF" w:rsidRPr="0078289D">
        <w:rPr>
          <w:color w:val="000000"/>
          <w:sz w:val="28"/>
          <w:szCs w:val="28"/>
          <w:lang w:val="es-ES_tradnl"/>
        </w:rPr>
        <w:t xml:space="preserve">desconocería </w:t>
      </w:r>
      <w:r w:rsidR="00F00D9E" w:rsidRPr="0078289D">
        <w:rPr>
          <w:color w:val="000000"/>
          <w:sz w:val="28"/>
          <w:szCs w:val="28"/>
          <w:lang w:val="es-ES_tradnl"/>
        </w:rPr>
        <w:t xml:space="preserve">el deber estatal de protección de ecosistemas estratégicos que, como se analizará a continuación, son indispensables para garantizar </w:t>
      </w:r>
      <w:r w:rsidR="00F02E99" w:rsidRPr="0078289D">
        <w:rPr>
          <w:color w:val="000000"/>
          <w:sz w:val="28"/>
          <w:szCs w:val="28"/>
          <w:lang w:val="es-ES_tradnl"/>
        </w:rPr>
        <w:t xml:space="preserve">no sólo la </w:t>
      </w:r>
      <w:r w:rsidR="00961BB2" w:rsidRPr="0078289D">
        <w:rPr>
          <w:color w:val="000000"/>
          <w:sz w:val="28"/>
          <w:szCs w:val="28"/>
          <w:lang w:val="es-ES_tradnl"/>
        </w:rPr>
        <w:t xml:space="preserve">desaceleración del cambio climático, la </w:t>
      </w:r>
      <w:r w:rsidR="00F02E99" w:rsidRPr="0078289D">
        <w:rPr>
          <w:color w:val="000000"/>
          <w:sz w:val="28"/>
          <w:szCs w:val="28"/>
          <w:lang w:val="es-ES_tradnl"/>
        </w:rPr>
        <w:t>biodiversidad y la riqueza de la nación,</w:t>
      </w:r>
      <w:r w:rsidR="00961BB2" w:rsidRPr="0078289D">
        <w:rPr>
          <w:color w:val="000000"/>
          <w:sz w:val="28"/>
          <w:szCs w:val="28"/>
          <w:lang w:val="es-ES_tradnl"/>
        </w:rPr>
        <w:t xml:space="preserve"> sino</w:t>
      </w:r>
      <w:r w:rsidR="00F02E99" w:rsidRPr="0078289D">
        <w:rPr>
          <w:color w:val="000000"/>
          <w:sz w:val="28"/>
          <w:szCs w:val="28"/>
          <w:lang w:val="es-ES_tradnl"/>
        </w:rPr>
        <w:t xml:space="preserve"> </w:t>
      </w:r>
      <w:r w:rsidR="00F00D9E" w:rsidRPr="0078289D">
        <w:rPr>
          <w:color w:val="000000"/>
          <w:sz w:val="28"/>
          <w:szCs w:val="28"/>
          <w:lang w:val="es-ES_tradnl"/>
        </w:rPr>
        <w:t xml:space="preserve">el derecho fundamental al agua </w:t>
      </w:r>
      <w:r w:rsidR="00961BB2" w:rsidRPr="0078289D">
        <w:rPr>
          <w:color w:val="000000"/>
          <w:sz w:val="28"/>
          <w:szCs w:val="28"/>
          <w:lang w:val="es-ES_tradnl"/>
        </w:rPr>
        <w:t>del 70% de los colombianos.</w:t>
      </w:r>
      <w:r w:rsidR="00F00D9E" w:rsidRPr="0078289D">
        <w:rPr>
          <w:color w:val="000000"/>
          <w:sz w:val="28"/>
          <w:szCs w:val="28"/>
          <w:lang w:val="es-ES_tradnl"/>
        </w:rPr>
        <w:t xml:space="preserv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bCs/>
          <w:i/>
          <w:color w:val="000000"/>
          <w:sz w:val="28"/>
          <w:szCs w:val="28"/>
          <w:lang w:val="es-ES_tradnl" w:eastAsia="es-ES"/>
        </w:rPr>
        <w:t xml:space="preserve">El </w:t>
      </w:r>
      <w:r w:rsidR="00E15EBE" w:rsidRPr="0078289D">
        <w:rPr>
          <w:b/>
          <w:bCs/>
          <w:i/>
          <w:color w:val="000000"/>
          <w:sz w:val="28"/>
          <w:szCs w:val="28"/>
          <w:lang w:val="es-ES_tradnl" w:eastAsia="es-ES"/>
        </w:rPr>
        <w:t>agua como derecho fundamental: reiteración de jurisprudencia</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E15EBE"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161. </w:t>
      </w:r>
      <w:r w:rsidR="007F3BDD" w:rsidRPr="0078289D">
        <w:rPr>
          <w:color w:val="000000"/>
          <w:sz w:val="28"/>
          <w:szCs w:val="28"/>
          <w:lang w:val="es-ES_tradnl"/>
        </w:rPr>
        <w:t xml:space="preserve">En atención a que uno de los argumentos por los cuales se solicita la declaratoria de inexequibilidad de la </w:t>
      </w:r>
      <w:r w:rsidR="003F556F" w:rsidRPr="0078289D">
        <w:rPr>
          <w:color w:val="000000"/>
          <w:sz w:val="28"/>
          <w:szCs w:val="28"/>
          <w:lang w:val="es-ES_tradnl"/>
        </w:rPr>
        <w:t>disposición</w:t>
      </w:r>
      <w:r w:rsidR="007F3BDD" w:rsidRPr="0078289D">
        <w:rPr>
          <w:color w:val="000000"/>
          <w:sz w:val="28"/>
          <w:szCs w:val="28"/>
          <w:lang w:val="es-ES_tradnl"/>
        </w:rPr>
        <w:t xml:space="preserve"> acusada es que se compromete el derecho fundamental al agua, a continuación se reiteraran los criterios jurisprudenciales que ha fijado la Corte en relación con este derecho fundamental.</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E15EBE"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162. </w:t>
      </w:r>
      <w:r w:rsidR="007F3BDD" w:rsidRPr="0078289D">
        <w:rPr>
          <w:color w:val="000000"/>
          <w:sz w:val="28"/>
          <w:szCs w:val="28"/>
          <w:lang w:val="es-ES_tradnl"/>
        </w:rPr>
        <w:t xml:space="preserve">Desde sus inicios, esta Corporación ha reconocido que el </w:t>
      </w:r>
      <w:r w:rsidR="00A43892" w:rsidRPr="0078289D">
        <w:rPr>
          <w:color w:val="000000"/>
          <w:sz w:val="28"/>
          <w:szCs w:val="28"/>
          <w:lang w:val="es-ES_tradnl"/>
        </w:rPr>
        <w:t xml:space="preserve">agua </w:t>
      </w:r>
      <w:r w:rsidR="007F3BDD" w:rsidRPr="0078289D">
        <w:rPr>
          <w:color w:val="000000"/>
          <w:sz w:val="28"/>
          <w:szCs w:val="28"/>
          <w:lang w:val="es-ES_tradnl"/>
        </w:rPr>
        <w:t xml:space="preserve">es </w:t>
      </w:r>
      <w:r w:rsidR="00A43892" w:rsidRPr="0078289D">
        <w:rPr>
          <w:color w:val="000000"/>
          <w:sz w:val="28"/>
          <w:szCs w:val="28"/>
          <w:lang w:val="es-ES_tradnl"/>
        </w:rPr>
        <w:t xml:space="preserve">un recurso </w:t>
      </w:r>
      <w:r w:rsidR="007F3BDD" w:rsidRPr="0078289D">
        <w:rPr>
          <w:color w:val="000000"/>
          <w:sz w:val="28"/>
          <w:szCs w:val="28"/>
          <w:lang w:val="es-ES_tradnl"/>
        </w:rPr>
        <w:t xml:space="preserve">vital para el </w:t>
      </w:r>
      <w:r w:rsidR="00A43892" w:rsidRPr="0078289D">
        <w:rPr>
          <w:color w:val="000000"/>
          <w:sz w:val="28"/>
          <w:szCs w:val="28"/>
          <w:lang w:val="es-ES_tradnl"/>
        </w:rPr>
        <w:t xml:space="preserve">ejercicio de derechos inherentes al </w:t>
      </w:r>
      <w:r w:rsidR="007F3BDD" w:rsidRPr="0078289D">
        <w:rPr>
          <w:color w:val="000000"/>
          <w:sz w:val="28"/>
          <w:szCs w:val="28"/>
          <w:lang w:val="es-ES_tradnl"/>
        </w:rPr>
        <w:t xml:space="preserve">ser humano y para </w:t>
      </w:r>
      <w:r w:rsidR="00A43892" w:rsidRPr="0078289D">
        <w:rPr>
          <w:color w:val="000000"/>
          <w:sz w:val="28"/>
          <w:szCs w:val="28"/>
          <w:lang w:val="es-ES_tradnl"/>
        </w:rPr>
        <w:t>la preservación d</w:t>
      </w:r>
      <w:r w:rsidR="007F3BDD" w:rsidRPr="0078289D">
        <w:rPr>
          <w:color w:val="000000"/>
          <w:sz w:val="28"/>
          <w:szCs w:val="28"/>
          <w:lang w:val="es-ES_tradnl"/>
        </w:rPr>
        <w:t>el ambiente. Así, ha establecido que (i) el agua en cualquiera de sus estados es un recurso natural insustituible para el mantenimiento de la salud y para asegurar la vida del ser humano</w:t>
      </w:r>
      <w:r w:rsidR="007F3BDD" w:rsidRPr="0078289D">
        <w:rPr>
          <w:rStyle w:val="Refdenotaalpie"/>
          <w:sz w:val="28"/>
          <w:szCs w:val="28"/>
          <w:lang w:val="es-ES_tradnl"/>
        </w:rPr>
        <w:footnoteReference w:id="136"/>
      </w:r>
      <w:r w:rsidR="007F3BDD" w:rsidRPr="0078289D">
        <w:rPr>
          <w:color w:val="000000"/>
          <w:sz w:val="28"/>
          <w:szCs w:val="28"/>
          <w:lang w:val="es-ES_tradnl"/>
        </w:rPr>
        <w:t>; (ii)</w:t>
      </w:r>
      <w:r w:rsidR="007F3BDD" w:rsidRPr="0078289D">
        <w:rPr>
          <w:sz w:val="28"/>
          <w:szCs w:val="28"/>
          <w:lang w:val="es-ES_tradnl"/>
        </w:rPr>
        <w:t xml:space="preserve"> </w:t>
      </w:r>
      <w:r w:rsidR="007F3BDD" w:rsidRPr="0078289D">
        <w:rPr>
          <w:color w:val="000000"/>
          <w:sz w:val="28"/>
          <w:szCs w:val="28"/>
          <w:lang w:val="es-ES_tradnl"/>
        </w:rPr>
        <w:t>el agua es patrimonio de la Nación, un bien de uso público y un derecho fundamental</w:t>
      </w:r>
      <w:r w:rsidR="007F3BDD" w:rsidRPr="0078289D">
        <w:rPr>
          <w:rStyle w:val="Refdenotaalpie"/>
          <w:sz w:val="28"/>
          <w:szCs w:val="28"/>
          <w:lang w:val="es-ES_tradnl"/>
        </w:rPr>
        <w:footnoteReference w:id="137"/>
      </w:r>
      <w:r w:rsidR="007F3BDD" w:rsidRPr="0078289D">
        <w:rPr>
          <w:color w:val="000000"/>
          <w:sz w:val="28"/>
          <w:szCs w:val="28"/>
          <w:lang w:val="es-ES_tradnl"/>
        </w:rPr>
        <w:t>; (iii) se trata de un elemento esencial del ambiente, y por ende su preservación, conservación, uso y manejo están vinculados con el derecho que tienen todas las personas a gozar de un ambiente sano</w:t>
      </w:r>
      <w:r w:rsidR="007F3BDD" w:rsidRPr="0078289D">
        <w:rPr>
          <w:rStyle w:val="Refdenotaalpie"/>
          <w:sz w:val="28"/>
          <w:szCs w:val="28"/>
          <w:lang w:val="es-ES_tradnl"/>
        </w:rPr>
        <w:footnoteReference w:id="138"/>
      </w:r>
      <w:r w:rsidR="007F3BDD" w:rsidRPr="0078289D">
        <w:rPr>
          <w:color w:val="000000"/>
          <w:sz w:val="28"/>
          <w:szCs w:val="28"/>
          <w:lang w:val="es-ES_tradnl"/>
        </w:rPr>
        <w:t>; (iv) el derecho al agua potable destinada al consumo humano es un derecho fundamental, en tanto su afectación lesiona gravemente los derechos fundamentales, entre otros, a la vida digna, la salud y el medio ambiente</w:t>
      </w:r>
      <w:r w:rsidR="007F3BDD" w:rsidRPr="0078289D">
        <w:rPr>
          <w:rStyle w:val="Refdenotaalpie"/>
          <w:sz w:val="28"/>
          <w:szCs w:val="28"/>
          <w:lang w:val="es-ES_tradnl"/>
        </w:rPr>
        <w:footnoteReference w:id="139"/>
      </w:r>
      <w:r w:rsidR="007F3BDD" w:rsidRPr="0078289D">
        <w:rPr>
          <w:color w:val="000000"/>
          <w:sz w:val="28"/>
          <w:szCs w:val="28"/>
          <w:lang w:val="es-ES_tradnl"/>
        </w:rPr>
        <w:t xml:space="preserve">. </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E15EBE"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163. </w:t>
      </w:r>
      <w:r w:rsidR="007F3BDD" w:rsidRPr="0078289D">
        <w:rPr>
          <w:color w:val="000000"/>
          <w:sz w:val="28"/>
          <w:szCs w:val="28"/>
          <w:lang w:val="es-ES_tradnl"/>
        </w:rPr>
        <w:t xml:space="preserve"> La Corte Constitucional ha indicado </w:t>
      </w:r>
      <w:r w:rsidR="0002193A" w:rsidRPr="0078289D">
        <w:rPr>
          <w:color w:val="000000"/>
          <w:sz w:val="28"/>
          <w:szCs w:val="28"/>
          <w:lang w:val="es-ES_tradnl"/>
        </w:rPr>
        <w:t xml:space="preserve">también, </w:t>
      </w:r>
      <w:r w:rsidR="007F3BDD" w:rsidRPr="0078289D">
        <w:rPr>
          <w:color w:val="000000"/>
          <w:sz w:val="28"/>
          <w:szCs w:val="28"/>
          <w:lang w:val="es-ES_tradnl"/>
        </w:rPr>
        <w:t xml:space="preserve">que </w:t>
      </w:r>
      <w:r w:rsidR="00205621" w:rsidRPr="0078289D">
        <w:rPr>
          <w:color w:val="000000"/>
          <w:sz w:val="28"/>
          <w:szCs w:val="28"/>
          <w:lang w:val="es-ES_tradnl"/>
        </w:rPr>
        <w:t>d</w:t>
      </w:r>
      <w:r w:rsidR="007F3BDD" w:rsidRPr="0078289D">
        <w:rPr>
          <w:color w:val="000000"/>
          <w:sz w:val="28"/>
          <w:szCs w:val="28"/>
          <w:lang w:val="es-ES_tradnl"/>
        </w:rPr>
        <w:t>el derecho al agua se derivan una seri</w:t>
      </w:r>
      <w:r w:rsidR="00205621" w:rsidRPr="0078289D">
        <w:rPr>
          <w:color w:val="000000"/>
          <w:sz w:val="28"/>
          <w:szCs w:val="28"/>
          <w:lang w:val="es-ES_tradnl"/>
        </w:rPr>
        <w:t>e de deberes correlativos</w:t>
      </w:r>
      <w:r w:rsidR="007F3BDD" w:rsidRPr="0078289D">
        <w:rPr>
          <w:color w:val="000000"/>
          <w:sz w:val="28"/>
          <w:szCs w:val="28"/>
          <w:lang w:val="es-ES_tradnl"/>
        </w:rPr>
        <w:t xml:space="preserve"> a cargo del Estado, dentro de los cuales se destacan: (i) garantizar la disponibilidad, accesibilidad y calidad de</w:t>
      </w:r>
      <w:r w:rsidR="00205621" w:rsidRPr="0078289D">
        <w:rPr>
          <w:color w:val="000000"/>
          <w:sz w:val="28"/>
          <w:szCs w:val="28"/>
          <w:lang w:val="es-ES_tradnl"/>
        </w:rPr>
        <w:t>l</w:t>
      </w:r>
      <w:r w:rsidR="007F3BDD" w:rsidRPr="0078289D">
        <w:rPr>
          <w:color w:val="000000"/>
          <w:sz w:val="28"/>
          <w:szCs w:val="28"/>
          <w:lang w:val="es-ES_tradnl"/>
        </w:rPr>
        <w:t xml:space="preserve"> recurso</w:t>
      </w:r>
      <w:r w:rsidR="007F3BDD" w:rsidRPr="0078289D">
        <w:rPr>
          <w:rStyle w:val="Refdenotaalpie"/>
          <w:sz w:val="28"/>
          <w:szCs w:val="28"/>
          <w:lang w:val="es-ES_tradnl"/>
        </w:rPr>
        <w:footnoteReference w:id="140"/>
      </w:r>
      <w:r w:rsidR="007F3BDD" w:rsidRPr="0078289D">
        <w:rPr>
          <w:color w:val="000000"/>
          <w:sz w:val="28"/>
          <w:szCs w:val="28"/>
          <w:lang w:val="es-ES_tradnl"/>
        </w:rPr>
        <w:t>; (ii) expedir leyes dirigidas a la realización de los derechos fundamentales al agua y a un ambiente sano en todos los órdenes (social, económico, político, cultural, etc.), no solamente en el contexto de controversias subjetivas que se sometan a la jurisdicción</w:t>
      </w:r>
      <w:r w:rsidR="007F3BDD" w:rsidRPr="0078289D">
        <w:rPr>
          <w:rStyle w:val="Refdenotaalpie"/>
          <w:sz w:val="28"/>
          <w:szCs w:val="28"/>
          <w:lang w:val="es-ES_tradnl"/>
        </w:rPr>
        <w:footnoteReference w:id="141"/>
      </w:r>
      <w:r w:rsidR="007F3BDD" w:rsidRPr="0078289D">
        <w:rPr>
          <w:color w:val="000000"/>
          <w:sz w:val="28"/>
          <w:szCs w:val="28"/>
          <w:lang w:val="es-ES_tradnl"/>
        </w:rPr>
        <w:t>; (iii) ejercer un control muy exigente sobre</w:t>
      </w:r>
      <w:r w:rsidR="007F3BDD" w:rsidRPr="0078289D">
        <w:rPr>
          <w:sz w:val="28"/>
          <w:szCs w:val="28"/>
          <w:lang w:val="es-ES_tradnl"/>
        </w:rPr>
        <w:t xml:space="preserve"> </w:t>
      </w:r>
      <w:r w:rsidR="007F3BDD" w:rsidRPr="0078289D">
        <w:rPr>
          <w:color w:val="000000"/>
          <w:sz w:val="28"/>
          <w:szCs w:val="28"/>
          <w:lang w:val="es-ES_tradnl"/>
        </w:rPr>
        <w:t>las actividades económicas que se desarrollan en sitios que por expresión natural son fuentes originales de agua</w:t>
      </w:r>
      <w:r w:rsidR="007F3BDD" w:rsidRPr="0078289D">
        <w:rPr>
          <w:rStyle w:val="Refdenotaalpie"/>
          <w:sz w:val="28"/>
          <w:szCs w:val="28"/>
          <w:lang w:val="es-ES_tradnl"/>
        </w:rPr>
        <w:footnoteReference w:id="142"/>
      </w:r>
      <w:r w:rsidR="007F3BDD" w:rsidRPr="0078289D">
        <w:rPr>
          <w:color w:val="000000"/>
          <w:sz w:val="28"/>
          <w:szCs w:val="28"/>
          <w:lang w:val="es-ES_tradnl"/>
        </w:rPr>
        <w:t>.</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A96DD1"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 xml:space="preserve">164. </w:t>
      </w:r>
      <w:r w:rsidR="007F3BDD" w:rsidRPr="0078289D">
        <w:rPr>
          <w:color w:val="000000"/>
          <w:sz w:val="28"/>
          <w:szCs w:val="28"/>
          <w:lang w:val="es-ES_tradnl"/>
        </w:rPr>
        <w:t>A partir de lo anterior, destaca la Sala que el derecho fundamental al agua se hace efectivo mediante el cumplimiento de las obligaciones del Estado de garantizar la disponibilidad, accesibilidad y calidad de recurso. Así mismo, para que el Estado pueda cumplir con dichas obligaciones, es necesario que se brinde protección especial a los ecosistemas que “producen” tal recurso como el páramo, pues como se dijo con anterioridad esta es una de las principales fuentes de abastecimiento de agua en el país, especialmente en las ciudades grandes y medianas.</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rPr>
      </w:pPr>
      <w:r w:rsidRPr="0078289D">
        <w:rPr>
          <w:color w:val="000000"/>
          <w:sz w:val="28"/>
          <w:szCs w:val="28"/>
          <w:lang w:val="es-ES_tradnl"/>
        </w:rPr>
        <w:t>Lo anterior resulta de mayor relevancia si tiene en cuenta que Colombia no tiene garantizado el suministro permanente y continuo del recurso hídrico para todos los municipios del país. Muestra de lo anterior son las temporadas en las que se presenta el Fenómeno Cálido del Pacifico (El Niño), en los que se presenta</w:t>
      </w:r>
      <w:r w:rsidR="00205621" w:rsidRPr="0078289D">
        <w:rPr>
          <w:color w:val="000000"/>
          <w:sz w:val="28"/>
          <w:szCs w:val="28"/>
          <w:lang w:val="es-ES_tradnl"/>
        </w:rPr>
        <w:t>n</w:t>
      </w:r>
      <w:r w:rsidRPr="0078289D">
        <w:rPr>
          <w:color w:val="000000"/>
          <w:sz w:val="28"/>
          <w:szCs w:val="28"/>
          <w:lang w:val="es-ES_tradnl"/>
        </w:rPr>
        <w:t xml:space="preserve"> sequias y desabastecimiento de </w:t>
      </w:r>
      <w:r w:rsidR="00D73DDC" w:rsidRPr="0078289D">
        <w:rPr>
          <w:color w:val="000000"/>
          <w:sz w:val="28"/>
          <w:szCs w:val="28"/>
          <w:lang w:val="es-ES_tradnl"/>
        </w:rPr>
        <w:t>a</w:t>
      </w:r>
      <w:r w:rsidRPr="0078289D">
        <w:rPr>
          <w:color w:val="000000"/>
          <w:sz w:val="28"/>
          <w:szCs w:val="28"/>
          <w:lang w:val="es-ES_tradnl"/>
        </w:rPr>
        <w:t>gua en distintas zonas del territorio nacional</w:t>
      </w:r>
      <w:r w:rsidRPr="0078289D">
        <w:rPr>
          <w:rStyle w:val="Refdenotaalpie"/>
          <w:sz w:val="28"/>
          <w:szCs w:val="28"/>
          <w:lang w:val="es-ES_tradnl"/>
        </w:rPr>
        <w:footnoteReference w:id="143"/>
      </w:r>
      <w:r w:rsidRPr="0078289D">
        <w:rPr>
          <w:color w:val="000000"/>
          <w:sz w:val="28"/>
          <w:szCs w:val="28"/>
          <w:lang w:val="es-ES_tradnl"/>
        </w:rPr>
        <w:t>.</w:t>
      </w:r>
    </w:p>
    <w:p w:rsidR="00C941A8" w:rsidRPr="0078289D" w:rsidRDefault="00C941A8" w:rsidP="0078289D">
      <w:pPr>
        <w:pStyle w:val="Listavistosa-nfasis11"/>
        <w:spacing w:line="240" w:lineRule="auto"/>
        <w:ind w:left="0"/>
        <w:jc w:val="both"/>
        <w:rPr>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Iniciativas Legislativas para la protección de los páramos</w:t>
      </w:r>
    </w:p>
    <w:p w:rsidR="007F3BDD" w:rsidRPr="0078289D" w:rsidRDefault="007F3BDD" w:rsidP="0078289D">
      <w:pPr>
        <w:pStyle w:val="Listavistosa-nfasis11"/>
        <w:spacing w:line="240" w:lineRule="auto"/>
        <w:ind w:left="0"/>
        <w:jc w:val="both"/>
        <w:rPr>
          <w:color w:val="000000"/>
          <w:sz w:val="28"/>
          <w:szCs w:val="28"/>
          <w:lang w:val="es-ES_tradnl"/>
        </w:rPr>
      </w:pPr>
    </w:p>
    <w:p w:rsidR="007F3BDD" w:rsidRPr="0078289D" w:rsidRDefault="00251CC7"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165. </w:t>
      </w:r>
      <w:r w:rsidR="007F3BDD" w:rsidRPr="0078289D">
        <w:rPr>
          <w:color w:val="000000"/>
          <w:sz w:val="28"/>
          <w:szCs w:val="28"/>
          <w:lang w:val="es-ES_tradnl" w:eastAsia="es-ES"/>
        </w:rPr>
        <w:t>En primer lugar, la Corte resalta que en la presente legislatura se están tramitando dos proyectos de ley en la Cámara de Representantes</w:t>
      </w:r>
      <w:r w:rsidR="007F3BDD" w:rsidRPr="0078289D">
        <w:rPr>
          <w:rStyle w:val="Refdenotaalpie"/>
          <w:sz w:val="28"/>
          <w:szCs w:val="28"/>
          <w:lang w:val="es-ES_tradnl"/>
        </w:rPr>
        <w:footnoteReference w:id="144"/>
      </w:r>
      <w:r w:rsidR="007F3BDD" w:rsidRPr="0078289D">
        <w:rPr>
          <w:color w:val="000000"/>
          <w:sz w:val="28"/>
          <w:szCs w:val="28"/>
          <w:lang w:val="es-ES_tradnl" w:eastAsia="es-ES"/>
        </w:rPr>
        <w:t xml:space="preserve"> y en el Senado</w:t>
      </w:r>
      <w:r w:rsidR="007F3BDD" w:rsidRPr="0078289D">
        <w:rPr>
          <w:rStyle w:val="Refdenotaalpie"/>
          <w:sz w:val="28"/>
          <w:szCs w:val="28"/>
          <w:lang w:val="es-ES_tradnl"/>
        </w:rPr>
        <w:footnoteReference w:id="145"/>
      </w:r>
      <w:r w:rsidR="007F3BDD" w:rsidRPr="0078289D">
        <w:rPr>
          <w:color w:val="000000"/>
          <w:sz w:val="28"/>
          <w:szCs w:val="28"/>
          <w:lang w:val="es-ES_tradnl" w:eastAsia="es-ES"/>
        </w:rPr>
        <w:t xml:space="preserve"> con miras a establecer un marco general de protección de los ecosistemas de páramo.</w:t>
      </w:r>
    </w:p>
    <w:p w:rsidR="007F3BDD" w:rsidRPr="0078289D" w:rsidRDefault="007F3BDD" w:rsidP="0078289D">
      <w:pPr>
        <w:pStyle w:val="Listavistosa-nfasis11"/>
        <w:spacing w:line="240" w:lineRule="auto"/>
        <w:ind w:left="0"/>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En ponencia para segundo debate ante la Plenaria del Senado de la República, del Proyecto de Ley número 45 de 2014 (Senado), el órgano legislativo recoció que </w:t>
      </w:r>
      <w:r w:rsidRPr="0078289D">
        <w:rPr>
          <w:i/>
          <w:color w:val="000000"/>
          <w:sz w:val="28"/>
          <w:szCs w:val="28"/>
          <w:lang w:val="es-ES_tradnl" w:eastAsia="es-ES"/>
        </w:rPr>
        <w:t>“[l]os páramos deben protegerse permanentemente, en la medida que no se encuentran aislados y se vinculan con otros sistemas que ya presentan serias afectaciones en los niveles de deshielo y pérdida de cobertura vegetal y masa glaciar. Los páramos se encuentran íntimamente ligados con los glaciares, sobre los cuales autoridades en el tema han advertido que en aproximadamente 30 años sobrevendría la inexistencia de nevados en el país, si las condiciones actuales persisten. En ese sentido, el Ideam ha manifestado que mientras en 1850 Colombia poseía 17 masas glaciares actualmente solo perviven 6, pasando de un área de 374 km2 a 45.3 km2 y que este fenómeno se ha acelerado en los últimos 30 años”</w:t>
      </w:r>
      <w:r w:rsidRPr="0078289D">
        <w:rPr>
          <w:color w:val="000000"/>
          <w:sz w:val="28"/>
          <w:szCs w:val="28"/>
          <w:lang w:val="es-ES_tradnl" w:eastAsia="es-ES"/>
        </w:rPr>
        <w:t>.</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A su turno, en la ponencia para primer debate al Proyecto de Ley número 106 de 2015 (Cámara), se resaltó </w:t>
      </w:r>
      <w:r w:rsidRPr="0078289D">
        <w:rPr>
          <w:i/>
          <w:color w:val="000000"/>
          <w:sz w:val="28"/>
          <w:szCs w:val="28"/>
          <w:lang w:val="es-ES_tradnl" w:eastAsia="es-ES"/>
        </w:rPr>
        <w:t>“(…) la importancia de contar con un instrumento normativo que permita dar un mayor rigor jurídico y técnico a la conservación y protección de los complejos de páramos y los ecosistemas de páramos en Colombia. Dicho proyecto debe estar acorde con las condiciones ambientales y socioeconómicas actuales de estas zonas, reiterando su calidad de ecosistemas estratégicos, como parte integrante del Sistema Nacional de Áreas Protegidas. Para ello debe definir de forma clara las fuentes de financiación para su implementación y aplicación. De igual modo se debe establecer la participación y concurso obligatorio y prioritario de las diferentes autoridades administrativas en los diferentes órdenes, no sólo en el proceso de declaratoria, sino en la ejecución de los respectivos planes de manejo ambiental (…)”</w:t>
      </w:r>
      <w:r w:rsidRPr="0078289D">
        <w:rPr>
          <w:color w:val="000000"/>
          <w:sz w:val="28"/>
          <w:szCs w:val="28"/>
          <w:lang w:val="es-ES_tradnl" w:eastAsia="es-ES"/>
        </w:rPr>
        <w:t>.</w:t>
      </w:r>
    </w:p>
    <w:p w:rsidR="007F3BDD" w:rsidRPr="0078289D" w:rsidRDefault="007F3BDD" w:rsidP="0078289D">
      <w:pPr>
        <w:pStyle w:val="Listavistosa-nfasis11"/>
        <w:spacing w:line="240" w:lineRule="auto"/>
        <w:ind w:left="0"/>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No obstante lo anterior, ésta no es la primera vez que se </w:t>
      </w:r>
      <w:r w:rsidR="00DC15FF" w:rsidRPr="0078289D">
        <w:rPr>
          <w:color w:val="000000"/>
          <w:sz w:val="28"/>
          <w:szCs w:val="28"/>
          <w:lang w:val="es-ES_tradnl" w:eastAsia="es-ES"/>
        </w:rPr>
        <w:t xml:space="preserve">ha </w:t>
      </w:r>
      <w:r w:rsidRPr="0078289D">
        <w:rPr>
          <w:color w:val="000000"/>
          <w:sz w:val="28"/>
          <w:szCs w:val="28"/>
          <w:lang w:val="es-ES_tradnl" w:eastAsia="es-ES"/>
        </w:rPr>
        <w:t xml:space="preserve">tratado de crear una norma exclusiva para la protección de los páramos. En efecto, en la última década ha habido varios intentos por expedir una ley </w:t>
      </w:r>
      <w:r w:rsidR="00DC15FF" w:rsidRPr="0078289D">
        <w:rPr>
          <w:color w:val="000000"/>
          <w:sz w:val="28"/>
          <w:szCs w:val="28"/>
          <w:lang w:val="es-ES_tradnl" w:eastAsia="es-ES"/>
        </w:rPr>
        <w:t xml:space="preserve">que cree </w:t>
      </w:r>
      <w:r w:rsidRPr="0078289D">
        <w:rPr>
          <w:color w:val="000000"/>
          <w:sz w:val="28"/>
          <w:szCs w:val="28"/>
          <w:lang w:val="es-ES_tradnl" w:eastAsia="es-ES"/>
        </w:rPr>
        <w:t xml:space="preserve">medidas de protección en los páramos, pero estos han sido infructuosos y </w:t>
      </w:r>
      <w:r w:rsidR="00DC15FF" w:rsidRPr="0078289D">
        <w:rPr>
          <w:color w:val="000000"/>
          <w:sz w:val="28"/>
          <w:szCs w:val="28"/>
          <w:lang w:val="es-ES_tradnl" w:eastAsia="es-ES"/>
        </w:rPr>
        <w:t xml:space="preserve">todos </w:t>
      </w:r>
      <w:r w:rsidRPr="0078289D">
        <w:rPr>
          <w:color w:val="000000"/>
          <w:sz w:val="28"/>
          <w:szCs w:val="28"/>
          <w:lang w:val="es-ES_tradnl" w:eastAsia="es-ES"/>
        </w:rPr>
        <w:t>los proyectos han sido archivados</w:t>
      </w:r>
      <w:r w:rsidRPr="0078289D">
        <w:rPr>
          <w:rStyle w:val="Refdenotaalpie"/>
          <w:sz w:val="28"/>
          <w:szCs w:val="28"/>
          <w:lang w:val="es-ES_tradnl"/>
        </w:rPr>
        <w:footnoteReference w:id="146"/>
      </w:r>
      <w:r w:rsidRPr="0078289D">
        <w:rPr>
          <w:color w:val="000000"/>
          <w:sz w:val="28"/>
          <w:szCs w:val="28"/>
          <w:lang w:val="es-ES_tradnl" w:eastAsia="es-ES"/>
        </w:rPr>
        <w:t>.</w:t>
      </w:r>
    </w:p>
    <w:p w:rsidR="007F3BDD" w:rsidRPr="0078289D" w:rsidRDefault="007F3BDD" w:rsidP="0078289D">
      <w:pPr>
        <w:pStyle w:val="Listavistosa-nfasis11"/>
        <w:spacing w:line="240" w:lineRule="auto"/>
        <w:ind w:left="0"/>
        <w:jc w:val="both"/>
        <w:rPr>
          <w:b/>
          <w:color w:val="000000"/>
          <w:sz w:val="28"/>
          <w:szCs w:val="28"/>
          <w:lang w:val="es-ES_tradnl"/>
        </w:rPr>
      </w:pPr>
    </w:p>
    <w:p w:rsidR="007F3BDD" w:rsidRPr="0078289D" w:rsidRDefault="007F3BDD" w:rsidP="0078289D">
      <w:pPr>
        <w:pStyle w:val="Listavistosa-nfasis11"/>
        <w:spacing w:line="240" w:lineRule="auto"/>
        <w:ind w:left="0"/>
        <w:jc w:val="both"/>
        <w:rPr>
          <w:b/>
          <w:i/>
          <w:color w:val="000000"/>
          <w:sz w:val="28"/>
          <w:szCs w:val="28"/>
          <w:lang w:val="es-ES_tradnl"/>
        </w:rPr>
      </w:pPr>
      <w:r w:rsidRPr="0078289D">
        <w:rPr>
          <w:b/>
          <w:i/>
          <w:color w:val="000000"/>
          <w:sz w:val="28"/>
          <w:szCs w:val="28"/>
          <w:lang w:val="es-ES_tradnl"/>
        </w:rPr>
        <w:t xml:space="preserve">Déficit de protección </w:t>
      </w:r>
      <w:r w:rsidR="00251CC7" w:rsidRPr="0078289D">
        <w:rPr>
          <w:b/>
          <w:i/>
          <w:color w:val="000000"/>
          <w:sz w:val="28"/>
          <w:szCs w:val="28"/>
          <w:lang w:val="es-ES_tradnl"/>
        </w:rPr>
        <w:t xml:space="preserve">jurídica </w:t>
      </w:r>
      <w:r w:rsidRPr="0078289D">
        <w:rPr>
          <w:b/>
          <w:i/>
          <w:color w:val="000000"/>
          <w:sz w:val="28"/>
          <w:szCs w:val="28"/>
          <w:lang w:val="es-ES_tradnl"/>
        </w:rPr>
        <w:t>de los ecosistemas de páramo</w:t>
      </w:r>
    </w:p>
    <w:p w:rsidR="00251CC7" w:rsidRPr="0078289D" w:rsidRDefault="00251CC7" w:rsidP="0078289D">
      <w:pPr>
        <w:pStyle w:val="Listavistosa-nfasis11"/>
        <w:tabs>
          <w:tab w:val="left" w:pos="426"/>
        </w:tabs>
        <w:spacing w:line="240" w:lineRule="auto"/>
        <w:ind w:left="0"/>
        <w:jc w:val="both"/>
        <w:rPr>
          <w:b/>
          <w:color w:val="000000"/>
          <w:sz w:val="28"/>
          <w:szCs w:val="28"/>
          <w:lang w:val="es-ES_tradnl"/>
        </w:rPr>
      </w:pPr>
    </w:p>
    <w:p w:rsidR="007F3BDD" w:rsidRPr="0078289D" w:rsidRDefault="00251CC7"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rPr>
        <w:t xml:space="preserve">166. </w:t>
      </w:r>
      <w:r w:rsidR="007F3BDD" w:rsidRPr="0078289D">
        <w:rPr>
          <w:color w:val="000000"/>
          <w:sz w:val="28"/>
          <w:szCs w:val="28"/>
          <w:lang w:val="es-ES_tradnl" w:eastAsia="es-ES"/>
        </w:rPr>
        <w:t>Con base en las</w:t>
      </w:r>
      <w:r w:rsidR="00B46AB1" w:rsidRPr="0078289D">
        <w:rPr>
          <w:color w:val="000000"/>
          <w:sz w:val="28"/>
          <w:szCs w:val="28"/>
          <w:lang w:val="es-ES_tradnl" w:eastAsia="es-ES"/>
        </w:rPr>
        <w:t xml:space="preserve"> consideraciones precedentes resulta claro </w:t>
      </w:r>
      <w:r w:rsidR="007F3BDD" w:rsidRPr="0078289D">
        <w:rPr>
          <w:color w:val="000000"/>
          <w:sz w:val="28"/>
          <w:szCs w:val="28"/>
          <w:lang w:val="es-ES_tradnl" w:eastAsia="es-ES"/>
        </w:rPr>
        <w:t xml:space="preserve">que </w:t>
      </w:r>
      <w:r w:rsidR="00B46AB1" w:rsidRPr="0078289D">
        <w:rPr>
          <w:color w:val="000000"/>
          <w:sz w:val="28"/>
          <w:szCs w:val="28"/>
          <w:lang w:val="es-ES_tradnl" w:eastAsia="es-ES"/>
        </w:rPr>
        <w:t xml:space="preserve">hoy en día </w:t>
      </w:r>
      <w:r w:rsidR="007F3BDD" w:rsidRPr="0078289D">
        <w:rPr>
          <w:color w:val="000000"/>
          <w:sz w:val="28"/>
          <w:szCs w:val="28"/>
          <w:lang w:val="es-ES_tradnl" w:eastAsia="es-ES"/>
        </w:rPr>
        <w:t xml:space="preserve">los páramos como ecosistema no son una categoría </w:t>
      </w:r>
      <w:r w:rsidR="00C941A8" w:rsidRPr="0078289D">
        <w:rPr>
          <w:color w:val="000000"/>
          <w:sz w:val="28"/>
          <w:szCs w:val="28"/>
          <w:lang w:val="es-ES_tradnl" w:eastAsia="es-ES"/>
        </w:rPr>
        <w:t xml:space="preserve">objeto </w:t>
      </w:r>
      <w:r w:rsidR="007F3BDD" w:rsidRPr="0078289D">
        <w:rPr>
          <w:color w:val="000000"/>
          <w:sz w:val="28"/>
          <w:szCs w:val="28"/>
          <w:lang w:val="es-ES_tradnl" w:eastAsia="es-ES"/>
        </w:rPr>
        <w:t>de protección</w:t>
      </w:r>
      <w:r w:rsidR="00C941A8" w:rsidRPr="0078289D">
        <w:rPr>
          <w:color w:val="000000"/>
          <w:sz w:val="28"/>
          <w:szCs w:val="28"/>
          <w:lang w:val="es-ES_tradnl" w:eastAsia="es-ES"/>
        </w:rPr>
        <w:t xml:space="preserve"> especial</w:t>
      </w:r>
      <w:r w:rsidR="007F3BDD" w:rsidRPr="0078289D">
        <w:rPr>
          <w:color w:val="000000"/>
          <w:sz w:val="28"/>
          <w:szCs w:val="28"/>
          <w:lang w:val="es-ES_tradnl" w:eastAsia="es-ES"/>
        </w:rPr>
        <w:t xml:space="preserve">, ni tienen usos definidos, ni una autoridad </w:t>
      </w:r>
      <w:r w:rsidR="00F65D4D" w:rsidRPr="0078289D">
        <w:rPr>
          <w:color w:val="000000"/>
          <w:sz w:val="28"/>
          <w:szCs w:val="28"/>
          <w:lang w:val="es-ES_tradnl" w:eastAsia="es-ES"/>
        </w:rPr>
        <w:t>encargada de manera especí</w:t>
      </w:r>
      <w:r w:rsidR="006D4F38" w:rsidRPr="0078289D">
        <w:rPr>
          <w:color w:val="000000"/>
          <w:sz w:val="28"/>
          <w:szCs w:val="28"/>
          <w:lang w:val="es-ES_tradnl" w:eastAsia="es-ES"/>
        </w:rPr>
        <w:t xml:space="preserve">fica </w:t>
      </w:r>
      <w:r w:rsidR="007F3BDD" w:rsidRPr="0078289D">
        <w:rPr>
          <w:color w:val="000000"/>
          <w:sz w:val="28"/>
          <w:szCs w:val="28"/>
          <w:lang w:val="es-ES_tradnl" w:eastAsia="es-ES"/>
        </w:rPr>
        <w:t xml:space="preserve">para su administración, manejo y control. A pesar de que ha habido intentos por crear normas para proteger los páramos, lo cierto es que existe un déficit normativo y regulatorio para cumplir con el deber constitucional de proteger las áreas de especial importancia ecológica, en este caso, los ecosistemas de páramo. </w:t>
      </w:r>
    </w:p>
    <w:p w:rsidR="007F3BDD" w:rsidRPr="0078289D" w:rsidRDefault="007F3BDD" w:rsidP="0078289D">
      <w:pPr>
        <w:pStyle w:val="Prrafodelista"/>
        <w:pBdr>
          <w:top w:val="none" w:sz="0" w:space="0" w:color="auto"/>
          <w:left w:val="none" w:sz="0" w:space="0" w:color="auto"/>
          <w:bottom w:val="none" w:sz="0" w:space="0" w:color="auto"/>
          <w:right w:val="none" w:sz="0" w:space="0" w:color="auto"/>
        </w:pBdr>
        <w:ind w:left="0"/>
        <w:rPr>
          <w:rFonts w:hAnsi="Times New Roman" w:cs="Times New Roman"/>
          <w:sz w:val="28"/>
          <w:szCs w:val="28"/>
        </w:rPr>
      </w:pPr>
    </w:p>
    <w:p w:rsidR="007F3BDD" w:rsidRPr="0078289D" w:rsidRDefault="00251CC7"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167. Adicionalmente</w:t>
      </w:r>
      <w:r w:rsidR="00F65D4D" w:rsidRPr="0078289D">
        <w:rPr>
          <w:color w:val="000000"/>
          <w:sz w:val="28"/>
          <w:szCs w:val="28"/>
          <w:lang w:val="es-ES_tradnl" w:eastAsia="es-ES"/>
        </w:rPr>
        <w:t>, el déficit de protección no só</w:t>
      </w:r>
      <w:r w:rsidR="007F3BDD" w:rsidRPr="0078289D">
        <w:rPr>
          <w:color w:val="000000"/>
          <w:sz w:val="28"/>
          <w:szCs w:val="28"/>
          <w:lang w:val="es-ES_tradnl" w:eastAsia="es-ES"/>
        </w:rPr>
        <w:t>lo vulnera el derecho al ambiente sano, sino que también compromete el derecho fundamental al agua debido a que se desconoce la obligación del Estado de proteger las áreas de influencia de nacimientos</w:t>
      </w:r>
      <w:r w:rsidR="00506CBC" w:rsidRPr="0078289D">
        <w:rPr>
          <w:color w:val="000000"/>
          <w:sz w:val="28"/>
          <w:szCs w:val="28"/>
          <w:lang w:val="es-ES_tradnl" w:eastAsia="es-ES"/>
        </w:rPr>
        <w:t>,</w:t>
      </w:r>
      <w:r w:rsidR="007F3BDD" w:rsidRPr="0078289D">
        <w:rPr>
          <w:color w:val="000000"/>
          <w:sz w:val="28"/>
          <w:szCs w:val="28"/>
          <w:lang w:val="es-ES_tradnl" w:eastAsia="es-ES"/>
        </w:rPr>
        <w:t xml:space="preserve"> acuíferos y de estrellas fluviales.</w:t>
      </w:r>
    </w:p>
    <w:p w:rsidR="007F3BDD" w:rsidRPr="0078289D" w:rsidRDefault="007F3BDD" w:rsidP="0078289D">
      <w:pPr>
        <w:pStyle w:val="Listavistosa-nfasis11"/>
        <w:spacing w:line="240" w:lineRule="auto"/>
        <w:ind w:left="0"/>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Así mismo, esta Corporación </w:t>
      </w:r>
      <w:r w:rsidR="001438D9" w:rsidRPr="0078289D">
        <w:rPr>
          <w:color w:val="000000"/>
          <w:sz w:val="28"/>
          <w:szCs w:val="28"/>
          <w:lang w:val="es-ES_tradnl" w:eastAsia="es-ES"/>
        </w:rPr>
        <w:t>encuentra</w:t>
      </w:r>
      <w:r w:rsidRPr="0078289D">
        <w:rPr>
          <w:color w:val="000000"/>
          <w:sz w:val="28"/>
          <w:szCs w:val="28"/>
          <w:lang w:val="es-ES_tradnl" w:eastAsia="es-ES"/>
        </w:rPr>
        <w:t xml:space="preserve"> que otra de las falencias en la protección de los ecosistemas de páramo es que la prohibición de desarrollar actividades agropecuarias, así como de exploración o explotación de recursos naturales no renovables, se restringe al área delimitada por el Ministerio de Am</w:t>
      </w:r>
      <w:r w:rsidR="00174D5D" w:rsidRPr="0078289D">
        <w:rPr>
          <w:color w:val="000000"/>
          <w:sz w:val="28"/>
          <w:szCs w:val="28"/>
          <w:lang w:val="es-ES_tradnl" w:eastAsia="es-ES"/>
        </w:rPr>
        <w:t xml:space="preserve">biente y Desarrollo Sostenible, sin que exista un criterio que limite la potestad que tiene dicha cartera para apartarse de los parámetros científicos que le entrega el </w:t>
      </w:r>
      <w:r w:rsidR="00A04F4A" w:rsidRPr="0078289D">
        <w:rPr>
          <w:color w:val="000000"/>
          <w:sz w:val="28"/>
          <w:szCs w:val="28"/>
          <w:lang w:val="es-ES_tradnl" w:eastAsia="es-ES"/>
        </w:rPr>
        <w:t>IAvH,</w:t>
      </w:r>
      <w:r w:rsidR="001B6916" w:rsidRPr="0078289D">
        <w:rPr>
          <w:color w:val="000000"/>
          <w:sz w:val="28"/>
          <w:szCs w:val="28"/>
          <w:lang w:val="es-ES_tradnl" w:eastAsia="es-ES"/>
        </w:rPr>
        <w:t xml:space="preserve"> que la obligue a dar argumentos científicos cuando se desvía de estos parámetros</w:t>
      </w:r>
      <w:r w:rsidR="00A04F4A" w:rsidRPr="0078289D">
        <w:rPr>
          <w:color w:val="000000"/>
          <w:sz w:val="28"/>
          <w:szCs w:val="28"/>
          <w:lang w:val="es-ES_tradnl" w:eastAsia="es-ES"/>
        </w:rPr>
        <w:t>, y en general, que obligue al Ministerio de Ambiente y Desarrollo Sostenible a cumplir su obligación constitucional de proteger los ecosistemas de páramo</w:t>
      </w:r>
      <w:r w:rsidR="001B6916" w:rsidRPr="0078289D">
        <w:rPr>
          <w:color w:val="000000"/>
          <w:sz w:val="28"/>
          <w:szCs w:val="28"/>
          <w:lang w:val="es-ES_tradnl" w:eastAsia="es-ES"/>
        </w:rPr>
        <w:t xml:space="preserve">. </w:t>
      </w:r>
    </w:p>
    <w:p w:rsidR="007F3BDD" w:rsidRPr="0078289D" w:rsidRDefault="007F3BDD" w:rsidP="0078289D">
      <w:pPr>
        <w:pStyle w:val="Listavistosa-nfasis11"/>
        <w:spacing w:line="240" w:lineRule="auto"/>
        <w:ind w:left="0"/>
        <w:jc w:val="both"/>
        <w:rPr>
          <w:color w:val="000000"/>
          <w:sz w:val="28"/>
          <w:szCs w:val="28"/>
          <w:lang w:val="es-ES_tradnl" w:eastAsia="es-ES"/>
        </w:rPr>
      </w:pPr>
    </w:p>
    <w:p w:rsidR="007F3BDD" w:rsidRPr="0078289D" w:rsidRDefault="00F71352"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El resultado, entonces, es que </w:t>
      </w:r>
      <w:r w:rsidR="00E23439" w:rsidRPr="0078289D">
        <w:rPr>
          <w:color w:val="000000"/>
          <w:sz w:val="28"/>
          <w:szCs w:val="28"/>
          <w:lang w:val="es-ES_tradnl" w:eastAsia="es-ES"/>
        </w:rPr>
        <w:t xml:space="preserve">en la actualidad </w:t>
      </w:r>
      <w:r w:rsidRPr="0078289D">
        <w:rPr>
          <w:color w:val="000000"/>
          <w:sz w:val="28"/>
          <w:szCs w:val="28"/>
          <w:lang w:val="es-ES_tradnl" w:eastAsia="es-ES"/>
        </w:rPr>
        <w:t xml:space="preserve">no existe una garantía </w:t>
      </w:r>
      <w:r w:rsidR="00E23439" w:rsidRPr="0078289D">
        <w:rPr>
          <w:color w:val="000000"/>
          <w:sz w:val="28"/>
          <w:szCs w:val="28"/>
          <w:lang w:val="es-ES_tradnl" w:eastAsia="es-ES"/>
        </w:rPr>
        <w:t xml:space="preserve">de que los ecosistemas de paramos están siendo protegidos de manera efectiva. Más aun, </w:t>
      </w:r>
      <w:r w:rsidR="00782352" w:rsidRPr="0078289D">
        <w:rPr>
          <w:color w:val="000000"/>
          <w:sz w:val="28"/>
          <w:szCs w:val="28"/>
          <w:lang w:val="es-ES_tradnl" w:eastAsia="es-ES"/>
        </w:rPr>
        <w:t xml:space="preserve">en la medida en que el </w:t>
      </w:r>
      <w:r w:rsidR="001438D9" w:rsidRPr="0078289D">
        <w:rPr>
          <w:color w:val="000000"/>
          <w:sz w:val="28"/>
          <w:szCs w:val="28"/>
          <w:lang w:val="es-ES_tradnl" w:eastAsia="es-ES"/>
        </w:rPr>
        <w:t>M</w:t>
      </w:r>
      <w:r w:rsidR="00782352" w:rsidRPr="0078289D">
        <w:rPr>
          <w:color w:val="000000"/>
          <w:sz w:val="28"/>
          <w:szCs w:val="28"/>
          <w:lang w:val="es-ES_tradnl" w:eastAsia="es-ES"/>
        </w:rPr>
        <w:t xml:space="preserve">inisterio de Ambiente puede separarse de los criterios del IAvH sin necesidad de dar las razones para ello, </w:t>
      </w:r>
      <w:r w:rsidR="00DA6AFF" w:rsidRPr="0078289D">
        <w:rPr>
          <w:color w:val="000000"/>
          <w:sz w:val="28"/>
          <w:szCs w:val="28"/>
          <w:lang w:val="es-ES_tradnl" w:eastAsia="es-ES"/>
        </w:rPr>
        <w:t xml:space="preserve">o </w:t>
      </w:r>
      <w:r w:rsidR="004B36A0" w:rsidRPr="0078289D">
        <w:rPr>
          <w:color w:val="000000"/>
          <w:sz w:val="28"/>
          <w:szCs w:val="28"/>
          <w:lang w:val="es-ES_tradnl" w:eastAsia="es-ES"/>
        </w:rPr>
        <w:t>in</w:t>
      </w:r>
      <w:r w:rsidR="00DA6AFF" w:rsidRPr="0078289D">
        <w:rPr>
          <w:color w:val="000000"/>
          <w:sz w:val="28"/>
          <w:szCs w:val="28"/>
          <w:lang w:val="es-ES_tradnl" w:eastAsia="es-ES"/>
        </w:rPr>
        <w:t xml:space="preserve">cumplir su obligación de delimitación, </w:t>
      </w:r>
      <w:r w:rsidR="00E23439" w:rsidRPr="0078289D">
        <w:rPr>
          <w:color w:val="000000"/>
          <w:sz w:val="28"/>
          <w:szCs w:val="28"/>
          <w:lang w:val="es-ES_tradnl" w:eastAsia="es-ES"/>
        </w:rPr>
        <w:t xml:space="preserve">los </w:t>
      </w:r>
      <w:r w:rsidR="00782352" w:rsidRPr="0078289D">
        <w:rPr>
          <w:color w:val="000000"/>
          <w:sz w:val="28"/>
          <w:szCs w:val="28"/>
          <w:lang w:val="es-ES_tradnl" w:eastAsia="es-ES"/>
        </w:rPr>
        <w:t>ciudadanos</w:t>
      </w:r>
      <w:r w:rsidR="00E23439" w:rsidRPr="0078289D">
        <w:rPr>
          <w:color w:val="000000"/>
          <w:sz w:val="28"/>
          <w:szCs w:val="28"/>
          <w:lang w:val="es-ES_tradnl" w:eastAsia="es-ES"/>
        </w:rPr>
        <w:t xml:space="preserve"> interesados en la protección de estos ecosistemas no podrían </w:t>
      </w:r>
      <w:r w:rsidR="001E1A0C" w:rsidRPr="0078289D">
        <w:rPr>
          <w:color w:val="000000"/>
          <w:sz w:val="28"/>
          <w:szCs w:val="28"/>
          <w:lang w:val="es-ES_tradnl" w:eastAsia="es-ES"/>
        </w:rPr>
        <w:t xml:space="preserve">actuar administrativa ni judicialmente para promover su protección. De tal manera, se </w:t>
      </w:r>
      <w:r w:rsidR="001438D9" w:rsidRPr="0078289D">
        <w:rPr>
          <w:color w:val="000000"/>
          <w:sz w:val="28"/>
          <w:szCs w:val="28"/>
          <w:lang w:val="es-ES_tradnl" w:eastAsia="es-ES"/>
        </w:rPr>
        <w:t xml:space="preserve">impide </w:t>
      </w:r>
      <w:r w:rsidR="001E1A0C" w:rsidRPr="0078289D">
        <w:rPr>
          <w:color w:val="000000"/>
          <w:sz w:val="28"/>
          <w:szCs w:val="28"/>
          <w:lang w:val="es-ES_tradnl" w:eastAsia="es-ES"/>
        </w:rPr>
        <w:t xml:space="preserve">que los ciudadanos protejan de manera efectiva </w:t>
      </w:r>
      <w:r w:rsidR="00C10418" w:rsidRPr="0078289D">
        <w:rPr>
          <w:color w:val="000000"/>
          <w:sz w:val="28"/>
          <w:szCs w:val="28"/>
          <w:lang w:val="es-ES_tradnl" w:eastAsia="es-ES"/>
        </w:rPr>
        <w:t xml:space="preserve">los derechos colectivos y los derechos fundamentales que dependen de ellos.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Por lo anterior, es posible concluir que la delimitación de los páramos no obedece a una ponderación acorde con el sistema de valores de nuestra Constitución, toda vez que la efectividad del deber de proteger las áreas de especial importancia se desvirtúa si las medidas de protección tienen un alcance parcial.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8A2AF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rPr>
        <w:t xml:space="preserve">168. </w:t>
      </w:r>
      <w:r w:rsidR="007F3BDD" w:rsidRPr="0078289D">
        <w:rPr>
          <w:color w:val="000000"/>
          <w:sz w:val="28"/>
          <w:szCs w:val="28"/>
          <w:lang w:val="es-ES_tradnl"/>
        </w:rPr>
        <w:t>Adicionalmente, la norma atacada establece que el Ministerio de Ambiente y Desarrollo Sostenible debe definir unas directrices que las autoridades mineras, de hidrocarburos y ambientales deben aplicar</w:t>
      </w:r>
      <w:r w:rsidR="00C10418" w:rsidRPr="0078289D">
        <w:rPr>
          <w:color w:val="000000"/>
          <w:sz w:val="28"/>
          <w:szCs w:val="28"/>
          <w:lang w:val="es-ES_tradnl"/>
        </w:rPr>
        <w:t>,</w:t>
      </w:r>
      <w:r w:rsidR="007F3BDD" w:rsidRPr="0078289D">
        <w:rPr>
          <w:color w:val="000000"/>
          <w:sz w:val="28"/>
          <w:szCs w:val="28"/>
          <w:lang w:val="es-ES_tradnl"/>
        </w:rPr>
        <w:t xml:space="preserve"> para efectos de realizar el control, seguimiento y revisión de las actividades minera</w:t>
      </w:r>
      <w:r w:rsidR="00C10418" w:rsidRPr="0078289D">
        <w:rPr>
          <w:color w:val="000000"/>
          <w:sz w:val="28"/>
          <w:szCs w:val="28"/>
          <w:lang w:val="es-ES_tradnl"/>
        </w:rPr>
        <w:t>s</w:t>
      </w:r>
      <w:r w:rsidR="007F3BDD" w:rsidRPr="0078289D">
        <w:rPr>
          <w:color w:val="000000"/>
          <w:sz w:val="28"/>
          <w:szCs w:val="28"/>
          <w:lang w:val="es-ES_tradnl"/>
        </w:rPr>
        <w:t xml:space="preserve"> y de hidrocarburos </w:t>
      </w:r>
      <w:r w:rsidR="00C90D1F" w:rsidRPr="0078289D">
        <w:rPr>
          <w:color w:val="000000"/>
          <w:sz w:val="28"/>
          <w:szCs w:val="28"/>
          <w:lang w:val="es-ES_tradnl"/>
        </w:rPr>
        <w:t xml:space="preserve">en aquellos casos en que haya particulares que </w:t>
      </w:r>
      <w:r w:rsidR="007F3BDD" w:rsidRPr="0078289D">
        <w:rPr>
          <w:color w:val="000000"/>
          <w:sz w:val="28"/>
          <w:szCs w:val="28"/>
          <w:lang w:val="es-ES_tradnl"/>
        </w:rPr>
        <w:t>cuenten con licencia</w:t>
      </w:r>
      <w:r w:rsidR="00C90D1F" w:rsidRPr="0078289D">
        <w:rPr>
          <w:color w:val="000000"/>
          <w:sz w:val="28"/>
          <w:szCs w:val="28"/>
          <w:lang w:val="es-ES_tradnl"/>
        </w:rPr>
        <w:t>s</w:t>
      </w:r>
      <w:r w:rsidR="007F3BDD" w:rsidRPr="0078289D">
        <w:rPr>
          <w:color w:val="000000"/>
          <w:sz w:val="28"/>
          <w:szCs w:val="28"/>
          <w:lang w:val="es-ES_tradnl"/>
        </w:rPr>
        <w:t xml:space="preserve"> ambiental</w:t>
      </w:r>
      <w:r w:rsidR="00C90D1F" w:rsidRPr="0078289D">
        <w:rPr>
          <w:color w:val="000000"/>
          <w:sz w:val="28"/>
          <w:szCs w:val="28"/>
          <w:lang w:val="es-ES_tradnl"/>
        </w:rPr>
        <w:t>es</w:t>
      </w:r>
      <w:r w:rsidR="007F3BDD" w:rsidRPr="0078289D">
        <w:rPr>
          <w:color w:val="000000"/>
          <w:sz w:val="28"/>
          <w:szCs w:val="28"/>
          <w:lang w:val="es-ES_tradnl"/>
        </w:rPr>
        <w:t xml:space="preserve"> otorgada</w:t>
      </w:r>
      <w:r w:rsidR="00C90D1F" w:rsidRPr="0078289D">
        <w:rPr>
          <w:color w:val="000000"/>
          <w:sz w:val="28"/>
          <w:szCs w:val="28"/>
          <w:lang w:val="es-ES_tradnl"/>
        </w:rPr>
        <w:t>s</w:t>
      </w:r>
      <w:r w:rsidR="007F3BDD" w:rsidRPr="0078289D">
        <w:rPr>
          <w:color w:val="000000"/>
          <w:sz w:val="28"/>
          <w:szCs w:val="28"/>
          <w:lang w:val="es-ES_tradnl"/>
        </w:rPr>
        <w:t xml:space="preserve"> antes de la entrada en vigencia de la prohibición</w:t>
      </w:r>
      <w:r w:rsidR="00C90D1F" w:rsidRPr="0078289D">
        <w:rPr>
          <w:color w:val="000000"/>
          <w:sz w:val="28"/>
          <w:szCs w:val="28"/>
          <w:lang w:val="es-ES_tradnl"/>
        </w:rPr>
        <w:t>,</w:t>
      </w:r>
      <w:r w:rsidR="007F3BDD" w:rsidRPr="0078289D">
        <w:rPr>
          <w:color w:val="000000"/>
          <w:sz w:val="28"/>
          <w:szCs w:val="28"/>
          <w:lang w:val="es-ES_tradnl"/>
        </w:rPr>
        <w:t xml:space="preserve"> y que se encuentren ubicadas en áreas delimitadas como páramos.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rPr>
        <w:t xml:space="preserve">Si bien la norma acusada establece en cabeza de la cartera de ambiente la función de definir dichas directrices, la redacción del apartado es </w:t>
      </w:r>
      <w:r w:rsidR="00C90D1F" w:rsidRPr="0078289D">
        <w:rPr>
          <w:color w:val="000000"/>
          <w:sz w:val="28"/>
          <w:szCs w:val="28"/>
          <w:lang w:val="es-ES_tradnl"/>
        </w:rPr>
        <w:t>altamente indeterminada y vaga en su alcance.</w:t>
      </w:r>
      <w:r w:rsidRPr="0078289D">
        <w:rPr>
          <w:color w:val="000000"/>
          <w:sz w:val="28"/>
          <w:szCs w:val="28"/>
          <w:lang w:val="es-ES_tradnl"/>
        </w:rPr>
        <w:t xml:space="preserve"> </w:t>
      </w:r>
      <w:r w:rsidR="000D413F" w:rsidRPr="0078289D">
        <w:rPr>
          <w:color w:val="000000"/>
          <w:sz w:val="28"/>
          <w:szCs w:val="28"/>
          <w:lang w:val="es-ES_tradnl"/>
        </w:rPr>
        <w:t>N</w:t>
      </w:r>
      <w:r w:rsidRPr="0078289D">
        <w:rPr>
          <w:color w:val="000000"/>
          <w:sz w:val="28"/>
          <w:szCs w:val="28"/>
          <w:lang w:val="es-ES_tradnl"/>
        </w:rPr>
        <w:t xml:space="preserve">o contiene </w:t>
      </w:r>
      <w:r w:rsidR="000D413F" w:rsidRPr="0078289D">
        <w:rPr>
          <w:color w:val="000000"/>
          <w:sz w:val="28"/>
          <w:szCs w:val="28"/>
          <w:lang w:val="es-ES_tradnl"/>
        </w:rPr>
        <w:t xml:space="preserve">los </w:t>
      </w:r>
      <w:r w:rsidRPr="0078289D">
        <w:rPr>
          <w:color w:val="000000"/>
          <w:sz w:val="28"/>
          <w:szCs w:val="28"/>
          <w:lang w:val="es-ES_tradnl"/>
        </w:rPr>
        <w:t xml:space="preserve">elementos </w:t>
      </w:r>
      <w:r w:rsidR="000D413F" w:rsidRPr="0078289D">
        <w:rPr>
          <w:color w:val="000000"/>
          <w:sz w:val="28"/>
          <w:szCs w:val="28"/>
          <w:lang w:val="es-ES_tradnl"/>
        </w:rPr>
        <w:t xml:space="preserve">mínimos necesarios </w:t>
      </w:r>
      <w:r w:rsidRPr="0078289D">
        <w:rPr>
          <w:color w:val="000000"/>
          <w:sz w:val="28"/>
          <w:szCs w:val="28"/>
          <w:lang w:val="es-ES_tradnl"/>
        </w:rPr>
        <w:t xml:space="preserve">para establecer el alcance de </w:t>
      </w:r>
      <w:r w:rsidR="000D413F" w:rsidRPr="0078289D">
        <w:rPr>
          <w:color w:val="000000"/>
          <w:sz w:val="28"/>
          <w:szCs w:val="28"/>
          <w:lang w:val="es-ES_tradnl"/>
        </w:rPr>
        <w:t>las directrices</w:t>
      </w:r>
      <w:r w:rsidRPr="0078289D">
        <w:rPr>
          <w:color w:val="000000"/>
          <w:sz w:val="28"/>
          <w:szCs w:val="28"/>
          <w:lang w:val="es-ES_tradnl"/>
        </w:rPr>
        <w:t xml:space="preserve">. </w:t>
      </w:r>
      <w:r w:rsidR="000D413F" w:rsidRPr="0078289D">
        <w:rPr>
          <w:color w:val="000000"/>
          <w:sz w:val="28"/>
          <w:szCs w:val="28"/>
          <w:lang w:val="es-ES_tradnl"/>
        </w:rPr>
        <w:t xml:space="preserve">El texto, </w:t>
      </w:r>
      <w:r w:rsidRPr="0078289D">
        <w:rPr>
          <w:color w:val="000000"/>
          <w:sz w:val="28"/>
          <w:szCs w:val="28"/>
          <w:lang w:val="es-ES_tradnl"/>
        </w:rPr>
        <w:t>como es</w:t>
      </w:r>
      <w:r w:rsidR="000D413F" w:rsidRPr="0078289D">
        <w:rPr>
          <w:color w:val="000000"/>
          <w:sz w:val="28"/>
          <w:szCs w:val="28"/>
          <w:lang w:val="es-ES_tradnl"/>
        </w:rPr>
        <w:t>tá redactado</w:t>
      </w:r>
      <w:r w:rsidR="00786FBE" w:rsidRPr="0078289D">
        <w:rPr>
          <w:color w:val="000000"/>
          <w:sz w:val="28"/>
          <w:szCs w:val="28"/>
          <w:lang w:val="es-ES_tradnl"/>
        </w:rPr>
        <w:t>,</w:t>
      </w:r>
      <w:r w:rsidR="00D9763B" w:rsidRPr="0078289D">
        <w:rPr>
          <w:color w:val="000000"/>
          <w:sz w:val="28"/>
          <w:szCs w:val="28"/>
          <w:lang w:val="es-ES_tradnl"/>
        </w:rPr>
        <w:t xml:space="preserve"> só</w:t>
      </w:r>
      <w:r w:rsidR="007A7CD3" w:rsidRPr="0078289D">
        <w:rPr>
          <w:color w:val="000000"/>
          <w:sz w:val="28"/>
          <w:szCs w:val="28"/>
          <w:lang w:val="es-ES_tradnl"/>
        </w:rPr>
        <w:t>lo establece quié</w:t>
      </w:r>
      <w:r w:rsidRPr="0078289D">
        <w:rPr>
          <w:color w:val="000000"/>
          <w:sz w:val="28"/>
          <w:szCs w:val="28"/>
          <w:lang w:val="es-ES_tradnl"/>
        </w:rPr>
        <w:t xml:space="preserve">n debe expedir las directrices, pero no indica la forma en que las directrices </w:t>
      </w:r>
      <w:r w:rsidR="00786FBE" w:rsidRPr="0078289D">
        <w:rPr>
          <w:color w:val="000000"/>
          <w:sz w:val="28"/>
          <w:szCs w:val="28"/>
          <w:lang w:val="es-ES_tradnl"/>
        </w:rPr>
        <w:t>deben ser</w:t>
      </w:r>
      <w:r w:rsidRPr="0078289D">
        <w:rPr>
          <w:color w:val="000000"/>
          <w:sz w:val="28"/>
          <w:szCs w:val="28"/>
          <w:lang w:val="es-ES_tradnl"/>
        </w:rPr>
        <w:t xml:space="preserve"> adoptadas</w:t>
      </w:r>
      <w:r w:rsidR="007A7CD3" w:rsidRPr="0078289D">
        <w:rPr>
          <w:color w:val="000000"/>
          <w:sz w:val="28"/>
          <w:szCs w:val="28"/>
          <w:lang w:val="es-ES_tradnl"/>
        </w:rPr>
        <w:t>,</w:t>
      </w:r>
      <w:r w:rsidRPr="0078289D">
        <w:rPr>
          <w:color w:val="000000"/>
          <w:sz w:val="28"/>
          <w:szCs w:val="28"/>
          <w:lang w:val="es-ES_tradnl"/>
        </w:rPr>
        <w:t xml:space="preserve"> ni </w:t>
      </w:r>
      <w:r w:rsidR="00136406" w:rsidRPr="0078289D">
        <w:rPr>
          <w:color w:val="000000"/>
          <w:sz w:val="28"/>
          <w:szCs w:val="28"/>
          <w:lang w:val="es-ES_tradnl"/>
        </w:rPr>
        <w:t>la materia sobre la cual versan</w:t>
      </w:r>
      <w:r w:rsidR="007A7CD3" w:rsidRPr="0078289D">
        <w:rPr>
          <w:color w:val="000000"/>
          <w:sz w:val="28"/>
          <w:szCs w:val="28"/>
          <w:lang w:val="es-ES_tradnl"/>
        </w:rPr>
        <w:t xml:space="preserve">, ni si las mismas son o no </w:t>
      </w:r>
      <w:r w:rsidR="00786FBE" w:rsidRPr="0078289D">
        <w:rPr>
          <w:color w:val="000000"/>
          <w:sz w:val="28"/>
          <w:szCs w:val="28"/>
          <w:lang w:val="es-ES_tradnl"/>
        </w:rPr>
        <w:t xml:space="preserve">jurídicamente </w:t>
      </w:r>
      <w:r w:rsidR="007A7CD3" w:rsidRPr="0078289D">
        <w:rPr>
          <w:color w:val="000000"/>
          <w:sz w:val="28"/>
          <w:szCs w:val="28"/>
          <w:lang w:val="es-ES_tradnl"/>
        </w:rPr>
        <w:t>vinculantes para todas las entidades del Estado y</w:t>
      </w:r>
      <w:r w:rsidR="00786FBE" w:rsidRPr="0078289D">
        <w:rPr>
          <w:color w:val="000000"/>
          <w:sz w:val="28"/>
          <w:szCs w:val="28"/>
          <w:lang w:val="es-ES_tradnl"/>
        </w:rPr>
        <w:t>/o</w:t>
      </w:r>
      <w:r w:rsidR="007A7CD3" w:rsidRPr="0078289D">
        <w:rPr>
          <w:color w:val="000000"/>
          <w:sz w:val="28"/>
          <w:szCs w:val="28"/>
          <w:lang w:val="es-ES_tradnl"/>
        </w:rPr>
        <w:t xml:space="preserve"> para los particulares</w:t>
      </w:r>
      <w:r w:rsidRPr="0078289D">
        <w:rPr>
          <w:color w:val="000000"/>
          <w:sz w:val="28"/>
          <w:szCs w:val="28"/>
          <w:lang w:val="es-ES_tradnl"/>
        </w:rPr>
        <w:t xml:space="preserve">. En suma, este apartado de la disposición acusada contiene una facultad </w:t>
      </w:r>
      <w:r w:rsidR="00243AF4" w:rsidRPr="0078289D">
        <w:rPr>
          <w:color w:val="000000"/>
          <w:sz w:val="28"/>
          <w:szCs w:val="28"/>
          <w:lang w:val="es-ES_tradnl"/>
        </w:rPr>
        <w:t xml:space="preserve">completamente </w:t>
      </w:r>
      <w:r w:rsidRPr="0078289D">
        <w:rPr>
          <w:color w:val="000000"/>
          <w:sz w:val="28"/>
          <w:szCs w:val="28"/>
          <w:lang w:val="es-ES_tradnl"/>
        </w:rPr>
        <w:t>indeterminada</w:t>
      </w:r>
      <w:r w:rsidR="00243AF4" w:rsidRPr="0078289D">
        <w:rPr>
          <w:color w:val="000000"/>
          <w:sz w:val="28"/>
          <w:szCs w:val="28"/>
          <w:lang w:val="es-ES_tradnl"/>
        </w:rPr>
        <w:t xml:space="preserve">, de la cual sólo se </w:t>
      </w:r>
      <w:r w:rsidR="00536615" w:rsidRPr="0078289D">
        <w:rPr>
          <w:color w:val="000000"/>
          <w:sz w:val="28"/>
          <w:szCs w:val="28"/>
          <w:lang w:val="es-ES_tradnl"/>
        </w:rPr>
        <w:t>conoce que</w:t>
      </w:r>
      <w:r w:rsidR="00243AF4" w:rsidRPr="0078289D">
        <w:rPr>
          <w:color w:val="000000"/>
          <w:sz w:val="28"/>
          <w:szCs w:val="28"/>
          <w:lang w:val="es-ES_tradnl"/>
        </w:rPr>
        <w:t xml:space="preserve"> la competencia para </w:t>
      </w:r>
      <w:r w:rsidR="00536615" w:rsidRPr="0078289D">
        <w:rPr>
          <w:color w:val="000000"/>
          <w:sz w:val="28"/>
          <w:szCs w:val="28"/>
          <w:lang w:val="es-ES_tradnl"/>
        </w:rPr>
        <w:t>su expedición</w:t>
      </w:r>
      <w:r w:rsidR="00243AF4" w:rsidRPr="0078289D">
        <w:rPr>
          <w:color w:val="000000"/>
          <w:sz w:val="28"/>
          <w:szCs w:val="28"/>
          <w:lang w:val="es-ES_tradnl"/>
        </w:rPr>
        <w:t xml:space="preserve"> le fue</w:t>
      </w:r>
      <w:r w:rsidRPr="0078289D">
        <w:rPr>
          <w:color w:val="000000"/>
          <w:sz w:val="28"/>
          <w:szCs w:val="28"/>
          <w:lang w:val="es-ES_tradnl"/>
        </w:rPr>
        <w:t xml:space="preserve"> atribuida al </w:t>
      </w:r>
      <w:r w:rsidRPr="0078289D">
        <w:rPr>
          <w:color w:val="000000"/>
          <w:sz w:val="28"/>
          <w:szCs w:val="28"/>
          <w:lang w:val="es-ES_tradnl" w:eastAsia="es-ES"/>
        </w:rPr>
        <w:t xml:space="preserve">Ministerio de Ambiente y Desarrollo Sostenible. </w:t>
      </w:r>
    </w:p>
    <w:p w:rsidR="00613E42" w:rsidRPr="0078289D" w:rsidRDefault="00613E42" w:rsidP="0078289D">
      <w:pPr>
        <w:pStyle w:val="Listavistosa-nfasis11"/>
        <w:tabs>
          <w:tab w:val="left" w:pos="426"/>
        </w:tabs>
        <w:spacing w:line="240" w:lineRule="auto"/>
        <w:ind w:left="0"/>
        <w:jc w:val="both"/>
        <w:rPr>
          <w:color w:val="000000"/>
          <w:sz w:val="28"/>
          <w:szCs w:val="28"/>
          <w:lang w:val="es-ES_tradnl" w:eastAsia="es-ES"/>
        </w:rPr>
      </w:pPr>
    </w:p>
    <w:p w:rsidR="00613E42" w:rsidRPr="0078289D" w:rsidRDefault="00FB3D3F"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El carácter indeterminado de </w:t>
      </w:r>
      <w:r w:rsidR="00613E42" w:rsidRPr="0078289D">
        <w:rPr>
          <w:color w:val="000000"/>
          <w:sz w:val="28"/>
          <w:szCs w:val="28"/>
          <w:lang w:val="es-ES_tradnl" w:eastAsia="es-ES"/>
        </w:rPr>
        <w:t xml:space="preserve">la facultad de </w:t>
      </w:r>
      <w:r w:rsidR="00DB4A79" w:rsidRPr="0078289D">
        <w:rPr>
          <w:color w:val="000000"/>
          <w:sz w:val="28"/>
          <w:szCs w:val="28"/>
          <w:lang w:val="es-ES_tradnl" w:eastAsia="es-ES"/>
        </w:rPr>
        <w:t xml:space="preserve">dictar directrices de protección de </w:t>
      </w:r>
      <w:r w:rsidR="00613E42" w:rsidRPr="0078289D">
        <w:rPr>
          <w:color w:val="000000"/>
          <w:sz w:val="28"/>
          <w:szCs w:val="28"/>
          <w:lang w:val="es-ES_tradnl" w:eastAsia="es-ES"/>
        </w:rPr>
        <w:t>las áreas de páramo muestra claramente</w:t>
      </w:r>
      <w:r w:rsidR="002A42DB" w:rsidRPr="0078289D">
        <w:rPr>
          <w:color w:val="000000"/>
          <w:sz w:val="28"/>
          <w:szCs w:val="28"/>
          <w:lang w:val="es-ES_tradnl" w:eastAsia="es-ES"/>
        </w:rPr>
        <w:t>, una vez m</w:t>
      </w:r>
      <w:r w:rsidR="00312DEF" w:rsidRPr="0078289D">
        <w:rPr>
          <w:color w:val="000000"/>
          <w:sz w:val="28"/>
          <w:szCs w:val="28"/>
          <w:lang w:val="es-ES_tradnl" w:eastAsia="es-ES"/>
        </w:rPr>
        <w:t>á</w:t>
      </w:r>
      <w:r w:rsidR="002A42DB" w:rsidRPr="0078289D">
        <w:rPr>
          <w:color w:val="000000"/>
          <w:sz w:val="28"/>
          <w:szCs w:val="28"/>
          <w:lang w:val="es-ES_tradnl" w:eastAsia="es-ES"/>
        </w:rPr>
        <w:t>s,</w:t>
      </w:r>
      <w:r w:rsidR="00613E42" w:rsidRPr="0078289D">
        <w:rPr>
          <w:color w:val="000000"/>
          <w:sz w:val="28"/>
          <w:szCs w:val="28"/>
          <w:lang w:val="es-ES_tradnl" w:eastAsia="es-ES"/>
        </w:rPr>
        <w:t xml:space="preserve"> que la disposición acusada</w:t>
      </w:r>
      <w:r w:rsidR="002A42DB" w:rsidRPr="0078289D">
        <w:rPr>
          <w:color w:val="000000"/>
          <w:sz w:val="28"/>
          <w:szCs w:val="28"/>
          <w:lang w:val="es-ES_tradnl" w:eastAsia="es-ES"/>
        </w:rPr>
        <w:t xml:space="preserve"> no tiene como finalidad proteger tales ecosistemas. Por el contrario</w:t>
      </w:r>
      <w:r w:rsidR="00613E42" w:rsidRPr="0078289D">
        <w:rPr>
          <w:color w:val="000000"/>
          <w:sz w:val="28"/>
          <w:szCs w:val="28"/>
          <w:lang w:val="es-ES_tradnl" w:eastAsia="es-ES"/>
        </w:rPr>
        <w:t xml:space="preserve">, en lugar de </w:t>
      </w:r>
      <w:r w:rsidR="00652F57" w:rsidRPr="0078289D">
        <w:rPr>
          <w:color w:val="000000"/>
          <w:sz w:val="28"/>
          <w:szCs w:val="28"/>
          <w:lang w:val="es-ES_tradnl" w:eastAsia="es-ES"/>
        </w:rPr>
        <w:t xml:space="preserve">establecer restricciones encaminadas a proteger los ecosistemas de páramo, </w:t>
      </w:r>
      <w:r w:rsidR="002A42DB" w:rsidRPr="0078289D">
        <w:rPr>
          <w:color w:val="000000"/>
          <w:sz w:val="28"/>
          <w:szCs w:val="28"/>
          <w:lang w:val="es-ES_tradnl" w:eastAsia="es-ES"/>
        </w:rPr>
        <w:t>y</w:t>
      </w:r>
      <w:r w:rsidR="00652F57" w:rsidRPr="0078289D">
        <w:rPr>
          <w:color w:val="000000"/>
          <w:sz w:val="28"/>
          <w:szCs w:val="28"/>
          <w:lang w:val="es-ES_tradnl" w:eastAsia="es-ES"/>
        </w:rPr>
        <w:t xml:space="preserve"> atribuir facultades a las </w:t>
      </w:r>
      <w:r w:rsidRPr="0078289D">
        <w:rPr>
          <w:color w:val="000000"/>
          <w:sz w:val="28"/>
          <w:szCs w:val="28"/>
          <w:lang w:val="es-ES_tradnl" w:eastAsia="es-ES"/>
        </w:rPr>
        <w:t>autoridades</w:t>
      </w:r>
      <w:r w:rsidR="00652F57" w:rsidRPr="0078289D">
        <w:rPr>
          <w:color w:val="000000"/>
          <w:sz w:val="28"/>
          <w:szCs w:val="28"/>
          <w:lang w:val="es-ES_tradnl" w:eastAsia="es-ES"/>
        </w:rPr>
        <w:t xml:space="preserve"> públicas con parámetros de protección claros, </w:t>
      </w:r>
      <w:r w:rsidRPr="0078289D">
        <w:rPr>
          <w:color w:val="000000"/>
          <w:sz w:val="28"/>
          <w:szCs w:val="28"/>
          <w:lang w:val="es-ES_tradnl" w:eastAsia="es-ES"/>
        </w:rPr>
        <w:t xml:space="preserve">lo que persigue es aumentar el margen de discrecionalidad de dichas autoridades. </w:t>
      </w:r>
      <w:r w:rsidR="00DB4A79" w:rsidRPr="0078289D">
        <w:rPr>
          <w:color w:val="000000"/>
          <w:sz w:val="28"/>
          <w:szCs w:val="28"/>
          <w:lang w:val="es-ES_tradnl" w:eastAsia="es-ES"/>
        </w:rPr>
        <w:t xml:space="preserve">Con ello, la disposición demandada en realidad está desprotegiendo </w:t>
      </w:r>
      <w:r w:rsidR="00D15F28" w:rsidRPr="0078289D">
        <w:rPr>
          <w:color w:val="000000"/>
          <w:sz w:val="28"/>
          <w:szCs w:val="28"/>
          <w:lang w:val="es-ES_tradnl" w:eastAsia="es-ES"/>
        </w:rPr>
        <w:t xml:space="preserve">los ecosistemas de páramo.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20023A" w:rsidRPr="0078289D" w:rsidRDefault="008A2AF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rPr>
        <w:t xml:space="preserve">169. </w:t>
      </w:r>
      <w:r w:rsidR="0020023A" w:rsidRPr="0078289D">
        <w:rPr>
          <w:color w:val="000000"/>
          <w:sz w:val="28"/>
          <w:szCs w:val="28"/>
          <w:lang w:val="es-ES_tradnl" w:eastAsia="es-ES"/>
        </w:rPr>
        <w:t xml:space="preserve">En esa medida, la supuesta protección legal provista por la disposición demandada a los ecosistemas de páramo frente a los posibles daños causados por las actividades mineras y de hidrocarburos </w:t>
      </w:r>
      <w:r w:rsidR="007A40E9" w:rsidRPr="0078289D">
        <w:rPr>
          <w:color w:val="000000"/>
          <w:sz w:val="28"/>
          <w:szCs w:val="28"/>
          <w:lang w:val="es-ES_tradnl" w:eastAsia="es-ES"/>
        </w:rPr>
        <w:t xml:space="preserve">en las hipótesis contempladas en la disposición demandada </w:t>
      </w:r>
      <w:r w:rsidR="00D15F28" w:rsidRPr="0078289D">
        <w:rPr>
          <w:color w:val="000000"/>
          <w:sz w:val="28"/>
          <w:szCs w:val="28"/>
          <w:lang w:val="es-ES_tradnl" w:eastAsia="es-ES"/>
        </w:rPr>
        <w:t>es meramente formal</w:t>
      </w:r>
      <w:r w:rsidR="0020023A" w:rsidRPr="0078289D">
        <w:rPr>
          <w:color w:val="000000"/>
          <w:sz w:val="28"/>
          <w:szCs w:val="28"/>
          <w:lang w:val="es-ES_tradnl" w:eastAsia="es-ES"/>
        </w:rPr>
        <w:t xml:space="preserve">, y no resulta aceptable constitucionalmente. </w:t>
      </w:r>
    </w:p>
    <w:p w:rsidR="00EA7DD7" w:rsidRPr="0078289D" w:rsidRDefault="00EA7DD7" w:rsidP="0078289D">
      <w:pPr>
        <w:pStyle w:val="Listavistosa-nfasis11"/>
        <w:tabs>
          <w:tab w:val="left" w:pos="426"/>
        </w:tabs>
        <w:spacing w:line="240" w:lineRule="auto"/>
        <w:ind w:left="0"/>
        <w:jc w:val="both"/>
        <w:rPr>
          <w:b/>
          <w:color w:val="000000"/>
          <w:sz w:val="28"/>
          <w:szCs w:val="28"/>
          <w:lang w:val="es-ES_tradnl" w:eastAsia="es-ES"/>
        </w:rPr>
      </w:pPr>
    </w:p>
    <w:p w:rsidR="007F3BDD" w:rsidRPr="0078289D" w:rsidRDefault="007F3BDD" w:rsidP="0078289D">
      <w:pPr>
        <w:pStyle w:val="Listavistosa-nfasis11"/>
        <w:tabs>
          <w:tab w:val="left" w:pos="426"/>
        </w:tabs>
        <w:spacing w:line="240" w:lineRule="auto"/>
        <w:ind w:left="0"/>
        <w:jc w:val="both"/>
        <w:rPr>
          <w:b/>
          <w:i/>
          <w:color w:val="000000"/>
          <w:sz w:val="28"/>
          <w:szCs w:val="28"/>
          <w:lang w:val="es-ES_tradnl" w:eastAsia="es-ES"/>
        </w:rPr>
      </w:pPr>
      <w:r w:rsidRPr="0078289D">
        <w:rPr>
          <w:b/>
          <w:i/>
          <w:color w:val="000000"/>
          <w:sz w:val="28"/>
          <w:szCs w:val="28"/>
          <w:lang w:val="es-ES_tradnl" w:eastAsia="es-ES"/>
        </w:rPr>
        <w:t>Análisis de los cargos de la demanda</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F3BDD" w:rsidRPr="0078289D" w:rsidRDefault="00987E03"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170. </w:t>
      </w:r>
      <w:r w:rsidR="00393C1D" w:rsidRPr="0078289D">
        <w:rPr>
          <w:color w:val="000000"/>
          <w:sz w:val="28"/>
          <w:szCs w:val="28"/>
          <w:lang w:val="es-ES_tradnl" w:eastAsia="es-ES"/>
        </w:rPr>
        <w:t xml:space="preserve">De todo lo anterior es necesario concluir que la libertad económica y de empresa </w:t>
      </w:r>
      <w:r w:rsidR="008461D2" w:rsidRPr="0078289D">
        <w:rPr>
          <w:color w:val="000000"/>
          <w:sz w:val="28"/>
          <w:szCs w:val="28"/>
          <w:lang w:val="es-ES_tradnl" w:eastAsia="es-ES"/>
        </w:rPr>
        <w:t>encuentran</w:t>
      </w:r>
      <w:r w:rsidR="00393C1D" w:rsidRPr="0078289D">
        <w:rPr>
          <w:color w:val="000000"/>
          <w:sz w:val="28"/>
          <w:szCs w:val="28"/>
          <w:lang w:val="es-ES_tradnl" w:eastAsia="es-ES"/>
        </w:rPr>
        <w:t xml:space="preserve"> límite</w:t>
      </w:r>
      <w:r w:rsidR="008461D2" w:rsidRPr="0078289D">
        <w:rPr>
          <w:color w:val="000000"/>
          <w:sz w:val="28"/>
          <w:szCs w:val="28"/>
          <w:lang w:val="es-ES_tradnl" w:eastAsia="es-ES"/>
        </w:rPr>
        <w:t>s</w:t>
      </w:r>
      <w:r w:rsidR="00393C1D" w:rsidRPr="0078289D">
        <w:rPr>
          <w:color w:val="000000"/>
          <w:sz w:val="28"/>
          <w:szCs w:val="28"/>
          <w:lang w:val="es-ES_tradnl" w:eastAsia="es-ES"/>
        </w:rPr>
        <w:t xml:space="preserve"> en el bien comú</w:t>
      </w:r>
      <w:r w:rsidR="00E15125" w:rsidRPr="0078289D">
        <w:rPr>
          <w:color w:val="000000"/>
          <w:sz w:val="28"/>
          <w:szCs w:val="28"/>
          <w:lang w:val="es-ES_tradnl" w:eastAsia="es-ES"/>
        </w:rPr>
        <w:t>n</w:t>
      </w:r>
      <w:r w:rsidR="008461D2" w:rsidRPr="0078289D">
        <w:rPr>
          <w:color w:val="000000"/>
          <w:sz w:val="28"/>
          <w:szCs w:val="28"/>
          <w:lang w:val="es-ES_tradnl" w:eastAsia="es-ES"/>
        </w:rPr>
        <w:t xml:space="preserve"> y en la función social de la empresa</w:t>
      </w:r>
      <w:r w:rsidR="00E15125" w:rsidRPr="0078289D">
        <w:rPr>
          <w:color w:val="000000"/>
          <w:sz w:val="28"/>
          <w:szCs w:val="28"/>
          <w:lang w:val="es-ES_tradnl" w:eastAsia="es-ES"/>
        </w:rPr>
        <w:t>, lo</w:t>
      </w:r>
      <w:r w:rsidR="008461D2" w:rsidRPr="0078289D">
        <w:rPr>
          <w:color w:val="000000"/>
          <w:sz w:val="28"/>
          <w:szCs w:val="28"/>
          <w:lang w:val="es-ES_tradnl" w:eastAsia="es-ES"/>
        </w:rPr>
        <w:t>s</w:t>
      </w:r>
      <w:r w:rsidR="00E15125" w:rsidRPr="0078289D">
        <w:rPr>
          <w:color w:val="000000"/>
          <w:sz w:val="28"/>
          <w:szCs w:val="28"/>
          <w:lang w:val="es-ES_tradnl" w:eastAsia="es-ES"/>
        </w:rPr>
        <w:t xml:space="preserve"> cual</w:t>
      </w:r>
      <w:r w:rsidR="008461D2" w:rsidRPr="0078289D">
        <w:rPr>
          <w:color w:val="000000"/>
          <w:sz w:val="28"/>
          <w:szCs w:val="28"/>
          <w:lang w:val="es-ES_tradnl" w:eastAsia="es-ES"/>
        </w:rPr>
        <w:t>es</w:t>
      </w:r>
      <w:r w:rsidR="00E15125" w:rsidRPr="0078289D">
        <w:rPr>
          <w:color w:val="000000"/>
          <w:sz w:val="28"/>
          <w:szCs w:val="28"/>
          <w:lang w:val="es-ES_tradnl" w:eastAsia="es-ES"/>
        </w:rPr>
        <w:t xml:space="preserve"> se materializa</w:t>
      </w:r>
      <w:r w:rsidR="008461D2" w:rsidRPr="0078289D">
        <w:rPr>
          <w:color w:val="000000"/>
          <w:sz w:val="28"/>
          <w:szCs w:val="28"/>
          <w:lang w:val="es-ES_tradnl" w:eastAsia="es-ES"/>
        </w:rPr>
        <w:t>n</w:t>
      </w:r>
      <w:r w:rsidR="00E15125" w:rsidRPr="0078289D">
        <w:rPr>
          <w:color w:val="000000"/>
          <w:sz w:val="28"/>
          <w:szCs w:val="28"/>
          <w:lang w:val="es-ES_tradnl" w:eastAsia="es-ES"/>
        </w:rPr>
        <w:t xml:space="preserve"> a través del deber del Estado de regular la economía, y en el caso particular, </w:t>
      </w:r>
      <w:r w:rsidR="00297AE1" w:rsidRPr="0078289D">
        <w:rPr>
          <w:color w:val="000000"/>
          <w:sz w:val="28"/>
          <w:szCs w:val="28"/>
          <w:lang w:val="es-ES_tradnl" w:eastAsia="es-ES"/>
        </w:rPr>
        <w:t xml:space="preserve">los deberes </w:t>
      </w:r>
      <w:r w:rsidR="00E15125" w:rsidRPr="0078289D">
        <w:rPr>
          <w:color w:val="000000"/>
          <w:sz w:val="28"/>
          <w:szCs w:val="28"/>
          <w:lang w:val="es-ES_tradnl" w:eastAsia="es-ES"/>
        </w:rPr>
        <w:t>de</w:t>
      </w:r>
      <w:r w:rsidR="0004601B" w:rsidRPr="0078289D">
        <w:rPr>
          <w:color w:val="000000"/>
          <w:sz w:val="28"/>
          <w:szCs w:val="28"/>
          <w:lang w:val="es-CO"/>
        </w:rPr>
        <w:t xml:space="preserve"> “</w:t>
      </w:r>
      <w:r w:rsidR="0004601B" w:rsidRPr="0078289D">
        <w:rPr>
          <w:i/>
          <w:color w:val="000000"/>
          <w:sz w:val="28"/>
          <w:szCs w:val="28"/>
          <w:lang w:val="es-CO" w:eastAsia="es-ES"/>
        </w:rPr>
        <w:t>conservar las áreas de especial importancia ecológica</w:t>
      </w:r>
      <w:r w:rsidR="0004601B" w:rsidRPr="0078289D">
        <w:rPr>
          <w:color w:val="000000"/>
          <w:sz w:val="28"/>
          <w:szCs w:val="28"/>
          <w:lang w:val="es-CO" w:eastAsia="es-ES"/>
        </w:rPr>
        <w:t>”</w:t>
      </w:r>
      <w:r w:rsidR="00E15125" w:rsidRPr="0078289D">
        <w:rPr>
          <w:color w:val="000000"/>
          <w:sz w:val="28"/>
          <w:szCs w:val="28"/>
          <w:lang w:val="es-ES_tradnl" w:eastAsia="es-ES"/>
        </w:rPr>
        <w:t xml:space="preserve"> </w:t>
      </w:r>
      <w:r w:rsidR="00926EA6" w:rsidRPr="0078289D">
        <w:rPr>
          <w:color w:val="000000"/>
          <w:sz w:val="28"/>
          <w:szCs w:val="28"/>
          <w:lang w:val="es-ES_tradnl" w:eastAsia="es-ES"/>
        </w:rPr>
        <w:t xml:space="preserve">(C.P. art. 79) </w:t>
      </w:r>
      <w:r w:rsidR="0004601B" w:rsidRPr="0078289D">
        <w:rPr>
          <w:color w:val="000000"/>
          <w:sz w:val="28"/>
          <w:szCs w:val="28"/>
          <w:lang w:val="es-ES_tradnl" w:eastAsia="es-ES"/>
        </w:rPr>
        <w:t xml:space="preserve">y en consecuencia, </w:t>
      </w:r>
      <w:r w:rsidR="00E84533" w:rsidRPr="0078289D">
        <w:rPr>
          <w:color w:val="000000"/>
          <w:sz w:val="28"/>
          <w:szCs w:val="28"/>
          <w:lang w:val="es-ES_tradnl" w:eastAsia="es-ES"/>
        </w:rPr>
        <w:t>regular “</w:t>
      </w:r>
      <w:r w:rsidR="00E84533" w:rsidRPr="0078289D">
        <w:rPr>
          <w:i/>
          <w:color w:val="000000"/>
          <w:sz w:val="28"/>
          <w:szCs w:val="28"/>
          <w:lang w:val="es-CO" w:eastAsia="es-ES"/>
        </w:rPr>
        <w:t>el manejo y aprovechamiento de los recursos naturales, para garantizar su desarrollo sostenible, su conservación, restauración o sustitución</w:t>
      </w:r>
      <w:r w:rsidR="00E84533" w:rsidRPr="0078289D">
        <w:rPr>
          <w:color w:val="000000"/>
          <w:sz w:val="28"/>
          <w:szCs w:val="28"/>
          <w:lang w:val="es-CO" w:eastAsia="es-ES"/>
        </w:rPr>
        <w:t>”</w:t>
      </w:r>
      <w:r w:rsidR="00297AE1" w:rsidRPr="0078289D">
        <w:rPr>
          <w:color w:val="000000"/>
          <w:sz w:val="28"/>
          <w:szCs w:val="28"/>
          <w:lang w:val="es-CO" w:eastAsia="es-ES"/>
        </w:rPr>
        <w:t xml:space="preserve"> y</w:t>
      </w:r>
      <w:r w:rsidR="00926EA6" w:rsidRPr="0078289D">
        <w:rPr>
          <w:color w:val="000000"/>
          <w:sz w:val="28"/>
          <w:szCs w:val="28"/>
          <w:lang w:val="es-CO" w:eastAsia="es-ES"/>
        </w:rPr>
        <w:t xml:space="preserve"> de</w:t>
      </w:r>
      <w:r w:rsidR="00297AE1" w:rsidRPr="0078289D">
        <w:rPr>
          <w:color w:val="000000"/>
          <w:sz w:val="28"/>
          <w:szCs w:val="28"/>
          <w:lang w:val="es-CO" w:eastAsia="es-ES"/>
        </w:rPr>
        <w:t xml:space="preserve"> </w:t>
      </w:r>
      <w:r w:rsidR="00297AE1" w:rsidRPr="0078289D">
        <w:rPr>
          <w:color w:val="000000"/>
          <w:sz w:val="28"/>
          <w:szCs w:val="28"/>
          <w:lang w:val="es-CO"/>
        </w:rPr>
        <w:t>“</w:t>
      </w:r>
      <w:r w:rsidR="00297AE1" w:rsidRPr="0078289D">
        <w:rPr>
          <w:i/>
          <w:color w:val="000000"/>
          <w:sz w:val="28"/>
          <w:szCs w:val="28"/>
          <w:lang w:val="es-CO" w:eastAsia="es-ES"/>
        </w:rPr>
        <w:t>prevenir y controlar los factores de deterioro ambiental</w:t>
      </w:r>
      <w:r w:rsidR="00297AE1" w:rsidRPr="0078289D">
        <w:rPr>
          <w:color w:val="000000"/>
          <w:sz w:val="28"/>
          <w:szCs w:val="28"/>
          <w:lang w:val="es-CO" w:eastAsia="es-ES"/>
        </w:rPr>
        <w:t>”</w:t>
      </w:r>
      <w:r w:rsidR="00926EA6" w:rsidRPr="0078289D">
        <w:rPr>
          <w:color w:val="000000"/>
          <w:sz w:val="28"/>
          <w:szCs w:val="28"/>
          <w:lang w:val="es-CO" w:eastAsia="es-ES"/>
        </w:rPr>
        <w:t xml:space="preserve"> (C.P. art. 80)</w:t>
      </w:r>
      <w:r w:rsidR="0004601B" w:rsidRPr="0078289D">
        <w:rPr>
          <w:color w:val="000000"/>
          <w:sz w:val="28"/>
          <w:szCs w:val="28"/>
          <w:lang w:val="es-CO" w:eastAsia="es-ES"/>
        </w:rPr>
        <w:t>.</w:t>
      </w:r>
      <w:r w:rsidR="00E84533" w:rsidRPr="0078289D">
        <w:rPr>
          <w:color w:val="000000"/>
          <w:sz w:val="28"/>
          <w:szCs w:val="28"/>
          <w:lang w:val="es-ES_tradnl" w:eastAsia="es-ES"/>
        </w:rPr>
        <w:t xml:space="preserve"> </w:t>
      </w:r>
    </w:p>
    <w:p w:rsidR="00926EA6" w:rsidRPr="0078289D" w:rsidRDefault="00926EA6" w:rsidP="0078289D">
      <w:pPr>
        <w:pStyle w:val="Listavistosa-nfasis11"/>
        <w:tabs>
          <w:tab w:val="left" w:pos="426"/>
        </w:tabs>
        <w:spacing w:line="240" w:lineRule="auto"/>
        <w:ind w:left="0"/>
        <w:jc w:val="both"/>
        <w:rPr>
          <w:color w:val="000000"/>
          <w:sz w:val="28"/>
          <w:szCs w:val="28"/>
          <w:lang w:val="es-ES_tradnl" w:eastAsia="es-ES"/>
        </w:rPr>
      </w:pPr>
    </w:p>
    <w:p w:rsidR="00926EA6" w:rsidRPr="0078289D" w:rsidRDefault="00926EA6"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El </w:t>
      </w:r>
      <w:r w:rsidR="0032784A" w:rsidRPr="0078289D">
        <w:rPr>
          <w:color w:val="000000"/>
          <w:sz w:val="28"/>
          <w:szCs w:val="28"/>
          <w:lang w:val="es-ES_tradnl" w:eastAsia="es-ES"/>
        </w:rPr>
        <w:t xml:space="preserve">alcance del </w:t>
      </w:r>
      <w:r w:rsidRPr="0078289D">
        <w:rPr>
          <w:color w:val="000000"/>
          <w:sz w:val="28"/>
          <w:szCs w:val="28"/>
          <w:lang w:val="es-ES_tradnl" w:eastAsia="es-ES"/>
        </w:rPr>
        <w:t xml:space="preserve">deber del </w:t>
      </w:r>
      <w:r w:rsidR="007C3447" w:rsidRPr="0078289D">
        <w:rPr>
          <w:color w:val="000000"/>
          <w:sz w:val="28"/>
          <w:szCs w:val="28"/>
          <w:lang w:val="es-ES_tradnl" w:eastAsia="es-ES"/>
        </w:rPr>
        <w:t xml:space="preserve">Estado </w:t>
      </w:r>
      <w:r w:rsidR="0032784A" w:rsidRPr="0078289D">
        <w:rPr>
          <w:color w:val="000000"/>
          <w:sz w:val="28"/>
          <w:szCs w:val="28"/>
          <w:lang w:val="es-ES_tradnl" w:eastAsia="es-ES"/>
        </w:rPr>
        <w:t xml:space="preserve">es significativamente mayor </w:t>
      </w:r>
      <w:r w:rsidR="007C3447" w:rsidRPr="0078289D">
        <w:rPr>
          <w:color w:val="000000"/>
          <w:sz w:val="28"/>
          <w:szCs w:val="28"/>
          <w:lang w:val="es-ES_tradnl" w:eastAsia="es-ES"/>
        </w:rPr>
        <w:t xml:space="preserve">cuando </w:t>
      </w:r>
      <w:r w:rsidR="0032784A" w:rsidRPr="0078289D">
        <w:rPr>
          <w:color w:val="000000"/>
          <w:sz w:val="28"/>
          <w:szCs w:val="28"/>
          <w:lang w:val="es-ES_tradnl" w:eastAsia="es-ES"/>
        </w:rPr>
        <w:t xml:space="preserve">la actividad económica a desarrollar </w:t>
      </w:r>
      <w:r w:rsidR="00C11A13" w:rsidRPr="0078289D">
        <w:rPr>
          <w:color w:val="000000"/>
          <w:sz w:val="28"/>
          <w:szCs w:val="28"/>
          <w:lang w:val="es-ES_tradnl" w:eastAsia="es-ES"/>
        </w:rPr>
        <w:t xml:space="preserve">consiste, precisamente, en la explotación de </w:t>
      </w:r>
      <w:r w:rsidR="00612033" w:rsidRPr="0078289D">
        <w:rPr>
          <w:color w:val="000000"/>
          <w:sz w:val="28"/>
          <w:szCs w:val="28"/>
          <w:lang w:val="es-ES_tradnl" w:eastAsia="es-ES"/>
        </w:rPr>
        <w:t xml:space="preserve">los </w:t>
      </w:r>
      <w:r w:rsidR="00C11A13" w:rsidRPr="0078289D">
        <w:rPr>
          <w:color w:val="000000"/>
          <w:sz w:val="28"/>
          <w:szCs w:val="28"/>
          <w:lang w:val="es-ES_tradnl" w:eastAsia="es-ES"/>
        </w:rPr>
        <w:t xml:space="preserve">recursos que le pertenecen. </w:t>
      </w:r>
      <w:r w:rsidR="007B6682" w:rsidRPr="0078289D">
        <w:rPr>
          <w:color w:val="000000"/>
          <w:sz w:val="28"/>
          <w:szCs w:val="28"/>
          <w:lang w:val="es-ES_tradnl" w:eastAsia="es-ES"/>
        </w:rPr>
        <w:t xml:space="preserve">En tales casos, el deber del Estado no se contrae exclusivamente a imponer determinados límites </w:t>
      </w:r>
      <w:r w:rsidR="00A9314F" w:rsidRPr="0078289D">
        <w:rPr>
          <w:color w:val="000000"/>
          <w:sz w:val="28"/>
          <w:szCs w:val="28"/>
          <w:lang w:val="es-ES_tradnl" w:eastAsia="es-ES"/>
        </w:rPr>
        <w:t>a la actividad económica</w:t>
      </w:r>
      <w:r w:rsidR="00585F62" w:rsidRPr="0078289D">
        <w:rPr>
          <w:color w:val="000000"/>
          <w:sz w:val="28"/>
          <w:szCs w:val="28"/>
          <w:lang w:val="es-ES_tradnl" w:eastAsia="es-ES"/>
        </w:rPr>
        <w:t xml:space="preserve"> en forma de regulación a dicha actividad.</w:t>
      </w:r>
      <w:r w:rsidR="00A9314F" w:rsidRPr="0078289D">
        <w:rPr>
          <w:color w:val="000000"/>
          <w:sz w:val="28"/>
          <w:szCs w:val="28"/>
          <w:lang w:val="es-ES_tradnl" w:eastAsia="es-ES"/>
        </w:rPr>
        <w:t xml:space="preserve"> </w:t>
      </w:r>
      <w:r w:rsidR="00585F62" w:rsidRPr="0078289D">
        <w:rPr>
          <w:color w:val="000000"/>
          <w:sz w:val="28"/>
          <w:szCs w:val="28"/>
          <w:lang w:val="es-ES_tradnl" w:eastAsia="es-ES"/>
        </w:rPr>
        <w:t>Por el contrario, en estos casos está involucrada también la propiedad</w:t>
      </w:r>
      <w:r w:rsidR="00773EFE" w:rsidRPr="0078289D">
        <w:rPr>
          <w:color w:val="000000"/>
          <w:sz w:val="28"/>
          <w:szCs w:val="28"/>
          <w:lang w:val="es-ES_tradnl" w:eastAsia="es-ES"/>
        </w:rPr>
        <w:t xml:space="preserve">, </w:t>
      </w:r>
      <w:r w:rsidR="009378DD" w:rsidRPr="0078289D">
        <w:rPr>
          <w:color w:val="000000"/>
          <w:sz w:val="28"/>
          <w:szCs w:val="28"/>
          <w:lang w:val="es-ES_tradnl" w:eastAsia="es-ES"/>
        </w:rPr>
        <w:t>que además de tener una función social que implica obligaciones, como todas las formas de propiedad, debe estar encaminada a contribuir a la realización de los fines del Estado</w:t>
      </w:r>
      <w:r w:rsidR="00585F62" w:rsidRPr="0078289D">
        <w:rPr>
          <w:color w:val="000000"/>
          <w:sz w:val="28"/>
          <w:szCs w:val="28"/>
          <w:lang w:val="es-ES_tradnl" w:eastAsia="es-ES"/>
        </w:rPr>
        <w:t xml:space="preserve">.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AF54B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171. </w:t>
      </w:r>
      <w:r w:rsidR="007935D5" w:rsidRPr="0078289D">
        <w:rPr>
          <w:color w:val="000000"/>
          <w:sz w:val="28"/>
          <w:szCs w:val="28"/>
          <w:lang w:val="es-ES_tradnl" w:eastAsia="es-ES"/>
        </w:rPr>
        <w:t>Uno de los fines del Estado consiste, precisamente, en garantizar que el desarrollo económico</w:t>
      </w:r>
      <w:r w:rsidR="00EA0DD2" w:rsidRPr="0078289D">
        <w:rPr>
          <w:color w:val="000000"/>
          <w:sz w:val="28"/>
          <w:szCs w:val="28"/>
          <w:lang w:val="es-ES_tradnl" w:eastAsia="es-ES"/>
        </w:rPr>
        <w:t>, y en particular la explotación de los recursos no renovables</w:t>
      </w:r>
      <w:r w:rsidR="007935D5" w:rsidRPr="0078289D">
        <w:rPr>
          <w:color w:val="000000"/>
          <w:sz w:val="28"/>
          <w:szCs w:val="28"/>
          <w:lang w:val="es-ES_tradnl" w:eastAsia="es-ES"/>
        </w:rPr>
        <w:t xml:space="preserve"> sea sostenible en el tiempo. </w:t>
      </w:r>
      <w:r w:rsidR="00EA0DD2" w:rsidRPr="0078289D">
        <w:rPr>
          <w:color w:val="000000"/>
          <w:sz w:val="28"/>
          <w:szCs w:val="28"/>
          <w:lang w:val="es-ES_tradnl" w:eastAsia="es-ES"/>
        </w:rPr>
        <w:t xml:space="preserve">Este objetivo se concreta en el deber de proteger </w:t>
      </w:r>
      <w:r w:rsidR="00AB2C40" w:rsidRPr="0078289D">
        <w:rPr>
          <w:color w:val="000000"/>
          <w:sz w:val="28"/>
          <w:szCs w:val="28"/>
          <w:lang w:val="es-ES_tradnl" w:eastAsia="es-ES"/>
        </w:rPr>
        <w:t xml:space="preserve">de manera efectiva determinadas áreas de especial importancia ecológica. La determinación de cuáles son dichas áreas no es exclusivamente una tarea del legislativo o del ejecutivo, </w:t>
      </w:r>
      <w:r w:rsidR="00C30CD2" w:rsidRPr="0078289D">
        <w:rPr>
          <w:color w:val="000000"/>
          <w:sz w:val="28"/>
          <w:szCs w:val="28"/>
          <w:lang w:val="es-ES_tradnl" w:eastAsia="es-ES"/>
        </w:rPr>
        <w:t xml:space="preserve">en la medida en que la importancia de las mismas radique en la preservación de recursos o servicios ambientales necesarios para </w:t>
      </w:r>
      <w:r w:rsidR="00A618C8" w:rsidRPr="0078289D">
        <w:rPr>
          <w:color w:val="000000"/>
          <w:sz w:val="28"/>
          <w:szCs w:val="28"/>
          <w:lang w:val="es-ES_tradnl" w:eastAsia="es-ES"/>
        </w:rPr>
        <w:t xml:space="preserve">garantizar derechos </w:t>
      </w:r>
      <w:r w:rsidR="000E3DEE" w:rsidRPr="0078289D">
        <w:rPr>
          <w:color w:val="000000"/>
          <w:sz w:val="28"/>
          <w:szCs w:val="28"/>
          <w:lang w:val="es-ES_tradnl" w:eastAsia="es-ES"/>
        </w:rPr>
        <w:t xml:space="preserve">constitucionales, </w:t>
      </w:r>
      <w:r w:rsidR="00A618C8" w:rsidRPr="0078289D">
        <w:rPr>
          <w:color w:val="000000"/>
          <w:sz w:val="28"/>
          <w:szCs w:val="28"/>
          <w:lang w:val="es-ES_tradnl" w:eastAsia="es-ES"/>
        </w:rPr>
        <w:t xml:space="preserve">o proteger bienes jurídicos de raigambre constitucional. </w:t>
      </w:r>
      <w:r w:rsidR="004A6344" w:rsidRPr="0078289D">
        <w:rPr>
          <w:color w:val="000000"/>
          <w:sz w:val="28"/>
          <w:szCs w:val="28"/>
          <w:lang w:val="es-ES_tradnl" w:eastAsia="es-ES"/>
        </w:rPr>
        <w:t xml:space="preserve">En tales casos, los ecosistemas pueden ser objeto de una protección constitucional directa, entre otras, por vía del control de constitucionalidad. </w:t>
      </w:r>
      <w:r w:rsidR="008216C7" w:rsidRPr="0078289D">
        <w:rPr>
          <w:color w:val="000000"/>
          <w:sz w:val="28"/>
          <w:szCs w:val="28"/>
          <w:lang w:val="es-ES_tradnl" w:eastAsia="es-ES"/>
        </w:rPr>
        <w:t>L</w:t>
      </w:r>
      <w:r w:rsidR="00181F96" w:rsidRPr="0078289D">
        <w:rPr>
          <w:color w:val="000000"/>
          <w:sz w:val="28"/>
          <w:szCs w:val="28"/>
          <w:lang w:val="es-ES_tradnl" w:eastAsia="es-ES"/>
        </w:rPr>
        <w:t>os p</w:t>
      </w:r>
      <w:r w:rsidR="008216C7" w:rsidRPr="0078289D">
        <w:rPr>
          <w:color w:val="000000"/>
          <w:sz w:val="28"/>
          <w:szCs w:val="28"/>
          <w:lang w:val="es-ES_tradnl" w:eastAsia="es-ES"/>
        </w:rPr>
        <w:t xml:space="preserve">áramos son </w:t>
      </w:r>
      <w:r w:rsidR="004C2619" w:rsidRPr="0078289D">
        <w:rPr>
          <w:color w:val="000000"/>
          <w:sz w:val="28"/>
          <w:szCs w:val="28"/>
          <w:lang w:val="es-ES_tradnl" w:eastAsia="es-ES"/>
        </w:rPr>
        <w:t xml:space="preserve">ecosistemas </w:t>
      </w:r>
      <w:r w:rsidR="008216C7" w:rsidRPr="0078289D">
        <w:rPr>
          <w:color w:val="000000"/>
          <w:sz w:val="28"/>
          <w:szCs w:val="28"/>
          <w:lang w:val="es-ES_tradnl" w:eastAsia="es-ES"/>
        </w:rPr>
        <w:t>objeto</w:t>
      </w:r>
      <w:r w:rsidR="00A618C8" w:rsidRPr="0078289D">
        <w:rPr>
          <w:color w:val="000000"/>
          <w:sz w:val="28"/>
          <w:szCs w:val="28"/>
          <w:lang w:val="es-ES_tradnl" w:eastAsia="es-ES"/>
        </w:rPr>
        <w:t xml:space="preserve"> </w:t>
      </w:r>
      <w:r w:rsidR="008216C7" w:rsidRPr="0078289D">
        <w:rPr>
          <w:color w:val="000000"/>
          <w:sz w:val="28"/>
          <w:szCs w:val="28"/>
          <w:lang w:val="es-ES_tradnl" w:eastAsia="es-ES"/>
        </w:rPr>
        <w:t xml:space="preserve">de especial protección constitucional, en la medida en que </w:t>
      </w:r>
      <w:r w:rsidR="004C2619" w:rsidRPr="0078289D">
        <w:rPr>
          <w:color w:val="000000"/>
          <w:sz w:val="28"/>
          <w:szCs w:val="28"/>
          <w:lang w:val="es-ES_tradnl" w:eastAsia="es-ES"/>
        </w:rPr>
        <w:t xml:space="preserve">en ellos viven especies </w:t>
      </w:r>
      <w:r w:rsidR="009B60EC" w:rsidRPr="0078289D">
        <w:rPr>
          <w:color w:val="000000"/>
          <w:sz w:val="28"/>
          <w:szCs w:val="28"/>
          <w:lang w:val="es-ES_tradnl" w:eastAsia="es-ES"/>
        </w:rPr>
        <w:t xml:space="preserve">animales y vegetales </w:t>
      </w:r>
      <w:r w:rsidR="004C2619" w:rsidRPr="0078289D">
        <w:rPr>
          <w:color w:val="000000"/>
          <w:sz w:val="28"/>
          <w:szCs w:val="28"/>
          <w:lang w:val="es-ES_tradnl" w:eastAsia="es-ES"/>
        </w:rPr>
        <w:t>endémicas</w:t>
      </w:r>
      <w:r w:rsidR="000E3DEE" w:rsidRPr="0078289D">
        <w:rPr>
          <w:color w:val="000000"/>
          <w:sz w:val="28"/>
          <w:szCs w:val="28"/>
          <w:lang w:val="es-ES_tradnl" w:eastAsia="es-ES"/>
        </w:rPr>
        <w:t>,</w:t>
      </w:r>
      <w:r w:rsidR="009B60EC" w:rsidRPr="0078289D">
        <w:rPr>
          <w:color w:val="000000"/>
          <w:sz w:val="28"/>
          <w:szCs w:val="28"/>
          <w:lang w:val="es-ES_tradnl" w:eastAsia="es-ES"/>
        </w:rPr>
        <w:t xml:space="preserve"> que son únicas de nuestro país (</w:t>
      </w:r>
      <w:r w:rsidR="00C125AC" w:rsidRPr="0078289D">
        <w:rPr>
          <w:color w:val="000000"/>
          <w:sz w:val="28"/>
          <w:szCs w:val="28"/>
          <w:lang w:val="es-ES_tradnl" w:eastAsia="es-ES"/>
        </w:rPr>
        <w:t xml:space="preserve">C.P. </w:t>
      </w:r>
      <w:r w:rsidR="009B60EC" w:rsidRPr="0078289D">
        <w:rPr>
          <w:color w:val="000000"/>
          <w:sz w:val="28"/>
          <w:szCs w:val="28"/>
          <w:lang w:val="es-ES_tradnl" w:eastAsia="es-ES"/>
        </w:rPr>
        <w:t>art. 79),</w:t>
      </w:r>
      <w:r w:rsidR="004C2619" w:rsidRPr="0078289D">
        <w:rPr>
          <w:color w:val="000000"/>
          <w:sz w:val="28"/>
          <w:szCs w:val="28"/>
          <w:lang w:val="es-ES_tradnl" w:eastAsia="es-ES"/>
        </w:rPr>
        <w:t xml:space="preserve"> </w:t>
      </w:r>
      <w:r w:rsidR="00C125AC" w:rsidRPr="0078289D">
        <w:rPr>
          <w:color w:val="000000"/>
          <w:sz w:val="28"/>
          <w:szCs w:val="28"/>
          <w:lang w:val="es-ES_tradnl" w:eastAsia="es-ES"/>
        </w:rPr>
        <w:t xml:space="preserve">porque tienen una capacidad especial para capturar partículas de carbono y </w:t>
      </w:r>
      <w:r w:rsidR="005714B9" w:rsidRPr="0078289D">
        <w:rPr>
          <w:color w:val="000000"/>
          <w:sz w:val="28"/>
          <w:szCs w:val="28"/>
          <w:lang w:val="es-ES_tradnl" w:eastAsia="es-ES"/>
        </w:rPr>
        <w:t>contribuir a desacelerar</w:t>
      </w:r>
      <w:r w:rsidR="00C125AC" w:rsidRPr="0078289D">
        <w:rPr>
          <w:color w:val="000000"/>
          <w:sz w:val="28"/>
          <w:szCs w:val="28"/>
          <w:lang w:val="es-ES_tradnl" w:eastAsia="es-ES"/>
        </w:rPr>
        <w:t xml:space="preserve"> el calentamiento global, y especialmente, en la medida en que </w:t>
      </w:r>
      <w:r w:rsidR="004C2619" w:rsidRPr="0078289D">
        <w:rPr>
          <w:color w:val="000000"/>
          <w:sz w:val="28"/>
          <w:szCs w:val="28"/>
          <w:lang w:val="es-ES_tradnl" w:eastAsia="es-ES"/>
        </w:rPr>
        <w:t>cumplen un papel esencial como reguladores del ciclo h</w:t>
      </w:r>
      <w:r w:rsidR="00D23C58" w:rsidRPr="0078289D">
        <w:rPr>
          <w:color w:val="000000"/>
          <w:sz w:val="28"/>
          <w:szCs w:val="28"/>
          <w:lang w:val="es-ES_tradnl" w:eastAsia="es-ES"/>
        </w:rPr>
        <w:t xml:space="preserve">ídrico, garantizando así la calidad, accesibilidad y continuidad del agua para la mayoría (alrededor del 70%) de la población colombiana. </w:t>
      </w:r>
    </w:p>
    <w:p w:rsidR="007F3BDD" w:rsidRPr="0078289D" w:rsidRDefault="007F3BDD" w:rsidP="0078289D">
      <w:pPr>
        <w:pStyle w:val="Listavistosa-nfasis11"/>
        <w:spacing w:line="240" w:lineRule="auto"/>
        <w:ind w:left="0"/>
        <w:jc w:val="both"/>
        <w:rPr>
          <w:color w:val="000000"/>
          <w:sz w:val="28"/>
          <w:szCs w:val="28"/>
          <w:lang w:val="es-ES_tradnl" w:eastAsia="es-ES"/>
        </w:rPr>
      </w:pPr>
      <w:r w:rsidRPr="0078289D">
        <w:rPr>
          <w:color w:val="000000"/>
          <w:sz w:val="28"/>
          <w:szCs w:val="28"/>
          <w:lang w:val="es-ES_tradnl" w:eastAsia="es-ES"/>
        </w:rPr>
        <w:t xml:space="preserve"> </w:t>
      </w:r>
    </w:p>
    <w:p w:rsidR="007F3BDD" w:rsidRPr="0078289D" w:rsidRDefault="00AF54BD" w:rsidP="0078289D">
      <w:pPr>
        <w:pStyle w:val="Listavistosa-nfasis11"/>
        <w:tabs>
          <w:tab w:val="left" w:pos="426"/>
        </w:tabs>
        <w:spacing w:line="240" w:lineRule="auto"/>
        <w:ind w:left="0"/>
        <w:jc w:val="both"/>
        <w:rPr>
          <w:sz w:val="28"/>
          <w:szCs w:val="28"/>
          <w:lang w:val="es-ES_tradnl" w:eastAsia="es-ES"/>
        </w:rPr>
      </w:pPr>
      <w:r w:rsidRPr="0078289D">
        <w:rPr>
          <w:color w:val="000000"/>
          <w:sz w:val="28"/>
          <w:szCs w:val="28"/>
          <w:lang w:val="es-ES_tradnl" w:eastAsia="es-ES"/>
        </w:rPr>
        <w:t xml:space="preserve">172. </w:t>
      </w:r>
      <w:r w:rsidR="004530DB" w:rsidRPr="0078289D">
        <w:rPr>
          <w:color w:val="000000"/>
          <w:sz w:val="28"/>
          <w:szCs w:val="28"/>
          <w:lang w:val="es-ES_tradnl" w:eastAsia="es-ES"/>
        </w:rPr>
        <w:t xml:space="preserve">Por otra parte, como se desprende de lo dicho hasta ahora, </w:t>
      </w:r>
      <w:r w:rsidR="00994EEC" w:rsidRPr="0078289D">
        <w:rPr>
          <w:color w:val="000000"/>
          <w:sz w:val="28"/>
          <w:szCs w:val="28"/>
          <w:lang w:val="es-ES_tradnl" w:eastAsia="es-ES"/>
        </w:rPr>
        <w:t xml:space="preserve">estos son ecosistemas </w:t>
      </w:r>
      <w:r w:rsidR="000059F2" w:rsidRPr="0078289D">
        <w:rPr>
          <w:color w:val="000000"/>
          <w:sz w:val="28"/>
          <w:szCs w:val="28"/>
          <w:lang w:val="es-ES_tradnl" w:eastAsia="es-ES"/>
        </w:rPr>
        <w:t>especialmente vulnerables, f</w:t>
      </w:r>
      <w:r w:rsidR="00994EEC" w:rsidRPr="0078289D">
        <w:rPr>
          <w:color w:val="000000"/>
          <w:sz w:val="28"/>
          <w:szCs w:val="28"/>
          <w:lang w:val="es-ES_tradnl" w:eastAsia="es-ES"/>
        </w:rPr>
        <w:t>r</w:t>
      </w:r>
      <w:r w:rsidR="000059F2" w:rsidRPr="0078289D">
        <w:rPr>
          <w:color w:val="000000"/>
          <w:sz w:val="28"/>
          <w:szCs w:val="28"/>
          <w:lang w:val="es-ES_tradnl" w:eastAsia="es-ES"/>
        </w:rPr>
        <w:t xml:space="preserve">ágiles, y con poca capacidad de adaptación a los efectos de factores externos. </w:t>
      </w:r>
      <w:r w:rsidR="004C1BB9" w:rsidRPr="0078289D">
        <w:rPr>
          <w:color w:val="000000"/>
          <w:sz w:val="28"/>
          <w:szCs w:val="28"/>
          <w:lang w:val="es-ES_tradnl" w:eastAsia="es-ES"/>
        </w:rPr>
        <w:t>El “metabolismo lento” que caracteriza a estos ecosistemas, consecuencia de las bajas temperaturas y de la escasez relativa de oxígeno</w:t>
      </w:r>
      <w:r w:rsidR="00392D38" w:rsidRPr="0078289D">
        <w:rPr>
          <w:color w:val="000000"/>
          <w:sz w:val="28"/>
          <w:szCs w:val="28"/>
          <w:lang w:val="es-ES_tradnl" w:eastAsia="es-ES"/>
        </w:rPr>
        <w:t xml:space="preserve"> hace que los </w:t>
      </w:r>
      <w:r w:rsidR="00E1747A" w:rsidRPr="0078289D">
        <w:rPr>
          <w:color w:val="000000"/>
          <w:sz w:val="28"/>
          <w:szCs w:val="28"/>
          <w:lang w:val="es-ES_tradnl" w:eastAsia="es-ES"/>
        </w:rPr>
        <w:t xml:space="preserve">elementos del ecosistema sean frágiles, que los </w:t>
      </w:r>
      <w:r w:rsidR="00392D38" w:rsidRPr="0078289D">
        <w:rPr>
          <w:color w:val="000000"/>
          <w:sz w:val="28"/>
          <w:szCs w:val="28"/>
          <w:lang w:val="es-ES_tradnl" w:eastAsia="es-ES"/>
        </w:rPr>
        <w:t xml:space="preserve">procesos de regeneración del ecosistema sean </w:t>
      </w:r>
      <w:r w:rsidR="006F1A71" w:rsidRPr="0078289D">
        <w:rPr>
          <w:color w:val="000000"/>
          <w:sz w:val="28"/>
          <w:szCs w:val="28"/>
          <w:lang w:val="es-ES_tradnl" w:eastAsia="es-ES"/>
        </w:rPr>
        <w:t xml:space="preserve">lentos y </w:t>
      </w:r>
      <w:r w:rsidR="00392D38" w:rsidRPr="0078289D">
        <w:rPr>
          <w:color w:val="000000"/>
          <w:sz w:val="28"/>
          <w:szCs w:val="28"/>
          <w:lang w:val="es-ES_tradnl" w:eastAsia="es-ES"/>
        </w:rPr>
        <w:t>dif</w:t>
      </w:r>
      <w:r w:rsidR="006F1A71" w:rsidRPr="0078289D">
        <w:rPr>
          <w:color w:val="000000"/>
          <w:sz w:val="28"/>
          <w:szCs w:val="28"/>
          <w:lang w:val="es-ES_tradnl" w:eastAsia="es-ES"/>
        </w:rPr>
        <w:t>íciles</w:t>
      </w:r>
      <w:r w:rsidR="00392D38" w:rsidRPr="0078289D">
        <w:rPr>
          <w:color w:val="000000"/>
          <w:sz w:val="28"/>
          <w:szCs w:val="28"/>
          <w:lang w:val="es-ES_tradnl" w:eastAsia="es-ES"/>
        </w:rPr>
        <w:t>,</w:t>
      </w:r>
      <w:r w:rsidR="006F1A71" w:rsidRPr="0078289D">
        <w:rPr>
          <w:color w:val="000000"/>
          <w:sz w:val="28"/>
          <w:szCs w:val="28"/>
          <w:lang w:val="es-ES_tradnl" w:eastAsia="es-ES"/>
        </w:rPr>
        <w:t xml:space="preserve"> y que en la mayoría de los casos los daños sufridos</w:t>
      </w:r>
      <w:r w:rsidR="001756E4" w:rsidRPr="0078289D">
        <w:rPr>
          <w:color w:val="000000"/>
          <w:sz w:val="28"/>
          <w:szCs w:val="28"/>
          <w:lang w:val="es-ES_tradnl" w:eastAsia="es-ES"/>
        </w:rPr>
        <w:t xml:space="preserve"> por el ecosistema</w:t>
      </w:r>
      <w:r w:rsidR="006F1A71" w:rsidRPr="0078289D">
        <w:rPr>
          <w:color w:val="000000"/>
          <w:sz w:val="28"/>
          <w:szCs w:val="28"/>
          <w:lang w:val="es-ES_tradnl" w:eastAsia="es-ES"/>
        </w:rPr>
        <w:t xml:space="preserve"> resulten irreversibles. </w:t>
      </w:r>
      <w:r w:rsidR="001756E4" w:rsidRPr="0078289D">
        <w:rPr>
          <w:color w:val="000000"/>
          <w:sz w:val="28"/>
          <w:szCs w:val="28"/>
          <w:lang w:val="es-ES_tradnl" w:eastAsia="es-ES"/>
        </w:rPr>
        <w:t xml:space="preserve">Adicionalmente, la naturaleza geológicamente joven </w:t>
      </w:r>
      <w:r w:rsidR="00E1747A" w:rsidRPr="0078289D">
        <w:rPr>
          <w:color w:val="000000"/>
          <w:sz w:val="28"/>
          <w:szCs w:val="28"/>
          <w:lang w:val="es-ES_tradnl" w:eastAsia="es-ES"/>
        </w:rPr>
        <w:t>de</w:t>
      </w:r>
      <w:r w:rsidR="001756E4" w:rsidRPr="0078289D">
        <w:rPr>
          <w:color w:val="000000"/>
          <w:sz w:val="28"/>
          <w:szCs w:val="28"/>
          <w:lang w:val="es-ES_tradnl" w:eastAsia="es-ES"/>
        </w:rPr>
        <w:t xml:space="preserve"> estos ecosistemas, su</w:t>
      </w:r>
      <w:r w:rsidR="00CD060A" w:rsidRPr="0078289D">
        <w:rPr>
          <w:color w:val="000000"/>
          <w:sz w:val="28"/>
          <w:szCs w:val="28"/>
          <w:lang w:val="es-ES_tradnl" w:eastAsia="es-ES"/>
        </w:rPr>
        <w:t>mada</w:t>
      </w:r>
      <w:r w:rsidR="001756E4" w:rsidRPr="0078289D">
        <w:rPr>
          <w:color w:val="000000"/>
          <w:sz w:val="28"/>
          <w:szCs w:val="28"/>
          <w:lang w:val="es-ES_tradnl" w:eastAsia="es-ES"/>
        </w:rPr>
        <w:t xml:space="preserve"> a</w:t>
      </w:r>
      <w:r w:rsidR="00CD060A" w:rsidRPr="0078289D">
        <w:rPr>
          <w:color w:val="000000"/>
          <w:sz w:val="28"/>
          <w:szCs w:val="28"/>
          <w:lang w:val="es-ES_tradnl" w:eastAsia="es-ES"/>
        </w:rPr>
        <w:t>l relativo aislamiento de factores externos de perturbación en el que se han desarrollado</w:t>
      </w:r>
      <w:r w:rsidR="00845164" w:rsidRPr="0078289D">
        <w:rPr>
          <w:color w:val="000000"/>
          <w:sz w:val="28"/>
          <w:szCs w:val="28"/>
          <w:lang w:val="es-ES_tradnl" w:eastAsia="es-ES"/>
        </w:rPr>
        <w:t>,</w:t>
      </w:r>
      <w:r w:rsidR="00CD060A" w:rsidRPr="0078289D">
        <w:rPr>
          <w:color w:val="000000"/>
          <w:sz w:val="28"/>
          <w:szCs w:val="28"/>
          <w:lang w:val="es-ES_tradnl" w:eastAsia="es-ES"/>
        </w:rPr>
        <w:t xml:space="preserve"> </w:t>
      </w:r>
      <w:r w:rsidR="007C028D" w:rsidRPr="0078289D">
        <w:rPr>
          <w:color w:val="000000"/>
          <w:sz w:val="28"/>
          <w:szCs w:val="28"/>
          <w:lang w:val="es-ES_tradnl" w:eastAsia="es-ES"/>
        </w:rPr>
        <w:t>impide</w:t>
      </w:r>
      <w:r w:rsidR="00845164" w:rsidRPr="0078289D">
        <w:rPr>
          <w:color w:val="000000"/>
          <w:sz w:val="28"/>
          <w:szCs w:val="28"/>
          <w:lang w:val="es-ES_tradnl" w:eastAsia="es-ES"/>
        </w:rPr>
        <w:t>n</w:t>
      </w:r>
      <w:r w:rsidR="00CD060A" w:rsidRPr="0078289D">
        <w:rPr>
          <w:color w:val="000000"/>
          <w:sz w:val="28"/>
          <w:szCs w:val="28"/>
          <w:lang w:val="es-ES_tradnl" w:eastAsia="es-ES"/>
        </w:rPr>
        <w:t xml:space="preserve"> que </w:t>
      </w:r>
      <w:r w:rsidR="00845164" w:rsidRPr="0078289D">
        <w:rPr>
          <w:color w:val="000000"/>
          <w:sz w:val="28"/>
          <w:szCs w:val="28"/>
          <w:lang w:val="es-ES_tradnl" w:eastAsia="es-ES"/>
        </w:rPr>
        <w:t>sus</w:t>
      </w:r>
      <w:r w:rsidR="007C028D" w:rsidRPr="0078289D">
        <w:rPr>
          <w:color w:val="000000"/>
          <w:sz w:val="28"/>
          <w:szCs w:val="28"/>
          <w:lang w:val="es-ES_tradnl" w:eastAsia="es-ES"/>
        </w:rPr>
        <w:t xml:space="preserve"> elementos se adapten fácilmente al cambio. Es decir, también por su juventud y aislamiento se trata de ecosistemas de baja resiliencia. </w:t>
      </w:r>
    </w:p>
    <w:p w:rsidR="007F3BDD" w:rsidRPr="0078289D" w:rsidRDefault="007F3BDD" w:rsidP="0078289D">
      <w:pPr>
        <w:pStyle w:val="Listavistosa-nfasis11"/>
        <w:spacing w:line="240" w:lineRule="auto"/>
        <w:ind w:left="0"/>
        <w:jc w:val="both"/>
        <w:rPr>
          <w:color w:val="000000"/>
          <w:sz w:val="28"/>
          <w:szCs w:val="28"/>
          <w:lang w:val="es-ES_tradnl" w:eastAsia="es-ES"/>
        </w:rPr>
      </w:pPr>
    </w:p>
    <w:p w:rsidR="001D45DB" w:rsidRPr="0078289D" w:rsidRDefault="00AF54B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173. </w:t>
      </w:r>
      <w:r w:rsidR="008D3CC3" w:rsidRPr="0078289D">
        <w:rPr>
          <w:color w:val="000000"/>
          <w:sz w:val="28"/>
          <w:szCs w:val="28"/>
          <w:lang w:val="es-ES_tradnl" w:eastAsia="es-ES"/>
        </w:rPr>
        <w:t xml:space="preserve">En ese orden de ideas, </w:t>
      </w:r>
      <w:r w:rsidR="00DC2775" w:rsidRPr="0078289D">
        <w:rPr>
          <w:color w:val="000000"/>
          <w:sz w:val="28"/>
          <w:szCs w:val="28"/>
          <w:lang w:val="es-ES_tradnl" w:eastAsia="es-ES"/>
        </w:rPr>
        <w:t>la combinación del valor estratégico y la vulnerabilidad, fragilidad y poca resiliencia de los ecosistemas de p</w:t>
      </w:r>
      <w:r w:rsidR="00EC7BDC" w:rsidRPr="0078289D">
        <w:rPr>
          <w:color w:val="000000"/>
          <w:sz w:val="28"/>
          <w:szCs w:val="28"/>
          <w:lang w:val="es-ES_tradnl" w:eastAsia="es-ES"/>
        </w:rPr>
        <w:t>á</w:t>
      </w:r>
      <w:r w:rsidR="00DC2775" w:rsidRPr="0078289D">
        <w:rPr>
          <w:color w:val="000000"/>
          <w:sz w:val="28"/>
          <w:szCs w:val="28"/>
          <w:lang w:val="es-ES_tradnl" w:eastAsia="es-ES"/>
        </w:rPr>
        <w:t xml:space="preserve">ramo </w:t>
      </w:r>
      <w:r w:rsidR="00EC7BDC" w:rsidRPr="0078289D">
        <w:rPr>
          <w:color w:val="000000"/>
          <w:sz w:val="28"/>
          <w:szCs w:val="28"/>
          <w:lang w:val="es-ES_tradnl" w:eastAsia="es-ES"/>
        </w:rPr>
        <w:t xml:space="preserve">los hace objeto de especial protección constitucional. Sin embargo, como se observa del análisis de las normas que establecen el </w:t>
      </w:r>
      <w:r w:rsidR="00803606" w:rsidRPr="0078289D">
        <w:rPr>
          <w:color w:val="000000"/>
          <w:sz w:val="28"/>
          <w:szCs w:val="28"/>
          <w:lang w:val="es-ES_tradnl" w:eastAsia="es-ES"/>
        </w:rPr>
        <w:t>S</w:t>
      </w:r>
      <w:r w:rsidR="00EC7BDC" w:rsidRPr="0078289D">
        <w:rPr>
          <w:color w:val="000000"/>
          <w:sz w:val="28"/>
          <w:szCs w:val="28"/>
          <w:lang w:val="es-ES_tradnl" w:eastAsia="es-ES"/>
        </w:rPr>
        <w:t xml:space="preserve">istema </w:t>
      </w:r>
      <w:r w:rsidR="00803606" w:rsidRPr="0078289D">
        <w:rPr>
          <w:color w:val="000000"/>
          <w:sz w:val="28"/>
          <w:szCs w:val="28"/>
          <w:lang w:val="es-ES_tradnl" w:eastAsia="es-ES"/>
        </w:rPr>
        <w:t xml:space="preserve">Nacional de Áreas Protegidas, del recuento de proyectos de ley archivados, y de la ineptitud de los mecanismos de protección establecidos </w:t>
      </w:r>
      <w:r w:rsidR="00AA3DC2" w:rsidRPr="0078289D">
        <w:rPr>
          <w:color w:val="000000"/>
          <w:sz w:val="28"/>
          <w:szCs w:val="28"/>
          <w:lang w:val="es-ES_tradnl" w:eastAsia="es-ES"/>
        </w:rPr>
        <w:t xml:space="preserve">en el artículo 173 del actual Plan Nacional de Desarrollo, los ecosistemas de páramo se encuentran en una situación de total desprotección jurídica. </w:t>
      </w:r>
      <w:r w:rsidR="00EF52C2" w:rsidRPr="0078289D">
        <w:rPr>
          <w:color w:val="000000"/>
          <w:sz w:val="28"/>
          <w:szCs w:val="28"/>
          <w:lang w:val="es-ES_tradnl" w:eastAsia="es-ES"/>
        </w:rPr>
        <w:t xml:space="preserve">Esta situación implica un riesgo alto para la provisión de agua potable en condiciones de calidad, </w:t>
      </w:r>
      <w:r w:rsidR="005551D7" w:rsidRPr="0078289D">
        <w:rPr>
          <w:color w:val="000000"/>
          <w:sz w:val="28"/>
          <w:szCs w:val="28"/>
          <w:lang w:val="es-ES_tradnl" w:eastAsia="es-ES"/>
        </w:rPr>
        <w:t>continuidad y acceso para toda la población</w:t>
      </w:r>
      <w:r w:rsidR="004179CA" w:rsidRPr="0078289D">
        <w:rPr>
          <w:color w:val="000000"/>
          <w:sz w:val="28"/>
          <w:szCs w:val="28"/>
          <w:lang w:val="es-ES_tradnl" w:eastAsia="es-ES"/>
        </w:rPr>
        <w:t>, y a la captura de carbono</w:t>
      </w:r>
      <w:r w:rsidR="005014AF" w:rsidRPr="0078289D">
        <w:rPr>
          <w:color w:val="000000"/>
          <w:sz w:val="28"/>
          <w:szCs w:val="28"/>
          <w:lang w:val="es-ES_tradnl" w:eastAsia="es-ES"/>
        </w:rPr>
        <w:t xml:space="preserve"> para mitigar el calentamiento global</w:t>
      </w:r>
      <w:r w:rsidR="004179CA" w:rsidRPr="0078289D">
        <w:rPr>
          <w:color w:val="000000"/>
          <w:sz w:val="28"/>
          <w:szCs w:val="28"/>
          <w:lang w:val="es-ES_tradnl" w:eastAsia="es-ES"/>
        </w:rPr>
        <w:t xml:space="preserve">. </w:t>
      </w:r>
    </w:p>
    <w:p w:rsidR="007F3BDD" w:rsidRPr="0078289D" w:rsidRDefault="007F3BDD" w:rsidP="0078289D">
      <w:pPr>
        <w:pStyle w:val="Listavistosa-nfasis11"/>
        <w:tabs>
          <w:tab w:val="left" w:pos="426"/>
        </w:tabs>
        <w:spacing w:line="240" w:lineRule="auto"/>
        <w:ind w:left="0"/>
        <w:jc w:val="both"/>
        <w:rPr>
          <w:b/>
          <w:color w:val="000000"/>
          <w:sz w:val="28"/>
          <w:szCs w:val="28"/>
          <w:lang w:val="es-ES_tradnl"/>
        </w:rPr>
      </w:pPr>
    </w:p>
    <w:p w:rsidR="00AB7219" w:rsidRPr="0078289D" w:rsidRDefault="00AF54B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174. </w:t>
      </w:r>
      <w:r w:rsidR="001D45DB" w:rsidRPr="0078289D">
        <w:rPr>
          <w:color w:val="000000"/>
          <w:sz w:val="28"/>
          <w:szCs w:val="28"/>
          <w:lang w:val="es-ES_tradnl" w:eastAsia="es-ES"/>
        </w:rPr>
        <w:t xml:space="preserve">Ahora bien, </w:t>
      </w:r>
      <w:r w:rsidR="00FE3E68" w:rsidRPr="0078289D">
        <w:rPr>
          <w:color w:val="000000"/>
          <w:sz w:val="28"/>
          <w:szCs w:val="28"/>
          <w:lang w:val="es-ES_tradnl" w:eastAsia="es-ES"/>
        </w:rPr>
        <w:t xml:space="preserve">la pregunta que debe resolver la Corte es si </w:t>
      </w:r>
      <w:r w:rsidR="000819AB" w:rsidRPr="0078289D">
        <w:rPr>
          <w:color w:val="000000"/>
          <w:sz w:val="28"/>
          <w:szCs w:val="28"/>
          <w:lang w:val="es-ES_tradnl" w:eastAsia="es-ES"/>
        </w:rPr>
        <w:t>resulta</w:t>
      </w:r>
      <w:r w:rsidR="00FE3E68" w:rsidRPr="0078289D">
        <w:rPr>
          <w:color w:val="000000"/>
          <w:sz w:val="28"/>
          <w:szCs w:val="28"/>
          <w:lang w:val="es-ES_tradnl" w:eastAsia="es-ES"/>
        </w:rPr>
        <w:t xml:space="preserve"> razonable </w:t>
      </w:r>
      <w:r w:rsidR="000819AB" w:rsidRPr="0078289D">
        <w:rPr>
          <w:color w:val="000000"/>
          <w:sz w:val="28"/>
          <w:szCs w:val="28"/>
          <w:lang w:val="es-ES_tradnl" w:eastAsia="es-ES"/>
        </w:rPr>
        <w:t xml:space="preserve">permitir </w:t>
      </w:r>
      <w:r w:rsidR="00A85B94" w:rsidRPr="0078289D">
        <w:rPr>
          <w:color w:val="000000"/>
          <w:sz w:val="28"/>
          <w:szCs w:val="28"/>
          <w:lang w:val="es-ES_tradnl" w:eastAsia="es-ES"/>
        </w:rPr>
        <w:t xml:space="preserve">transitoriamente </w:t>
      </w:r>
      <w:r w:rsidR="000819AB" w:rsidRPr="0078289D">
        <w:rPr>
          <w:color w:val="000000"/>
          <w:sz w:val="28"/>
          <w:szCs w:val="28"/>
          <w:lang w:val="es-ES_tradnl" w:eastAsia="es-ES"/>
        </w:rPr>
        <w:t xml:space="preserve">las actividades de minería e hidrocarburos en áreas de especial protección constitucional, cuando existe </w:t>
      </w:r>
      <w:r w:rsidR="008E4183" w:rsidRPr="0078289D">
        <w:rPr>
          <w:color w:val="000000"/>
          <w:sz w:val="28"/>
          <w:szCs w:val="28"/>
          <w:lang w:val="es-ES_tradnl" w:eastAsia="es-ES"/>
        </w:rPr>
        <w:t xml:space="preserve">una </w:t>
      </w:r>
      <w:r w:rsidR="000819AB" w:rsidRPr="0078289D">
        <w:rPr>
          <w:color w:val="000000"/>
          <w:sz w:val="28"/>
          <w:szCs w:val="28"/>
          <w:lang w:val="es-ES_tradnl" w:eastAsia="es-ES"/>
        </w:rPr>
        <w:t>situación de</w:t>
      </w:r>
      <w:r w:rsidR="008E4183" w:rsidRPr="0078289D">
        <w:rPr>
          <w:color w:val="000000"/>
          <w:sz w:val="28"/>
          <w:szCs w:val="28"/>
          <w:lang w:val="es-ES_tradnl" w:eastAsia="es-ES"/>
        </w:rPr>
        <w:t xml:space="preserve"> “déficit de protección” </w:t>
      </w:r>
      <w:r w:rsidR="00AB7219" w:rsidRPr="0078289D">
        <w:rPr>
          <w:color w:val="000000"/>
          <w:sz w:val="28"/>
          <w:szCs w:val="28"/>
          <w:lang w:val="es-ES_tradnl" w:eastAsia="es-ES"/>
        </w:rPr>
        <w:t xml:space="preserve">jurídica, y la disposición que permite dichas actividades no ofrece una garantía real de protección. </w:t>
      </w:r>
    </w:p>
    <w:p w:rsidR="00AB7219" w:rsidRPr="0078289D" w:rsidRDefault="00AB7219" w:rsidP="0078289D">
      <w:pPr>
        <w:pStyle w:val="Listavistosa-nfasis11"/>
        <w:tabs>
          <w:tab w:val="left" w:pos="426"/>
        </w:tabs>
        <w:spacing w:line="240" w:lineRule="auto"/>
        <w:ind w:left="0"/>
        <w:jc w:val="both"/>
        <w:rPr>
          <w:color w:val="000000"/>
          <w:sz w:val="28"/>
          <w:szCs w:val="28"/>
          <w:lang w:val="es-ES_tradnl" w:eastAsia="es-ES"/>
        </w:rPr>
      </w:pPr>
    </w:p>
    <w:p w:rsidR="005A65F6" w:rsidRPr="0078289D" w:rsidRDefault="00A643C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175. </w:t>
      </w:r>
      <w:r w:rsidR="00A85B94" w:rsidRPr="0078289D">
        <w:rPr>
          <w:color w:val="000000"/>
          <w:sz w:val="28"/>
          <w:szCs w:val="28"/>
          <w:lang w:val="es-ES_tradnl" w:eastAsia="es-ES"/>
        </w:rPr>
        <w:t xml:space="preserve">Para la Corte, la respuesta al anterior interrogante debe </w:t>
      </w:r>
      <w:r w:rsidR="00B4209B" w:rsidRPr="0078289D">
        <w:rPr>
          <w:color w:val="000000"/>
          <w:sz w:val="28"/>
          <w:szCs w:val="28"/>
          <w:lang w:val="es-ES_tradnl" w:eastAsia="es-ES"/>
        </w:rPr>
        <w:t>responderse negativamente. E</w:t>
      </w:r>
      <w:r w:rsidR="00160EA6" w:rsidRPr="0078289D">
        <w:rPr>
          <w:color w:val="000000"/>
          <w:sz w:val="28"/>
          <w:szCs w:val="28"/>
          <w:lang w:val="es-ES_tradnl" w:eastAsia="es-ES"/>
        </w:rPr>
        <w:t xml:space="preserve">l sacrificio a los bienes jurídicamente protegidos, como la calidad, continuidad y </w:t>
      </w:r>
      <w:r w:rsidR="00F9106F" w:rsidRPr="0078289D">
        <w:rPr>
          <w:color w:val="000000"/>
          <w:sz w:val="28"/>
          <w:szCs w:val="28"/>
          <w:lang w:val="es-ES_tradnl" w:eastAsia="es-ES"/>
        </w:rPr>
        <w:t xml:space="preserve">accesibilidad del agua, </w:t>
      </w:r>
      <w:r w:rsidR="0002648A" w:rsidRPr="0078289D">
        <w:rPr>
          <w:color w:val="000000"/>
          <w:sz w:val="28"/>
          <w:szCs w:val="28"/>
          <w:lang w:val="es-ES_tradnl" w:eastAsia="es-ES"/>
        </w:rPr>
        <w:t xml:space="preserve">y los demás servicios ambientales que prestan los páramos </w:t>
      </w:r>
      <w:r w:rsidR="00F9106F" w:rsidRPr="0078289D">
        <w:rPr>
          <w:color w:val="000000"/>
          <w:sz w:val="28"/>
          <w:szCs w:val="28"/>
          <w:lang w:val="es-ES_tradnl" w:eastAsia="es-ES"/>
        </w:rPr>
        <w:t>resultan desproporcionados</w:t>
      </w:r>
      <w:r w:rsidR="005232BC" w:rsidRPr="0078289D">
        <w:rPr>
          <w:color w:val="000000"/>
          <w:sz w:val="28"/>
          <w:szCs w:val="28"/>
          <w:lang w:val="es-ES_tradnl" w:eastAsia="es-ES"/>
        </w:rPr>
        <w:t xml:space="preserve"> frente a los eventuales beneficios provenientes de la extracción de recursos no renovables</w:t>
      </w:r>
      <w:r w:rsidR="00F9106F" w:rsidRPr="0078289D">
        <w:rPr>
          <w:color w:val="000000"/>
          <w:sz w:val="28"/>
          <w:szCs w:val="28"/>
          <w:lang w:val="es-ES_tradnl" w:eastAsia="es-ES"/>
        </w:rPr>
        <w:t>.</w:t>
      </w:r>
      <w:r w:rsidR="002620B3" w:rsidRPr="0078289D">
        <w:rPr>
          <w:color w:val="000000"/>
          <w:sz w:val="28"/>
          <w:szCs w:val="28"/>
          <w:lang w:val="es-ES_tradnl" w:eastAsia="es-ES"/>
        </w:rPr>
        <w:t xml:space="preserve"> </w:t>
      </w:r>
      <w:r w:rsidR="0002648A" w:rsidRPr="0078289D">
        <w:rPr>
          <w:color w:val="000000"/>
          <w:sz w:val="28"/>
          <w:szCs w:val="28"/>
          <w:lang w:val="es-ES_tradnl" w:eastAsia="es-ES"/>
        </w:rPr>
        <w:t xml:space="preserve">Tratándose de un ecosistema </w:t>
      </w:r>
      <w:r w:rsidR="00231BC0" w:rsidRPr="0078289D">
        <w:rPr>
          <w:color w:val="000000"/>
          <w:sz w:val="28"/>
          <w:szCs w:val="28"/>
          <w:lang w:val="es-ES_tradnl" w:eastAsia="es-ES"/>
        </w:rPr>
        <w:t>tan vulnerable, frágil y poco adaptable</w:t>
      </w:r>
      <w:r w:rsidR="00AC5689" w:rsidRPr="0078289D">
        <w:rPr>
          <w:color w:val="000000"/>
          <w:sz w:val="28"/>
          <w:szCs w:val="28"/>
          <w:lang w:val="es-ES_tradnl" w:eastAsia="es-ES"/>
        </w:rPr>
        <w:t xml:space="preserve"> como el de los páramos</w:t>
      </w:r>
      <w:r w:rsidR="00231BC0" w:rsidRPr="0078289D">
        <w:rPr>
          <w:color w:val="000000"/>
          <w:sz w:val="28"/>
          <w:szCs w:val="28"/>
          <w:lang w:val="es-ES_tradnl" w:eastAsia="es-ES"/>
        </w:rPr>
        <w:t xml:space="preserve">, su afectación tiende a ser de más largo plazo, cuando no permanente. </w:t>
      </w:r>
    </w:p>
    <w:p w:rsidR="005A65F6" w:rsidRPr="0078289D" w:rsidRDefault="005A65F6" w:rsidP="0078289D">
      <w:pPr>
        <w:pStyle w:val="Listavistosa-nfasis11"/>
        <w:tabs>
          <w:tab w:val="left" w:pos="426"/>
        </w:tabs>
        <w:spacing w:line="240" w:lineRule="auto"/>
        <w:ind w:left="0"/>
        <w:jc w:val="both"/>
        <w:rPr>
          <w:color w:val="000000"/>
          <w:sz w:val="28"/>
          <w:szCs w:val="28"/>
          <w:lang w:val="es-ES_tradnl" w:eastAsia="es-ES"/>
        </w:rPr>
      </w:pPr>
    </w:p>
    <w:p w:rsidR="002620B3" w:rsidRPr="0078289D" w:rsidRDefault="00A643C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176. </w:t>
      </w:r>
      <w:r w:rsidR="005A65F6" w:rsidRPr="0078289D">
        <w:rPr>
          <w:color w:val="000000"/>
          <w:sz w:val="28"/>
          <w:szCs w:val="28"/>
          <w:lang w:val="es-ES_tradnl" w:eastAsia="es-ES"/>
        </w:rPr>
        <w:t xml:space="preserve">Los efectos </w:t>
      </w:r>
      <w:r w:rsidR="00E2435A" w:rsidRPr="0078289D">
        <w:rPr>
          <w:color w:val="000000"/>
          <w:sz w:val="28"/>
          <w:szCs w:val="28"/>
          <w:lang w:val="es-ES_tradnl" w:eastAsia="es-ES"/>
        </w:rPr>
        <w:t xml:space="preserve">ambientales en el largo plazo, es decir, la sostenibilidad ambiental de una disposición legal constituye </w:t>
      </w:r>
      <w:r w:rsidR="00AC5689" w:rsidRPr="0078289D">
        <w:rPr>
          <w:color w:val="000000"/>
          <w:sz w:val="28"/>
          <w:szCs w:val="28"/>
          <w:lang w:val="es-ES_tradnl" w:eastAsia="es-ES"/>
        </w:rPr>
        <w:t>un factor determinante en el análisis de constitucionalidad</w:t>
      </w:r>
      <w:r w:rsidR="000B461E" w:rsidRPr="0078289D">
        <w:rPr>
          <w:color w:val="000000"/>
          <w:sz w:val="28"/>
          <w:szCs w:val="28"/>
          <w:lang w:val="es-ES_tradnl" w:eastAsia="es-ES"/>
        </w:rPr>
        <w:t>.</w:t>
      </w:r>
      <w:r w:rsidR="00646982" w:rsidRPr="0078289D">
        <w:rPr>
          <w:color w:val="000000"/>
          <w:sz w:val="28"/>
          <w:szCs w:val="28"/>
          <w:lang w:val="es-ES_tradnl" w:eastAsia="es-ES"/>
        </w:rPr>
        <w:t xml:space="preserve"> A los órganos de l</w:t>
      </w:r>
      <w:r w:rsidR="00E41B14" w:rsidRPr="0078289D">
        <w:rPr>
          <w:color w:val="000000"/>
          <w:sz w:val="28"/>
          <w:szCs w:val="28"/>
          <w:lang w:val="es-ES_tradnl" w:eastAsia="es-ES"/>
        </w:rPr>
        <w:t xml:space="preserve">as ramas </w:t>
      </w:r>
      <w:r w:rsidR="003C3536" w:rsidRPr="0078289D">
        <w:rPr>
          <w:color w:val="000000"/>
          <w:sz w:val="28"/>
          <w:szCs w:val="28"/>
          <w:lang w:val="es-ES_tradnl" w:eastAsia="es-ES"/>
        </w:rPr>
        <w:t xml:space="preserve">legislativa y ejecutiva </w:t>
      </w:r>
      <w:r w:rsidR="00E41B14" w:rsidRPr="0078289D">
        <w:rPr>
          <w:color w:val="000000"/>
          <w:sz w:val="28"/>
          <w:szCs w:val="28"/>
          <w:lang w:val="es-ES_tradnl" w:eastAsia="es-ES"/>
        </w:rPr>
        <w:t>del p</w:t>
      </w:r>
      <w:r w:rsidR="00646982" w:rsidRPr="0078289D">
        <w:rPr>
          <w:color w:val="000000"/>
          <w:sz w:val="28"/>
          <w:szCs w:val="28"/>
          <w:lang w:val="es-ES_tradnl" w:eastAsia="es-ES"/>
        </w:rPr>
        <w:t>oder</w:t>
      </w:r>
      <w:r w:rsidR="00E41B14" w:rsidRPr="0078289D">
        <w:rPr>
          <w:color w:val="000000"/>
          <w:sz w:val="28"/>
          <w:szCs w:val="28"/>
          <w:lang w:val="es-ES_tradnl" w:eastAsia="es-ES"/>
        </w:rPr>
        <w:t xml:space="preserve"> </w:t>
      </w:r>
      <w:r w:rsidR="00646982" w:rsidRPr="0078289D">
        <w:rPr>
          <w:color w:val="000000"/>
          <w:sz w:val="28"/>
          <w:szCs w:val="28"/>
          <w:lang w:val="es-ES_tradnl" w:eastAsia="es-ES"/>
        </w:rPr>
        <w:t>público</w:t>
      </w:r>
      <w:r w:rsidR="00E41B14" w:rsidRPr="0078289D">
        <w:rPr>
          <w:color w:val="000000"/>
          <w:sz w:val="28"/>
          <w:szCs w:val="28"/>
          <w:lang w:val="es-ES_tradnl" w:eastAsia="es-ES"/>
        </w:rPr>
        <w:t xml:space="preserve"> les corresponde ate</w:t>
      </w:r>
      <w:r w:rsidR="00646982" w:rsidRPr="0078289D">
        <w:rPr>
          <w:color w:val="000000"/>
          <w:sz w:val="28"/>
          <w:szCs w:val="28"/>
          <w:lang w:val="es-ES_tradnl" w:eastAsia="es-ES"/>
        </w:rPr>
        <w:t>nder las necesidades inmediatas de la poblaci</w:t>
      </w:r>
      <w:r w:rsidR="00642A38" w:rsidRPr="0078289D">
        <w:rPr>
          <w:color w:val="000000"/>
          <w:sz w:val="28"/>
          <w:szCs w:val="28"/>
          <w:lang w:val="es-ES_tradnl" w:eastAsia="es-ES"/>
        </w:rPr>
        <w:t xml:space="preserve">ón, y desde este punto de vista tienen una especial preocupación por </w:t>
      </w:r>
      <w:r w:rsidR="000E3389" w:rsidRPr="0078289D">
        <w:rPr>
          <w:color w:val="000000"/>
          <w:sz w:val="28"/>
          <w:szCs w:val="28"/>
          <w:lang w:val="es-ES_tradnl" w:eastAsia="es-ES"/>
        </w:rPr>
        <w:t>garantizar que el Estado cuente con ingresos provenientes de las regalías e impuestos a las actividades extractivas. Sin embargo, dentro de un sistema democrático</w:t>
      </w:r>
      <w:r w:rsidR="00CC59AE" w:rsidRPr="0078289D">
        <w:rPr>
          <w:color w:val="000000"/>
          <w:sz w:val="28"/>
          <w:szCs w:val="28"/>
          <w:lang w:val="es-ES_tradnl" w:eastAsia="es-ES"/>
        </w:rPr>
        <w:t xml:space="preserve"> </w:t>
      </w:r>
      <w:r w:rsidR="00E2435A" w:rsidRPr="0078289D">
        <w:rPr>
          <w:color w:val="000000"/>
          <w:sz w:val="28"/>
          <w:szCs w:val="28"/>
          <w:lang w:val="es-ES_tradnl" w:eastAsia="es-ES"/>
        </w:rPr>
        <w:t>a</w:t>
      </w:r>
      <w:r w:rsidR="00E41B14" w:rsidRPr="0078289D">
        <w:rPr>
          <w:color w:val="000000"/>
          <w:sz w:val="28"/>
          <w:szCs w:val="28"/>
          <w:lang w:val="es-ES_tradnl" w:eastAsia="es-ES"/>
        </w:rPr>
        <w:t xml:space="preserve">l juez constitucional </w:t>
      </w:r>
      <w:r w:rsidR="00FF7DFD" w:rsidRPr="0078289D">
        <w:rPr>
          <w:color w:val="000000"/>
          <w:sz w:val="28"/>
          <w:szCs w:val="28"/>
          <w:lang w:val="es-ES_tradnl" w:eastAsia="es-ES"/>
        </w:rPr>
        <w:t xml:space="preserve">le corresponde servir de contrapeso al énfasis </w:t>
      </w:r>
      <w:r w:rsidR="005A65F6" w:rsidRPr="0078289D">
        <w:rPr>
          <w:color w:val="000000"/>
          <w:sz w:val="28"/>
          <w:szCs w:val="28"/>
          <w:lang w:val="es-ES_tradnl" w:eastAsia="es-ES"/>
        </w:rPr>
        <w:t>que ponen las demás ramas del poder</w:t>
      </w:r>
      <w:r w:rsidR="00294EBC" w:rsidRPr="0078289D">
        <w:rPr>
          <w:color w:val="000000"/>
          <w:sz w:val="28"/>
          <w:szCs w:val="28"/>
          <w:lang w:val="es-ES_tradnl" w:eastAsia="es-ES"/>
        </w:rPr>
        <w:t xml:space="preserve"> en el corto plazo, especialmente las que son elegidas democráticamente</w:t>
      </w:r>
      <w:r w:rsidR="005A65F6" w:rsidRPr="0078289D">
        <w:rPr>
          <w:color w:val="000000"/>
          <w:sz w:val="28"/>
          <w:szCs w:val="28"/>
          <w:lang w:val="es-ES_tradnl" w:eastAsia="es-ES"/>
        </w:rPr>
        <w:t xml:space="preserve">. De tal modo, si bien </w:t>
      </w:r>
      <w:r w:rsidR="00294EBC" w:rsidRPr="0078289D">
        <w:rPr>
          <w:color w:val="000000"/>
          <w:sz w:val="28"/>
          <w:szCs w:val="28"/>
          <w:lang w:val="es-ES_tradnl" w:eastAsia="es-ES"/>
        </w:rPr>
        <w:t xml:space="preserve">el juez constitucional </w:t>
      </w:r>
      <w:r w:rsidR="00CC59AE" w:rsidRPr="0078289D">
        <w:rPr>
          <w:color w:val="000000"/>
          <w:sz w:val="28"/>
          <w:szCs w:val="28"/>
          <w:lang w:val="es-ES_tradnl" w:eastAsia="es-ES"/>
        </w:rPr>
        <w:t xml:space="preserve">no puede desechar los efectos de corto plazo, le corresponde tener una </w:t>
      </w:r>
      <w:r w:rsidR="000B461E" w:rsidRPr="0078289D">
        <w:rPr>
          <w:color w:val="000000"/>
          <w:sz w:val="28"/>
          <w:szCs w:val="28"/>
          <w:lang w:val="es-ES_tradnl" w:eastAsia="es-ES"/>
        </w:rPr>
        <w:t xml:space="preserve">especial </w:t>
      </w:r>
      <w:r w:rsidR="00E41B14" w:rsidRPr="0078289D">
        <w:rPr>
          <w:color w:val="000000"/>
          <w:sz w:val="28"/>
          <w:szCs w:val="28"/>
          <w:lang w:val="es-ES_tradnl" w:eastAsia="es-ES"/>
        </w:rPr>
        <w:t xml:space="preserve">consideración </w:t>
      </w:r>
      <w:r w:rsidR="00FF7DFD" w:rsidRPr="0078289D">
        <w:rPr>
          <w:color w:val="000000"/>
          <w:sz w:val="28"/>
          <w:szCs w:val="28"/>
          <w:lang w:val="es-ES_tradnl" w:eastAsia="es-ES"/>
        </w:rPr>
        <w:t>hacia</w:t>
      </w:r>
      <w:r w:rsidR="00D57C97" w:rsidRPr="0078289D">
        <w:rPr>
          <w:color w:val="000000"/>
          <w:sz w:val="28"/>
          <w:szCs w:val="28"/>
          <w:lang w:val="es-ES_tradnl" w:eastAsia="es-ES"/>
        </w:rPr>
        <w:t xml:space="preserve"> los efectos de</w:t>
      </w:r>
      <w:r w:rsidR="00E41B14" w:rsidRPr="0078289D">
        <w:rPr>
          <w:color w:val="000000"/>
          <w:sz w:val="28"/>
          <w:szCs w:val="28"/>
          <w:lang w:val="es-ES_tradnl" w:eastAsia="es-ES"/>
        </w:rPr>
        <w:t xml:space="preserve"> </w:t>
      </w:r>
      <w:r w:rsidR="00FF7DFD" w:rsidRPr="0078289D">
        <w:rPr>
          <w:color w:val="000000"/>
          <w:sz w:val="28"/>
          <w:szCs w:val="28"/>
          <w:lang w:val="es-ES_tradnl" w:eastAsia="es-ES"/>
        </w:rPr>
        <w:t>largo plazo</w:t>
      </w:r>
      <w:r w:rsidR="000A522A" w:rsidRPr="0078289D">
        <w:rPr>
          <w:color w:val="000000"/>
          <w:sz w:val="28"/>
          <w:szCs w:val="28"/>
          <w:lang w:val="es-ES_tradnl" w:eastAsia="es-ES"/>
        </w:rPr>
        <w:t>, que permiten tener un panorama completo del problema constitucional</w:t>
      </w:r>
      <w:r w:rsidR="007D4FCA" w:rsidRPr="0078289D">
        <w:rPr>
          <w:color w:val="000000"/>
          <w:sz w:val="28"/>
          <w:szCs w:val="28"/>
          <w:lang w:val="es-ES_tradnl" w:eastAsia="es-ES"/>
        </w:rPr>
        <w:t xml:space="preserve"> </w:t>
      </w:r>
      <w:r w:rsidR="000A522A" w:rsidRPr="0078289D">
        <w:rPr>
          <w:color w:val="000000"/>
          <w:sz w:val="28"/>
          <w:szCs w:val="28"/>
          <w:lang w:val="es-ES_tradnl" w:eastAsia="es-ES"/>
        </w:rPr>
        <w:t xml:space="preserve">y de la tensión </w:t>
      </w:r>
      <w:r w:rsidR="007D4FCA" w:rsidRPr="0078289D">
        <w:rPr>
          <w:color w:val="000000"/>
          <w:sz w:val="28"/>
          <w:szCs w:val="28"/>
          <w:lang w:val="es-ES_tradnl" w:eastAsia="es-ES"/>
        </w:rPr>
        <w:t>entre bienes jurídicamente protegidos</w:t>
      </w:r>
      <w:r w:rsidR="000B461E" w:rsidRPr="0078289D">
        <w:rPr>
          <w:color w:val="000000"/>
          <w:sz w:val="28"/>
          <w:szCs w:val="28"/>
          <w:lang w:val="es-ES_tradnl" w:eastAsia="es-ES"/>
        </w:rPr>
        <w:t xml:space="preserve">. </w:t>
      </w:r>
      <w:r w:rsidR="005A65F6" w:rsidRPr="0078289D">
        <w:rPr>
          <w:color w:val="000000"/>
          <w:sz w:val="28"/>
          <w:szCs w:val="28"/>
          <w:lang w:val="es-ES_tradnl" w:eastAsia="es-ES"/>
        </w:rPr>
        <w:t xml:space="preserve">En esa medida, </w:t>
      </w:r>
      <w:r w:rsidR="0016108C" w:rsidRPr="0078289D">
        <w:rPr>
          <w:color w:val="000000"/>
          <w:sz w:val="28"/>
          <w:szCs w:val="28"/>
          <w:lang w:val="es-ES_tradnl" w:eastAsia="es-ES"/>
        </w:rPr>
        <w:t xml:space="preserve">debe darle un valor especial a los efectos de la minería </w:t>
      </w:r>
      <w:r w:rsidR="00D554A9" w:rsidRPr="0078289D">
        <w:rPr>
          <w:color w:val="000000"/>
          <w:sz w:val="28"/>
          <w:szCs w:val="28"/>
          <w:lang w:val="es-ES_tradnl" w:eastAsia="es-ES"/>
        </w:rPr>
        <w:t xml:space="preserve">y </w:t>
      </w:r>
      <w:r w:rsidR="008903E0" w:rsidRPr="0078289D">
        <w:rPr>
          <w:color w:val="000000"/>
          <w:sz w:val="28"/>
          <w:szCs w:val="28"/>
          <w:lang w:val="es-ES_tradnl" w:eastAsia="es-ES"/>
        </w:rPr>
        <w:t xml:space="preserve">a </w:t>
      </w:r>
      <w:r w:rsidR="00D554A9" w:rsidRPr="0078289D">
        <w:rPr>
          <w:color w:val="000000"/>
          <w:sz w:val="28"/>
          <w:szCs w:val="28"/>
          <w:lang w:val="es-ES_tradnl" w:eastAsia="es-ES"/>
        </w:rPr>
        <w:t xml:space="preserve">las actividades hidrocarburíferas </w:t>
      </w:r>
      <w:r w:rsidR="0016108C" w:rsidRPr="0078289D">
        <w:rPr>
          <w:color w:val="000000"/>
          <w:sz w:val="28"/>
          <w:szCs w:val="28"/>
          <w:lang w:val="es-ES_tradnl" w:eastAsia="es-ES"/>
        </w:rPr>
        <w:t xml:space="preserve">sobre los ecosistemas de páramo. </w:t>
      </w:r>
    </w:p>
    <w:p w:rsidR="00D554A9" w:rsidRPr="0078289D" w:rsidRDefault="00D554A9" w:rsidP="0078289D">
      <w:pPr>
        <w:pStyle w:val="Listavistosa-nfasis11"/>
        <w:tabs>
          <w:tab w:val="left" w:pos="426"/>
        </w:tabs>
        <w:spacing w:line="240" w:lineRule="auto"/>
        <w:ind w:left="0"/>
        <w:jc w:val="both"/>
        <w:rPr>
          <w:color w:val="000000"/>
          <w:sz w:val="28"/>
          <w:szCs w:val="28"/>
          <w:lang w:val="es-ES_tradnl" w:eastAsia="es-ES"/>
        </w:rPr>
      </w:pPr>
    </w:p>
    <w:p w:rsidR="0080272C" w:rsidRPr="0078289D" w:rsidRDefault="00D554A9"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Frente al anterior argumento puede alegarse, en gracia de discusión, que no resulta aceptable afirmar que en todos los casos las actividades mineras </w:t>
      </w:r>
      <w:r w:rsidR="00462F83" w:rsidRPr="0078289D">
        <w:rPr>
          <w:color w:val="000000"/>
          <w:sz w:val="28"/>
          <w:szCs w:val="28"/>
          <w:lang w:val="es-ES_tradnl" w:eastAsia="es-ES"/>
        </w:rPr>
        <w:t xml:space="preserve">significan un detrimento sobre el medio ambiente. En esa medida, los efectos de dichas actividades no son una consecuencia necesaria de la disposición demandada, sino de </w:t>
      </w:r>
      <w:r w:rsidR="007203FC" w:rsidRPr="0078289D">
        <w:rPr>
          <w:color w:val="000000"/>
          <w:sz w:val="28"/>
          <w:szCs w:val="28"/>
          <w:lang w:val="es-ES_tradnl" w:eastAsia="es-ES"/>
        </w:rPr>
        <w:t xml:space="preserve">la falta de control por parte de las autoridades ambientales en cada caso concreto. </w:t>
      </w:r>
      <w:r w:rsidR="00FA79FA" w:rsidRPr="0078289D">
        <w:rPr>
          <w:color w:val="000000"/>
          <w:sz w:val="28"/>
          <w:szCs w:val="28"/>
          <w:lang w:val="es-ES_tradnl" w:eastAsia="es-ES"/>
        </w:rPr>
        <w:t>Sin duda, la forma como se llev</w:t>
      </w:r>
      <w:r w:rsidR="007D4FCA" w:rsidRPr="0078289D">
        <w:rPr>
          <w:color w:val="000000"/>
          <w:sz w:val="28"/>
          <w:szCs w:val="28"/>
          <w:lang w:val="es-ES_tradnl" w:eastAsia="es-ES"/>
        </w:rPr>
        <w:t>a</w:t>
      </w:r>
      <w:r w:rsidR="00FA79FA" w:rsidRPr="0078289D">
        <w:rPr>
          <w:color w:val="000000"/>
          <w:sz w:val="28"/>
          <w:szCs w:val="28"/>
          <w:lang w:val="es-ES_tradnl" w:eastAsia="es-ES"/>
        </w:rPr>
        <w:t xml:space="preserve">n a cabo las actividades extractivas tiene gran incidencia sobre los efectos ambientales que se produzcan. En este sentido, existe una gran variación </w:t>
      </w:r>
      <w:r w:rsidR="00C4245C" w:rsidRPr="0078289D">
        <w:rPr>
          <w:color w:val="000000"/>
          <w:sz w:val="28"/>
          <w:szCs w:val="28"/>
          <w:lang w:val="es-ES_tradnl" w:eastAsia="es-ES"/>
        </w:rPr>
        <w:t>entre, p</w:t>
      </w:r>
      <w:r w:rsidR="00696805" w:rsidRPr="0078289D">
        <w:rPr>
          <w:color w:val="000000"/>
          <w:sz w:val="28"/>
          <w:szCs w:val="28"/>
          <w:lang w:val="es-ES_tradnl" w:eastAsia="es-ES"/>
        </w:rPr>
        <w:t>or ejemplo</w:t>
      </w:r>
      <w:r w:rsidR="00C4245C" w:rsidRPr="0078289D">
        <w:rPr>
          <w:color w:val="000000"/>
          <w:sz w:val="28"/>
          <w:szCs w:val="28"/>
          <w:lang w:val="es-ES_tradnl" w:eastAsia="es-ES"/>
        </w:rPr>
        <w:t>, la minería a cielo abierto, y la minería de socavón, o entre la extracción de oro y la explotación de gas</w:t>
      </w:r>
      <w:r w:rsidR="0080272C" w:rsidRPr="0078289D">
        <w:rPr>
          <w:color w:val="000000"/>
          <w:sz w:val="28"/>
          <w:szCs w:val="28"/>
          <w:lang w:val="es-ES_tradnl" w:eastAsia="es-ES"/>
        </w:rPr>
        <w:t>, entre otros. Tanto es así, que en muchos casos los efectos de las actividades resultan inconmensurables.</w:t>
      </w:r>
      <w:r w:rsidR="00696805" w:rsidRPr="0078289D">
        <w:rPr>
          <w:color w:val="000000"/>
          <w:sz w:val="28"/>
          <w:szCs w:val="28"/>
          <w:lang w:val="es-ES_tradnl" w:eastAsia="es-ES"/>
        </w:rPr>
        <w:t xml:space="preserve"> </w:t>
      </w:r>
    </w:p>
    <w:p w:rsidR="0080272C" w:rsidRPr="0078289D" w:rsidRDefault="0080272C" w:rsidP="0078289D">
      <w:pPr>
        <w:pStyle w:val="Listavistosa-nfasis11"/>
        <w:tabs>
          <w:tab w:val="left" w:pos="426"/>
        </w:tabs>
        <w:spacing w:line="240" w:lineRule="auto"/>
        <w:ind w:left="0"/>
        <w:jc w:val="both"/>
        <w:rPr>
          <w:color w:val="000000"/>
          <w:sz w:val="28"/>
          <w:szCs w:val="28"/>
          <w:lang w:val="es-ES_tradnl" w:eastAsia="es-ES"/>
        </w:rPr>
      </w:pPr>
    </w:p>
    <w:p w:rsidR="00D554A9" w:rsidRPr="0078289D" w:rsidRDefault="00A643C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177. </w:t>
      </w:r>
      <w:r w:rsidR="007203FC" w:rsidRPr="0078289D">
        <w:rPr>
          <w:color w:val="000000"/>
          <w:sz w:val="28"/>
          <w:szCs w:val="28"/>
          <w:lang w:val="es-ES_tradnl" w:eastAsia="es-ES"/>
        </w:rPr>
        <w:t xml:space="preserve">En condiciones </w:t>
      </w:r>
      <w:r w:rsidR="00B607B6" w:rsidRPr="0078289D">
        <w:rPr>
          <w:color w:val="000000"/>
          <w:sz w:val="28"/>
          <w:szCs w:val="28"/>
          <w:lang w:val="es-ES_tradnl" w:eastAsia="es-ES"/>
        </w:rPr>
        <w:t xml:space="preserve">normales </w:t>
      </w:r>
      <w:r w:rsidR="0080272C" w:rsidRPr="0078289D">
        <w:rPr>
          <w:color w:val="000000"/>
          <w:sz w:val="28"/>
          <w:szCs w:val="28"/>
          <w:lang w:val="es-ES_tradnl" w:eastAsia="es-ES"/>
        </w:rPr>
        <w:t>el anterior</w:t>
      </w:r>
      <w:r w:rsidR="00B607B6" w:rsidRPr="0078289D">
        <w:rPr>
          <w:color w:val="000000"/>
          <w:sz w:val="28"/>
          <w:szCs w:val="28"/>
          <w:lang w:val="es-ES_tradnl" w:eastAsia="es-ES"/>
        </w:rPr>
        <w:t xml:space="preserve"> argument</w:t>
      </w:r>
      <w:r w:rsidR="007203FC" w:rsidRPr="0078289D">
        <w:rPr>
          <w:color w:val="000000"/>
          <w:sz w:val="28"/>
          <w:szCs w:val="28"/>
          <w:lang w:val="es-ES_tradnl" w:eastAsia="es-ES"/>
        </w:rPr>
        <w:t>o resultar</w:t>
      </w:r>
      <w:r w:rsidR="00B607B6" w:rsidRPr="0078289D">
        <w:rPr>
          <w:color w:val="000000"/>
          <w:sz w:val="28"/>
          <w:szCs w:val="28"/>
          <w:lang w:val="es-ES_tradnl" w:eastAsia="es-ES"/>
        </w:rPr>
        <w:t>í</w:t>
      </w:r>
      <w:r w:rsidR="007203FC" w:rsidRPr="0078289D">
        <w:rPr>
          <w:color w:val="000000"/>
          <w:sz w:val="28"/>
          <w:szCs w:val="28"/>
          <w:lang w:val="es-ES_tradnl" w:eastAsia="es-ES"/>
        </w:rPr>
        <w:t>a plausible</w:t>
      </w:r>
      <w:r w:rsidR="00B607B6" w:rsidRPr="0078289D">
        <w:rPr>
          <w:color w:val="000000"/>
          <w:sz w:val="28"/>
          <w:szCs w:val="28"/>
          <w:lang w:val="es-ES_tradnl" w:eastAsia="es-ES"/>
        </w:rPr>
        <w:t xml:space="preserve">. Sin embargo, ello no ocurre tratándose de los ecosistemas de páramo por </w:t>
      </w:r>
      <w:r w:rsidR="0079793C" w:rsidRPr="0078289D">
        <w:rPr>
          <w:color w:val="000000"/>
          <w:sz w:val="28"/>
          <w:szCs w:val="28"/>
          <w:lang w:val="es-ES_tradnl" w:eastAsia="es-ES"/>
        </w:rPr>
        <w:t>dos</w:t>
      </w:r>
      <w:r w:rsidR="00B607B6" w:rsidRPr="0078289D">
        <w:rPr>
          <w:color w:val="000000"/>
          <w:sz w:val="28"/>
          <w:szCs w:val="28"/>
          <w:lang w:val="es-ES_tradnl" w:eastAsia="es-ES"/>
        </w:rPr>
        <w:t xml:space="preserve"> razones fundamentales. En primer lugar, porque </w:t>
      </w:r>
      <w:r w:rsidR="00336F9D" w:rsidRPr="0078289D">
        <w:rPr>
          <w:color w:val="000000"/>
          <w:sz w:val="28"/>
          <w:szCs w:val="28"/>
          <w:lang w:val="es-ES_tradnl" w:eastAsia="es-ES"/>
        </w:rPr>
        <w:t>como se ha resaltado</w:t>
      </w:r>
      <w:r w:rsidR="001602B9" w:rsidRPr="0078289D">
        <w:rPr>
          <w:color w:val="000000"/>
          <w:sz w:val="28"/>
          <w:szCs w:val="28"/>
          <w:lang w:val="es-ES_tradnl" w:eastAsia="es-ES"/>
        </w:rPr>
        <w:t xml:space="preserve"> a lo largo de esta</w:t>
      </w:r>
      <w:r w:rsidR="00336F9D" w:rsidRPr="0078289D">
        <w:rPr>
          <w:color w:val="000000"/>
          <w:sz w:val="28"/>
          <w:szCs w:val="28"/>
          <w:lang w:val="es-ES_tradnl" w:eastAsia="es-ES"/>
        </w:rPr>
        <w:t xml:space="preserve"> </w:t>
      </w:r>
      <w:r w:rsidR="001602B9" w:rsidRPr="0078289D">
        <w:rPr>
          <w:color w:val="000000"/>
          <w:sz w:val="28"/>
          <w:szCs w:val="28"/>
          <w:lang w:val="es-ES_tradnl" w:eastAsia="es-ES"/>
        </w:rPr>
        <w:t>sentencia</w:t>
      </w:r>
      <w:r w:rsidR="00336F9D" w:rsidRPr="0078289D">
        <w:rPr>
          <w:color w:val="000000"/>
          <w:sz w:val="28"/>
          <w:szCs w:val="28"/>
          <w:lang w:val="es-ES_tradnl" w:eastAsia="es-ES"/>
        </w:rPr>
        <w:t xml:space="preserve">, la evidencia empírica demuestra que los </w:t>
      </w:r>
      <w:r w:rsidR="00294CDE" w:rsidRPr="0078289D">
        <w:rPr>
          <w:color w:val="000000"/>
          <w:sz w:val="28"/>
          <w:szCs w:val="28"/>
          <w:lang w:val="es-ES_tradnl" w:eastAsia="es-ES"/>
        </w:rPr>
        <w:t xml:space="preserve">ecosistemas de páramo son especialmente vulnerables y </w:t>
      </w:r>
      <w:r w:rsidR="00A11590" w:rsidRPr="0078289D">
        <w:rPr>
          <w:color w:val="000000"/>
          <w:sz w:val="28"/>
          <w:szCs w:val="28"/>
          <w:lang w:val="es-ES_tradnl" w:eastAsia="es-ES"/>
        </w:rPr>
        <w:t>difícilmente se logran recuperar</w:t>
      </w:r>
      <w:r w:rsidR="00294CDE" w:rsidRPr="0078289D">
        <w:rPr>
          <w:color w:val="000000"/>
          <w:sz w:val="28"/>
          <w:szCs w:val="28"/>
          <w:lang w:val="es-ES_tradnl" w:eastAsia="es-ES"/>
        </w:rPr>
        <w:t xml:space="preserve">. </w:t>
      </w:r>
      <w:r w:rsidR="004D1634" w:rsidRPr="0078289D">
        <w:rPr>
          <w:color w:val="000000"/>
          <w:sz w:val="28"/>
          <w:szCs w:val="28"/>
          <w:lang w:val="es-ES_tradnl" w:eastAsia="es-ES"/>
        </w:rPr>
        <w:t>As</w:t>
      </w:r>
      <w:r w:rsidR="00A811BE" w:rsidRPr="0078289D">
        <w:rPr>
          <w:color w:val="000000"/>
          <w:sz w:val="28"/>
          <w:szCs w:val="28"/>
          <w:lang w:val="es-ES_tradnl" w:eastAsia="es-ES"/>
        </w:rPr>
        <w:t>í</w:t>
      </w:r>
      <w:r w:rsidR="004D1634" w:rsidRPr="0078289D">
        <w:rPr>
          <w:color w:val="000000"/>
          <w:sz w:val="28"/>
          <w:szCs w:val="28"/>
          <w:lang w:val="es-ES_tradnl" w:eastAsia="es-ES"/>
        </w:rPr>
        <w:t>, por ejemplo, aunque p</w:t>
      </w:r>
      <w:r w:rsidR="00A11590" w:rsidRPr="0078289D">
        <w:rPr>
          <w:color w:val="000000"/>
          <w:sz w:val="28"/>
          <w:szCs w:val="28"/>
          <w:lang w:val="es-ES_tradnl" w:eastAsia="es-ES"/>
        </w:rPr>
        <w:t xml:space="preserve">odría alegarse que la minería de socavón </w:t>
      </w:r>
      <w:r w:rsidR="004D1634" w:rsidRPr="0078289D">
        <w:rPr>
          <w:color w:val="000000"/>
          <w:sz w:val="28"/>
          <w:szCs w:val="28"/>
          <w:lang w:val="es-ES_tradnl" w:eastAsia="es-ES"/>
        </w:rPr>
        <w:t>resulta menos dañina para el suelo</w:t>
      </w:r>
      <w:r w:rsidR="0075785D" w:rsidRPr="0078289D">
        <w:rPr>
          <w:color w:val="000000"/>
          <w:sz w:val="28"/>
          <w:szCs w:val="28"/>
          <w:lang w:val="es-ES_tradnl" w:eastAsia="es-ES"/>
        </w:rPr>
        <w:t>, el aire</w:t>
      </w:r>
      <w:r w:rsidR="004D1634" w:rsidRPr="0078289D">
        <w:rPr>
          <w:color w:val="000000"/>
          <w:sz w:val="28"/>
          <w:szCs w:val="28"/>
          <w:lang w:val="es-ES_tradnl" w:eastAsia="es-ES"/>
        </w:rPr>
        <w:t xml:space="preserve"> y la vegetación, </w:t>
      </w:r>
      <w:r w:rsidR="00A811BE" w:rsidRPr="0078289D">
        <w:rPr>
          <w:color w:val="000000"/>
          <w:sz w:val="28"/>
          <w:szCs w:val="28"/>
          <w:lang w:val="es-ES_tradnl" w:eastAsia="es-ES"/>
        </w:rPr>
        <w:t>lo cierto es que afecta de manera importante los flujos subterráneos de agua</w:t>
      </w:r>
      <w:r w:rsidR="00D661D7" w:rsidRPr="0078289D">
        <w:rPr>
          <w:color w:val="000000"/>
          <w:sz w:val="28"/>
          <w:szCs w:val="28"/>
          <w:lang w:val="es-ES_tradnl" w:eastAsia="es-ES"/>
        </w:rPr>
        <w:t xml:space="preserve">, bloqueando el acceso de la población </w:t>
      </w:r>
      <w:r w:rsidR="00DB756E" w:rsidRPr="0078289D">
        <w:rPr>
          <w:color w:val="000000"/>
          <w:sz w:val="28"/>
          <w:szCs w:val="28"/>
          <w:lang w:val="es-ES_tradnl" w:eastAsia="es-ES"/>
        </w:rPr>
        <w:t>a dicho</w:t>
      </w:r>
      <w:r w:rsidR="00D661D7" w:rsidRPr="0078289D">
        <w:rPr>
          <w:color w:val="000000"/>
          <w:sz w:val="28"/>
          <w:szCs w:val="28"/>
          <w:lang w:val="es-ES_tradnl" w:eastAsia="es-ES"/>
        </w:rPr>
        <w:t xml:space="preserve"> recurso. </w:t>
      </w:r>
      <w:r w:rsidR="00DB756E" w:rsidRPr="0078289D">
        <w:rPr>
          <w:color w:val="000000"/>
          <w:sz w:val="28"/>
          <w:szCs w:val="28"/>
          <w:lang w:val="es-ES_tradnl" w:eastAsia="es-ES"/>
        </w:rPr>
        <w:t xml:space="preserve">Una vez bloqueados los canales subterráneos a través de los cuales fluye el agua del páramo al ecosistema de bosque y </w:t>
      </w:r>
      <w:r w:rsidR="003C791B" w:rsidRPr="0078289D">
        <w:rPr>
          <w:color w:val="000000"/>
          <w:sz w:val="28"/>
          <w:szCs w:val="28"/>
          <w:lang w:val="es-ES_tradnl" w:eastAsia="es-ES"/>
        </w:rPr>
        <w:t>a los centros poblados, resulta prácticamente imposible recuperarlos, lo cual, como ya se explicó, lleva a que los mismos fluyan por la superficie</w:t>
      </w:r>
      <w:r w:rsidR="00061AC8" w:rsidRPr="0078289D">
        <w:rPr>
          <w:color w:val="000000"/>
          <w:sz w:val="28"/>
          <w:szCs w:val="28"/>
          <w:lang w:val="es-ES_tradnl" w:eastAsia="es-ES"/>
        </w:rPr>
        <w:t xml:space="preserve"> de manera acelerada</w:t>
      </w:r>
      <w:r w:rsidR="003C791B" w:rsidRPr="0078289D">
        <w:rPr>
          <w:color w:val="000000"/>
          <w:sz w:val="28"/>
          <w:szCs w:val="28"/>
          <w:lang w:val="es-ES_tradnl" w:eastAsia="es-ES"/>
        </w:rPr>
        <w:t xml:space="preserve">, </w:t>
      </w:r>
      <w:r w:rsidR="00C828EA" w:rsidRPr="0078289D">
        <w:rPr>
          <w:color w:val="000000"/>
          <w:sz w:val="28"/>
          <w:szCs w:val="28"/>
          <w:lang w:val="es-ES_tradnl" w:eastAsia="es-ES"/>
        </w:rPr>
        <w:t xml:space="preserve">dañando la capa vegetal del páramo que es especialmente frágil, y facilitando la erosión. </w:t>
      </w:r>
    </w:p>
    <w:p w:rsidR="001602B9" w:rsidRPr="0078289D" w:rsidRDefault="001602B9" w:rsidP="0078289D">
      <w:pPr>
        <w:pStyle w:val="Listavistosa-nfasis11"/>
        <w:tabs>
          <w:tab w:val="left" w:pos="426"/>
        </w:tabs>
        <w:spacing w:line="240" w:lineRule="auto"/>
        <w:ind w:left="0"/>
        <w:jc w:val="both"/>
        <w:rPr>
          <w:color w:val="000000"/>
          <w:sz w:val="28"/>
          <w:szCs w:val="28"/>
          <w:lang w:val="es-ES_tradnl" w:eastAsia="es-ES"/>
        </w:rPr>
      </w:pPr>
    </w:p>
    <w:p w:rsidR="001602B9" w:rsidRPr="0078289D" w:rsidRDefault="00A643C1"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178. </w:t>
      </w:r>
      <w:r w:rsidR="001602B9" w:rsidRPr="0078289D">
        <w:rPr>
          <w:color w:val="000000"/>
          <w:sz w:val="28"/>
          <w:szCs w:val="28"/>
          <w:lang w:val="es-ES_tradnl" w:eastAsia="es-ES"/>
        </w:rPr>
        <w:t xml:space="preserve">La segunda razón por la cual </w:t>
      </w:r>
      <w:r w:rsidR="00410FAB" w:rsidRPr="0078289D">
        <w:rPr>
          <w:color w:val="000000"/>
          <w:sz w:val="28"/>
          <w:szCs w:val="28"/>
          <w:lang w:val="es-ES_tradnl" w:eastAsia="es-ES"/>
        </w:rPr>
        <w:t xml:space="preserve">el carácter contingente de los daños producidos por </w:t>
      </w:r>
      <w:r w:rsidR="00762374" w:rsidRPr="0078289D">
        <w:rPr>
          <w:color w:val="000000"/>
          <w:sz w:val="28"/>
          <w:szCs w:val="28"/>
          <w:lang w:val="es-ES_tradnl" w:eastAsia="es-ES"/>
        </w:rPr>
        <w:t>la</w:t>
      </w:r>
      <w:r w:rsidR="00730A08" w:rsidRPr="0078289D">
        <w:rPr>
          <w:color w:val="000000"/>
          <w:sz w:val="28"/>
          <w:szCs w:val="28"/>
          <w:lang w:val="es-ES_tradnl" w:eastAsia="es-ES"/>
        </w:rPr>
        <w:t>s</w:t>
      </w:r>
      <w:r w:rsidR="00762374" w:rsidRPr="0078289D">
        <w:rPr>
          <w:color w:val="000000"/>
          <w:sz w:val="28"/>
          <w:szCs w:val="28"/>
          <w:lang w:val="es-ES_tradnl" w:eastAsia="es-ES"/>
        </w:rPr>
        <w:t xml:space="preserve"> actividad</w:t>
      </w:r>
      <w:r w:rsidR="00730A08" w:rsidRPr="0078289D">
        <w:rPr>
          <w:color w:val="000000"/>
          <w:sz w:val="28"/>
          <w:szCs w:val="28"/>
          <w:lang w:val="es-ES_tradnl" w:eastAsia="es-ES"/>
        </w:rPr>
        <w:t>es</w:t>
      </w:r>
      <w:r w:rsidR="00762374" w:rsidRPr="0078289D">
        <w:rPr>
          <w:color w:val="000000"/>
          <w:sz w:val="28"/>
          <w:szCs w:val="28"/>
          <w:lang w:val="es-ES_tradnl" w:eastAsia="es-ES"/>
        </w:rPr>
        <w:t xml:space="preserve"> minera</w:t>
      </w:r>
      <w:r w:rsidR="00730A08" w:rsidRPr="0078289D">
        <w:rPr>
          <w:color w:val="000000"/>
          <w:sz w:val="28"/>
          <w:szCs w:val="28"/>
          <w:lang w:val="es-ES_tradnl" w:eastAsia="es-ES"/>
        </w:rPr>
        <w:t>s y de hidrocarburos</w:t>
      </w:r>
      <w:r w:rsidR="00762374" w:rsidRPr="0078289D">
        <w:rPr>
          <w:color w:val="000000"/>
          <w:sz w:val="28"/>
          <w:szCs w:val="28"/>
          <w:lang w:val="es-ES_tradnl" w:eastAsia="es-ES"/>
        </w:rPr>
        <w:t xml:space="preserve"> </w:t>
      </w:r>
      <w:r w:rsidR="00324BB6" w:rsidRPr="0078289D">
        <w:rPr>
          <w:color w:val="000000"/>
          <w:sz w:val="28"/>
          <w:szCs w:val="28"/>
          <w:lang w:val="es-ES_tradnl" w:eastAsia="es-ES"/>
        </w:rPr>
        <w:t xml:space="preserve">no </w:t>
      </w:r>
      <w:r w:rsidR="00762374" w:rsidRPr="0078289D">
        <w:rPr>
          <w:color w:val="000000"/>
          <w:sz w:val="28"/>
          <w:szCs w:val="28"/>
          <w:lang w:val="es-ES_tradnl" w:eastAsia="es-ES"/>
        </w:rPr>
        <w:t>resulta</w:t>
      </w:r>
      <w:r w:rsidR="00324BB6" w:rsidRPr="0078289D">
        <w:rPr>
          <w:color w:val="000000"/>
          <w:sz w:val="28"/>
          <w:szCs w:val="28"/>
          <w:lang w:val="es-ES_tradnl" w:eastAsia="es-ES"/>
        </w:rPr>
        <w:t xml:space="preserve"> aceptable en el presente caso es el déficit de protección</w:t>
      </w:r>
      <w:r w:rsidR="00730A08" w:rsidRPr="0078289D">
        <w:rPr>
          <w:color w:val="000000"/>
          <w:sz w:val="28"/>
          <w:szCs w:val="28"/>
          <w:lang w:val="es-ES_tradnl" w:eastAsia="es-ES"/>
        </w:rPr>
        <w:t xml:space="preserve"> </w:t>
      </w:r>
      <w:r w:rsidR="00324BB6" w:rsidRPr="0078289D">
        <w:rPr>
          <w:color w:val="000000"/>
          <w:sz w:val="28"/>
          <w:szCs w:val="28"/>
          <w:lang w:val="es-ES_tradnl" w:eastAsia="es-ES"/>
        </w:rPr>
        <w:t xml:space="preserve">de los páramos en nuestro sistema constitucional. </w:t>
      </w:r>
      <w:r w:rsidR="00ED5024" w:rsidRPr="0078289D">
        <w:rPr>
          <w:color w:val="000000"/>
          <w:sz w:val="28"/>
          <w:szCs w:val="28"/>
          <w:lang w:val="es-ES_tradnl" w:eastAsia="es-ES"/>
        </w:rPr>
        <w:t xml:space="preserve">En efecto, la Corte también pudo constatar que en la actualidad no existe un sistema de protección </w:t>
      </w:r>
      <w:r w:rsidR="00D372D5" w:rsidRPr="0078289D">
        <w:rPr>
          <w:color w:val="000000"/>
          <w:sz w:val="28"/>
          <w:szCs w:val="28"/>
          <w:lang w:val="es-ES_tradnl" w:eastAsia="es-ES"/>
        </w:rPr>
        <w:t>especial</w:t>
      </w:r>
      <w:r w:rsidR="00ED5024" w:rsidRPr="0078289D">
        <w:rPr>
          <w:color w:val="000000"/>
          <w:sz w:val="28"/>
          <w:szCs w:val="28"/>
          <w:lang w:val="es-ES_tradnl" w:eastAsia="es-ES"/>
        </w:rPr>
        <w:t xml:space="preserve"> de dichos ecosistemas. </w:t>
      </w:r>
      <w:r w:rsidR="00D372D5" w:rsidRPr="0078289D">
        <w:rPr>
          <w:color w:val="000000"/>
          <w:sz w:val="28"/>
          <w:szCs w:val="28"/>
          <w:lang w:val="es-ES_tradnl" w:eastAsia="es-ES"/>
        </w:rPr>
        <w:t>Sin duda</w:t>
      </w:r>
      <w:r w:rsidR="009E5507" w:rsidRPr="0078289D">
        <w:rPr>
          <w:color w:val="000000"/>
          <w:sz w:val="28"/>
          <w:szCs w:val="28"/>
          <w:lang w:val="es-ES_tradnl" w:eastAsia="es-ES"/>
        </w:rPr>
        <w:t xml:space="preserve"> la</w:t>
      </w:r>
      <w:r w:rsidR="00FD1FD5" w:rsidRPr="0078289D">
        <w:rPr>
          <w:color w:val="000000"/>
          <w:sz w:val="28"/>
          <w:szCs w:val="28"/>
          <w:lang w:val="es-ES_tradnl" w:eastAsia="es-ES"/>
        </w:rPr>
        <w:t>s</w:t>
      </w:r>
      <w:r w:rsidR="009E5507" w:rsidRPr="0078289D">
        <w:rPr>
          <w:color w:val="000000"/>
          <w:sz w:val="28"/>
          <w:szCs w:val="28"/>
          <w:lang w:val="es-ES_tradnl" w:eastAsia="es-ES"/>
        </w:rPr>
        <w:t xml:space="preserve"> actividad</w:t>
      </w:r>
      <w:r w:rsidR="00FD1FD5" w:rsidRPr="0078289D">
        <w:rPr>
          <w:color w:val="000000"/>
          <w:sz w:val="28"/>
          <w:szCs w:val="28"/>
          <w:lang w:val="es-ES_tradnl" w:eastAsia="es-ES"/>
        </w:rPr>
        <w:t>es</w:t>
      </w:r>
      <w:r w:rsidR="009E5507" w:rsidRPr="0078289D">
        <w:rPr>
          <w:color w:val="000000"/>
          <w:sz w:val="28"/>
          <w:szCs w:val="28"/>
          <w:lang w:val="es-ES_tradnl" w:eastAsia="es-ES"/>
        </w:rPr>
        <w:t xml:space="preserve"> minera</w:t>
      </w:r>
      <w:r w:rsidR="00FD1FD5" w:rsidRPr="0078289D">
        <w:rPr>
          <w:color w:val="000000"/>
          <w:sz w:val="28"/>
          <w:szCs w:val="28"/>
          <w:lang w:val="es-ES_tradnl" w:eastAsia="es-ES"/>
        </w:rPr>
        <w:t>s</w:t>
      </w:r>
      <w:r w:rsidR="009E5507" w:rsidRPr="0078289D">
        <w:rPr>
          <w:color w:val="000000"/>
          <w:sz w:val="28"/>
          <w:szCs w:val="28"/>
          <w:lang w:val="es-ES_tradnl" w:eastAsia="es-ES"/>
        </w:rPr>
        <w:t xml:space="preserve"> </w:t>
      </w:r>
      <w:r w:rsidR="00FD1FD5" w:rsidRPr="0078289D">
        <w:rPr>
          <w:color w:val="000000"/>
          <w:sz w:val="28"/>
          <w:szCs w:val="28"/>
          <w:lang w:val="es-ES_tradnl" w:eastAsia="es-ES"/>
        </w:rPr>
        <w:t xml:space="preserve">y de hidrocarburos </w:t>
      </w:r>
      <w:r w:rsidR="009E5507" w:rsidRPr="0078289D">
        <w:rPr>
          <w:color w:val="000000"/>
          <w:sz w:val="28"/>
          <w:szCs w:val="28"/>
          <w:lang w:val="es-ES_tradnl" w:eastAsia="es-ES"/>
        </w:rPr>
        <w:t>puede</w:t>
      </w:r>
      <w:r w:rsidR="00FD1FD5" w:rsidRPr="0078289D">
        <w:rPr>
          <w:color w:val="000000"/>
          <w:sz w:val="28"/>
          <w:szCs w:val="28"/>
          <w:lang w:val="es-ES_tradnl" w:eastAsia="es-ES"/>
        </w:rPr>
        <w:t>n</w:t>
      </w:r>
      <w:r w:rsidR="009E5507" w:rsidRPr="0078289D">
        <w:rPr>
          <w:color w:val="000000"/>
          <w:sz w:val="28"/>
          <w:szCs w:val="28"/>
          <w:lang w:val="es-ES_tradnl" w:eastAsia="es-ES"/>
        </w:rPr>
        <w:t xml:space="preserve"> llevar</w:t>
      </w:r>
      <w:r w:rsidR="00DF30C0" w:rsidRPr="0078289D">
        <w:rPr>
          <w:color w:val="000000"/>
          <w:sz w:val="28"/>
          <w:szCs w:val="28"/>
          <w:lang w:val="es-ES_tradnl" w:eastAsia="es-ES"/>
        </w:rPr>
        <w:t xml:space="preserve">se a cabo de manera responsable, previniendo, mitigando y corrigiendo </w:t>
      </w:r>
      <w:r w:rsidR="001135EC" w:rsidRPr="0078289D">
        <w:rPr>
          <w:color w:val="000000"/>
          <w:sz w:val="28"/>
          <w:szCs w:val="28"/>
          <w:lang w:val="es-ES_tradnl" w:eastAsia="es-ES"/>
        </w:rPr>
        <w:t xml:space="preserve">al máximo </w:t>
      </w:r>
      <w:r w:rsidR="00DF30C0" w:rsidRPr="0078289D">
        <w:rPr>
          <w:color w:val="000000"/>
          <w:sz w:val="28"/>
          <w:szCs w:val="28"/>
          <w:lang w:val="es-ES_tradnl" w:eastAsia="es-ES"/>
        </w:rPr>
        <w:t>los daños</w:t>
      </w:r>
      <w:r w:rsidR="00D15E65" w:rsidRPr="0078289D">
        <w:rPr>
          <w:color w:val="000000"/>
          <w:sz w:val="28"/>
          <w:szCs w:val="28"/>
          <w:lang w:val="es-ES_tradnl" w:eastAsia="es-ES"/>
        </w:rPr>
        <w:t xml:space="preserve"> ambientales.</w:t>
      </w:r>
      <w:r w:rsidR="00D372D5" w:rsidRPr="0078289D">
        <w:rPr>
          <w:color w:val="000000"/>
          <w:sz w:val="28"/>
          <w:szCs w:val="28"/>
          <w:lang w:val="es-ES_tradnl" w:eastAsia="es-ES"/>
        </w:rPr>
        <w:t xml:space="preserve"> </w:t>
      </w:r>
      <w:r w:rsidR="00FD1FD5" w:rsidRPr="0078289D">
        <w:rPr>
          <w:color w:val="000000"/>
          <w:sz w:val="28"/>
          <w:szCs w:val="28"/>
          <w:lang w:val="es-ES_tradnl" w:eastAsia="es-ES"/>
        </w:rPr>
        <w:t>Más aun, algunos particulares están en capacidad</w:t>
      </w:r>
      <w:r w:rsidR="00DA69D1" w:rsidRPr="0078289D">
        <w:rPr>
          <w:color w:val="000000"/>
          <w:sz w:val="28"/>
          <w:szCs w:val="28"/>
          <w:lang w:val="es-ES_tradnl" w:eastAsia="es-ES"/>
        </w:rPr>
        <w:t xml:space="preserve"> y tienen la voluntad</w:t>
      </w:r>
      <w:r w:rsidR="00FD1FD5" w:rsidRPr="0078289D">
        <w:rPr>
          <w:color w:val="000000"/>
          <w:sz w:val="28"/>
          <w:szCs w:val="28"/>
          <w:lang w:val="es-ES_tradnl" w:eastAsia="es-ES"/>
        </w:rPr>
        <w:t xml:space="preserve"> de desarrollar </w:t>
      </w:r>
      <w:r w:rsidR="00DA69D1" w:rsidRPr="0078289D">
        <w:rPr>
          <w:color w:val="000000"/>
          <w:sz w:val="28"/>
          <w:szCs w:val="28"/>
          <w:lang w:val="es-ES_tradnl" w:eastAsia="es-ES"/>
        </w:rPr>
        <w:t xml:space="preserve">estas actividades con los más altos estándares ambientales. Sin embargo, </w:t>
      </w:r>
      <w:r w:rsidR="007030BA" w:rsidRPr="0078289D">
        <w:rPr>
          <w:color w:val="000000"/>
          <w:sz w:val="28"/>
          <w:szCs w:val="28"/>
          <w:lang w:val="es-ES_tradnl" w:eastAsia="es-ES"/>
        </w:rPr>
        <w:t xml:space="preserve">al margen de las prácticas individuales de los particulares, lo cierto es que </w:t>
      </w:r>
      <w:r w:rsidR="00DA69D1" w:rsidRPr="0078289D">
        <w:rPr>
          <w:color w:val="000000"/>
          <w:sz w:val="28"/>
          <w:szCs w:val="28"/>
          <w:lang w:val="es-ES_tradnl" w:eastAsia="es-ES"/>
        </w:rPr>
        <w:t xml:space="preserve">en un ordenamiento jurídico </w:t>
      </w:r>
      <w:r w:rsidR="007030BA" w:rsidRPr="0078289D">
        <w:rPr>
          <w:color w:val="000000"/>
          <w:sz w:val="28"/>
          <w:szCs w:val="28"/>
          <w:lang w:val="es-ES_tradnl" w:eastAsia="es-ES"/>
        </w:rPr>
        <w:t xml:space="preserve">deben existir garantías </w:t>
      </w:r>
      <w:r w:rsidR="008E4FFE" w:rsidRPr="0078289D">
        <w:rPr>
          <w:color w:val="000000"/>
          <w:sz w:val="28"/>
          <w:szCs w:val="28"/>
          <w:lang w:val="es-ES_tradnl" w:eastAsia="es-ES"/>
        </w:rPr>
        <w:t xml:space="preserve">de protección ambiental </w:t>
      </w:r>
      <w:r w:rsidR="00C75C3F" w:rsidRPr="0078289D">
        <w:rPr>
          <w:color w:val="000000"/>
          <w:sz w:val="28"/>
          <w:szCs w:val="28"/>
          <w:lang w:val="es-ES_tradnl" w:eastAsia="es-ES"/>
        </w:rPr>
        <w:t xml:space="preserve">de </w:t>
      </w:r>
      <w:r w:rsidR="00DC1AF1" w:rsidRPr="0078289D">
        <w:rPr>
          <w:color w:val="000000"/>
          <w:sz w:val="28"/>
          <w:szCs w:val="28"/>
          <w:lang w:val="es-ES_tradnl" w:eastAsia="es-ES"/>
        </w:rPr>
        <w:t>carácter vinculante,</w:t>
      </w:r>
      <w:r w:rsidR="00C75C3F" w:rsidRPr="0078289D">
        <w:rPr>
          <w:color w:val="000000"/>
          <w:sz w:val="28"/>
          <w:szCs w:val="28"/>
          <w:lang w:val="es-ES_tradnl" w:eastAsia="es-ES"/>
        </w:rPr>
        <w:t xml:space="preserve"> tanto para las entidades como para los particulares, que sean </w:t>
      </w:r>
      <w:r w:rsidR="008E4FFE" w:rsidRPr="0078289D">
        <w:rPr>
          <w:color w:val="000000"/>
          <w:sz w:val="28"/>
          <w:szCs w:val="28"/>
          <w:lang w:val="es-ES_tradnl" w:eastAsia="es-ES"/>
        </w:rPr>
        <w:t>específicas par</w:t>
      </w:r>
      <w:r w:rsidR="00C75C3F" w:rsidRPr="0078289D">
        <w:rPr>
          <w:color w:val="000000"/>
          <w:sz w:val="28"/>
          <w:szCs w:val="28"/>
          <w:lang w:val="es-ES_tradnl" w:eastAsia="es-ES"/>
        </w:rPr>
        <w:t>a este tipo de ecosistema</w:t>
      </w:r>
      <w:r w:rsidR="008E4FFE" w:rsidRPr="0078289D">
        <w:rPr>
          <w:color w:val="000000"/>
          <w:sz w:val="28"/>
          <w:szCs w:val="28"/>
          <w:lang w:val="es-ES_tradnl" w:eastAsia="es-ES"/>
        </w:rPr>
        <w:t>.</w:t>
      </w:r>
      <w:r w:rsidR="007030BA" w:rsidRPr="0078289D">
        <w:rPr>
          <w:color w:val="000000"/>
          <w:sz w:val="28"/>
          <w:szCs w:val="28"/>
          <w:lang w:val="es-ES_tradnl" w:eastAsia="es-ES"/>
        </w:rPr>
        <w:t xml:space="preserve"> </w:t>
      </w:r>
      <w:r w:rsidR="00F51E11" w:rsidRPr="0078289D">
        <w:rPr>
          <w:color w:val="000000"/>
          <w:sz w:val="28"/>
          <w:szCs w:val="28"/>
          <w:lang w:val="es-ES_tradnl" w:eastAsia="es-ES"/>
        </w:rPr>
        <w:t xml:space="preserve">Las facultades </w:t>
      </w:r>
      <w:r w:rsidR="004C07EA" w:rsidRPr="0078289D">
        <w:rPr>
          <w:color w:val="000000"/>
          <w:sz w:val="28"/>
          <w:szCs w:val="28"/>
          <w:lang w:val="es-ES_tradnl" w:eastAsia="es-ES"/>
        </w:rPr>
        <w:t xml:space="preserve">otorgadas a las autoridades ambientales, de hidrocarburos y mineras </w:t>
      </w:r>
      <w:r w:rsidR="00F51E11" w:rsidRPr="0078289D">
        <w:rPr>
          <w:color w:val="000000"/>
          <w:sz w:val="28"/>
          <w:szCs w:val="28"/>
          <w:lang w:val="es-ES_tradnl" w:eastAsia="es-ES"/>
        </w:rPr>
        <w:t xml:space="preserve">para </w:t>
      </w:r>
      <w:r w:rsidR="004C07EA" w:rsidRPr="0078289D">
        <w:rPr>
          <w:color w:val="000000"/>
          <w:sz w:val="28"/>
          <w:szCs w:val="28"/>
          <w:lang w:val="es-ES_tradnl" w:eastAsia="es-ES"/>
        </w:rPr>
        <w:t>que ejerzan</w:t>
      </w:r>
      <w:r w:rsidR="001F2C0E" w:rsidRPr="0078289D">
        <w:rPr>
          <w:color w:val="000000"/>
          <w:sz w:val="28"/>
          <w:szCs w:val="28"/>
          <w:lang w:val="es-ES_tradnl" w:eastAsia="es-ES"/>
        </w:rPr>
        <w:t xml:space="preserve"> </w:t>
      </w:r>
      <w:r w:rsidR="00EE4379" w:rsidRPr="0078289D">
        <w:rPr>
          <w:color w:val="000000"/>
          <w:sz w:val="28"/>
          <w:szCs w:val="28"/>
          <w:lang w:val="es-ES_tradnl" w:eastAsia="es-ES"/>
        </w:rPr>
        <w:t xml:space="preserve">un </w:t>
      </w:r>
      <w:r w:rsidR="0052540E" w:rsidRPr="0078289D">
        <w:rPr>
          <w:color w:val="000000"/>
          <w:sz w:val="28"/>
          <w:szCs w:val="28"/>
          <w:lang w:val="es-ES_tradnl" w:eastAsia="es-ES"/>
        </w:rPr>
        <w:t>“</w:t>
      </w:r>
      <w:r w:rsidR="00EE4379" w:rsidRPr="0078289D">
        <w:rPr>
          <w:i/>
          <w:color w:val="000000"/>
          <w:sz w:val="28"/>
          <w:szCs w:val="28"/>
          <w:lang w:val="es-ES_tradnl" w:eastAsia="es-ES"/>
        </w:rPr>
        <w:t>control, seguimiento y revisión</w:t>
      </w:r>
      <w:r w:rsidR="0052540E" w:rsidRPr="0078289D">
        <w:rPr>
          <w:color w:val="000000"/>
          <w:sz w:val="28"/>
          <w:szCs w:val="28"/>
          <w:lang w:val="es-ES_tradnl" w:eastAsia="es-ES"/>
        </w:rPr>
        <w:t>”</w:t>
      </w:r>
      <w:r w:rsidR="00EE4379" w:rsidRPr="0078289D">
        <w:rPr>
          <w:color w:val="000000"/>
          <w:sz w:val="28"/>
          <w:szCs w:val="28"/>
          <w:lang w:val="es-ES_tradnl" w:eastAsia="es-ES"/>
        </w:rPr>
        <w:t xml:space="preserve"> de las licencias</w:t>
      </w:r>
      <w:r w:rsidR="007D66C2" w:rsidRPr="0078289D">
        <w:rPr>
          <w:color w:val="000000"/>
          <w:sz w:val="28"/>
          <w:szCs w:val="28"/>
          <w:lang w:val="es-ES_tradnl" w:eastAsia="es-ES"/>
        </w:rPr>
        <w:t>,</w:t>
      </w:r>
      <w:r w:rsidR="00EE4379" w:rsidRPr="0078289D">
        <w:rPr>
          <w:color w:val="000000"/>
          <w:sz w:val="28"/>
          <w:szCs w:val="28"/>
          <w:lang w:val="es-ES_tradnl" w:eastAsia="es-ES"/>
        </w:rPr>
        <w:t xml:space="preserve"> </w:t>
      </w:r>
      <w:r w:rsidR="0052540E" w:rsidRPr="0078289D">
        <w:rPr>
          <w:color w:val="000000"/>
          <w:sz w:val="28"/>
          <w:szCs w:val="28"/>
          <w:lang w:val="es-ES_tradnl" w:eastAsia="es-ES"/>
        </w:rPr>
        <w:t>“</w:t>
      </w:r>
      <w:r w:rsidR="00EE4379" w:rsidRPr="0078289D">
        <w:rPr>
          <w:i/>
          <w:color w:val="000000"/>
          <w:sz w:val="28"/>
          <w:szCs w:val="28"/>
          <w:lang w:val="es-ES_tradnl" w:eastAsia="es-ES"/>
        </w:rPr>
        <w:t xml:space="preserve">aplicando las directrices </w:t>
      </w:r>
      <w:r w:rsidR="0052540E" w:rsidRPr="0078289D">
        <w:rPr>
          <w:i/>
          <w:color w:val="000000"/>
          <w:sz w:val="28"/>
          <w:szCs w:val="28"/>
          <w:lang w:val="es-ES_tradnl" w:eastAsia="es-ES"/>
        </w:rPr>
        <w:t>que para el efecto defina el Ministerio de Ambiente y Desarrollo Sostenible</w:t>
      </w:r>
      <w:r w:rsidR="0052540E" w:rsidRPr="0078289D">
        <w:rPr>
          <w:color w:val="000000"/>
          <w:sz w:val="28"/>
          <w:szCs w:val="28"/>
          <w:lang w:val="es-ES_tradnl" w:eastAsia="es-ES"/>
        </w:rPr>
        <w:t>”</w:t>
      </w:r>
      <w:r w:rsidR="004C07EA" w:rsidRPr="0078289D">
        <w:rPr>
          <w:color w:val="000000"/>
          <w:sz w:val="28"/>
          <w:szCs w:val="28"/>
          <w:lang w:val="es-ES_tradnl" w:eastAsia="es-ES"/>
        </w:rPr>
        <w:t xml:space="preserve"> no constituyen una garantía </w:t>
      </w:r>
      <w:r w:rsidR="00443FBB" w:rsidRPr="0078289D">
        <w:rPr>
          <w:color w:val="000000"/>
          <w:sz w:val="28"/>
          <w:szCs w:val="28"/>
          <w:lang w:val="es-ES_tradnl" w:eastAsia="es-ES"/>
        </w:rPr>
        <w:t xml:space="preserve">de protección ambiental con carácter vinculante. </w:t>
      </w:r>
    </w:p>
    <w:p w:rsidR="00EA7DD7" w:rsidRPr="0078289D" w:rsidRDefault="00EA7DD7" w:rsidP="0078289D">
      <w:pPr>
        <w:pStyle w:val="Listavistosa-nfasis11"/>
        <w:tabs>
          <w:tab w:val="left" w:pos="426"/>
        </w:tabs>
        <w:spacing w:line="240" w:lineRule="auto"/>
        <w:ind w:left="0"/>
        <w:jc w:val="both"/>
        <w:rPr>
          <w:color w:val="000000"/>
          <w:sz w:val="28"/>
          <w:szCs w:val="28"/>
          <w:lang w:val="es-ES_tradnl" w:eastAsia="es-ES"/>
        </w:rPr>
      </w:pPr>
    </w:p>
    <w:p w:rsidR="008E5F89" w:rsidRPr="0078289D" w:rsidRDefault="008E5F89" w:rsidP="0078289D">
      <w:pPr>
        <w:pBdr>
          <w:top w:val="none" w:sz="0" w:space="0" w:color="auto"/>
          <w:left w:val="none" w:sz="0" w:space="0" w:color="auto"/>
          <w:bottom w:val="none" w:sz="0" w:space="0" w:color="auto"/>
          <w:right w:val="none" w:sz="0" w:space="0" w:color="auto"/>
        </w:pBdr>
        <w:jc w:val="both"/>
        <w:rPr>
          <w:b/>
          <w:i/>
          <w:color w:val="000000"/>
          <w:sz w:val="28"/>
          <w:szCs w:val="28"/>
          <w:lang w:val="es-ES_tradnl"/>
        </w:rPr>
      </w:pPr>
      <w:r w:rsidRPr="0078289D">
        <w:rPr>
          <w:b/>
          <w:i/>
          <w:color w:val="000000"/>
          <w:sz w:val="28"/>
          <w:szCs w:val="28"/>
          <w:lang w:val="es-ES_tradnl"/>
        </w:rPr>
        <w:t>Conclusión: las decisiones a adoptar</w:t>
      </w:r>
      <w:r w:rsidR="00DA4FEF" w:rsidRPr="0078289D">
        <w:rPr>
          <w:b/>
          <w:i/>
          <w:color w:val="000000"/>
          <w:sz w:val="28"/>
          <w:szCs w:val="28"/>
          <w:lang w:val="es-ES_tradnl"/>
        </w:rPr>
        <w:t xml:space="preserve"> en relación con el artículo 173 (parcial) de la Ley 1753 de 2015.</w:t>
      </w:r>
    </w:p>
    <w:p w:rsidR="008E5F89" w:rsidRPr="0078289D" w:rsidRDefault="008E5F89" w:rsidP="0078289D">
      <w:pPr>
        <w:pStyle w:val="Listavistosa-nfasis11"/>
        <w:tabs>
          <w:tab w:val="left" w:pos="426"/>
        </w:tabs>
        <w:spacing w:line="240" w:lineRule="auto"/>
        <w:ind w:left="0"/>
        <w:jc w:val="both"/>
        <w:rPr>
          <w:color w:val="000000"/>
          <w:sz w:val="28"/>
          <w:szCs w:val="28"/>
          <w:lang w:val="es-ES_tradnl" w:eastAsia="es-ES"/>
        </w:rPr>
      </w:pPr>
    </w:p>
    <w:p w:rsidR="007704B7" w:rsidRPr="0078289D" w:rsidRDefault="00EA6EAB"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1</w:t>
      </w:r>
      <w:r w:rsidR="003348B1" w:rsidRPr="0078289D">
        <w:rPr>
          <w:color w:val="000000"/>
          <w:sz w:val="28"/>
          <w:szCs w:val="28"/>
          <w:lang w:val="es-ES_tradnl" w:eastAsia="es-ES"/>
        </w:rPr>
        <w:t>79</w:t>
      </w:r>
      <w:r w:rsidRPr="0078289D">
        <w:rPr>
          <w:color w:val="000000"/>
          <w:sz w:val="28"/>
          <w:szCs w:val="28"/>
          <w:lang w:val="es-ES_tradnl" w:eastAsia="es-ES"/>
        </w:rPr>
        <w:t xml:space="preserve">. </w:t>
      </w:r>
      <w:r w:rsidR="00236CEE" w:rsidRPr="0078289D">
        <w:rPr>
          <w:color w:val="000000"/>
          <w:sz w:val="28"/>
          <w:szCs w:val="28"/>
          <w:lang w:val="es-ES_tradnl" w:eastAsia="es-ES"/>
        </w:rPr>
        <w:t xml:space="preserve">Por lo tanto, </w:t>
      </w:r>
      <w:r w:rsidR="00127C7D" w:rsidRPr="0078289D">
        <w:rPr>
          <w:color w:val="000000"/>
          <w:sz w:val="28"/>
          <w:szCs w:val="28"/>
          <w:lang w:val="es-ES_tradnl" w:eastAsia="es-ES"/>
        </w:rPr>
        <w:t xml:space="preserve">la necesidad de proteger constitucionalmente los ecosistemas de páramo </w:t>
      </w:r>
      <w:r w:rsidR="00F666C8" w:rsidRPr="0078289D">
        <w:rPr>
          <w:color w:val="000000"/>
          <w:sz w:val="28"/>
          <w:szCs w:val="28"/>
          <w:lang w:val="es-ES_tradnl" w:eastAsia="es-ES"/>
        </w:rPr>
        <w:t>debido a su fragilidad y a la ausencia de protección jurídica en que se encuentran lleva a la Corte de decl</w:t>
      </w:r>
      <w:r w:rsidR="000E5BE6" w:rsidRPr="0078289D">
        <w:rPr>
          <w:color w:val="000000"/>
          <w:sz w:val="28"/>
          <w:szCs w:val="28"/>
          <w:lang w:val="es-ES_tradnl" w:eastAsia="es-ES"/>
        </w:rPr>
        <w:t>arar la inconstitucionalidad de los incisos primero, segundo y tercero del primer</w:t>
      </w:r>
      <w:r w:rsidR="00F666C8" w:rsidRPr="0078289D">
        <w:rPr>
          <w:color w:val="000000"/>
          <w:sz w:val="28"/>
          <w:szCs w:val="28"/>
          <w:lang w:val="es-ES_tradnl" w:eastAsia="es-ES"/>
        </w:rPr>
        <w:t xml:space="preserve"> parágrafo del artículo 173 de la Ley 1753 de 2015. </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8E488E" w:rsidRPr="0078289D" w:rsidRDefault="00AF54B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1</w:t>
      </w:r>
      <w:r w:rsidR="00670360" w:rsidRPr="0078289D">
        <w:rPr>
          <w:color w:val="000000"/>
          <w:sz w:val="28"/>
          <w:szCs w:val="28"/>
          <w:lang w:val="es-ES_tradnl" w:eastAsia="es-ES"/>
        </w:rPr>
        <w:t>80</w:t>
      </w:r>
      <w:r w:rsidRPr="0078289D">
        <w:rPr>
          <w:color w:val="000000"/>
          <w:sz w:val="28"/>
          <w:szCs w:val="28"/>
          <w:lang w:val="es-ES_tradnl" w:eastAsia="es-ES"/>
        </w:rPr>
        <w:t xml:space="preserve">. </w:t>
      </w:r>
      <w:r w:rsidR="008309E0" w:rsidRPr="0078289D">
        <w:rPr>
          <w:color w:val="000000"/>
          <w:sz w:val="28"/>
          <w:szCs w:val="28"/>
          <w:lang w:val="es-ES_tradnl" w:eastAsia="es-ES"/>
        </w:rPr>
        <w:t>Por otra parte, c</w:t>
      </w:r>
      <w:r w:rsidR="007F3BDD" w:rsidRPr="0078289D">
        <w:rPr>
          <w:color w:val="000000"/>
          <w:sz w:val="28"/>
          <w:szCs w:val="28"/>
          <w:lang w:val="es-ES_tradnl" w:eastAsia="es-ES"/>
        </w:rPr>
        <w:t xml:space="preserve">omo se dijo anteriormente, </w:t>
      </w:r>
      <w:r w:rsidR="00EE68E5" w:rsidRPr="0078289D">
        <w:rPr>
          <w:color w:val="000000"/>
          <w:sz w:val="28"/>
          <w:szCs w:val="28"/>
          <w:lang w:val="es-ES_tradnl" w:eastAsia="es-ES"/>
        </w:rPr>
        <w:t xml:space="preserve">la decisión de la Corte puede resultar ineficaz, toda vez que </w:t>
      </w:r>
      <w:r w:rsidR="00370280" w:rsidRPr="0078289D">
        <w:rPr>
          <w:color w:val="000000"/>
          <w:sz w:val="28"/>
          <w:szCs w:val="28"/>
          <w:lang w:val="es-ES_tradnl" w:eastAsia="es-ES"/>
        </w:rPr>
        <w:t xml:space="preserve">en </w:t>
      </w:r>
      <w:r w:rsidR="00DA4FEF" w:rsidRPr="0078289D">
        <w:rPr>
          <w:color w:val="000000"/>
          <w:sz w:val="28"/>
          <w:szCs w:val="28"/>
          <w:lang w:val="es-ES_tradnl" w:eastAsia="es-ES"/>
        </w:rPr>
        <w:t>el inciso</w:t>
      </w:r>
      <w:r w:rsidR="00370280" w:rsidRPr="0078289D">
        <w:rPr>
          <w:color w:val="000000"/>
          <w:sz w:val="28"/>
          <w:szCs w:val="28"/>
          <w:lang w:val="es-ES_tradnl" w:eastAsia="es-ES"/>
        </w:rPr>
        <w:t xml:space="preserve"> segundo del artículo 173</w:t>
      </w:r>
      <w:r w:rsidR="00DA4FEF" w:rsidRPr="0078289D">
        <w:rPr>
          <w:color w:val="000000"/>
          <w:sz w:val="28"/>
          <w:szCs w:val="28"/>
          <w:lang w:val="es-ES_tradnl" w:eastAsia="es-ES"/>
        </w:rPr>
        <w:t>,</w:t>
      </w:r>
      <w:r w:rsidR="00370280" w:rsidRPr="0078289D">
        <w:rPr>
          <w:color w:val="000000"/>
          <w:sz w:val="28"/>
          <w:szCs w:val="28"/>
          <w:lang w:val="es-ES_tradnl" w:eastAsia="es-ES"/>
        </w:rPr>
        <w:t xml:space="preserve"> que no fue</w:t>
      </w:r>
      <w:r w:rsidR="00DA4FEF" w:rsidRPr="0078289D">
        <w:rPr>
          <w:color w:val="000000"/>
          <w:sz w:val="28"/>
          <w:szCs w:val="28"/>
          <w:lang w:val="es-ES_tradnl" w:eastAsia="es-ES"/>
        </w:rPr>
        <w:t xml:space="preserve"> demandado</w:t>
      </w:r>
      <w:r w:rsidR="00370280" w:rsidRPr="0078289D">
        <w:rPr>
          <w:color w:val="000000"/>
          <w:sz w:val="28"/>
          <w:szCs w:val="28"/>
          <w:lang w:val="es-ES_tradnl" w:eastAsia="es-ES"/>
        </w:rPr>
        <w:t>, el Congreso atribuyó a</w:t>
      </w:r>
      <w:r w:rsidR="00EE68E5" w:rsidRPr="0078289D">
        <w:rPr>
          <w:color w:val="000000"/>
          <w:sz w:val="28"/>
          <w:szCs w:val="28"/>
          <w:lang w:val="es-ES_tradnl" w:eastAsia="es-ES"/>
        </w:rPr>
        <w:t xml:space="preserve">l Ministerio de Ambiente </w:t>
      </w:r>
      <w:r w:rsidR="00370280" w:rsidRPr="0078289D">
        <w:rPr>
          <w:color w:val="000000"/>
          <w:sz w:val="28"/>
          <w:szCs w:val="28"/>
          <w:lang w:val="es-ES_tradnl" w:eastAsia="es-ES"/>
        </w:rPr>
        <w:t xml:space="preserve">la función </w:t>
      </w:r>
      <w:r w:rsidR="00EE68E5" w:rsidRPr="0078289D">
        <w:rPr>
          <w:color w:val="000000"/>
          <w:sz w:val="28"/>
          <w:szCs w:val="28"/>
          <w:lang w:val="es-ES_tradnl" w:eastAsia="es-ES"/>
        </w:rPr>
        <w:t xml:space="preserve">de adelantar </w:t>
      </w:r>
      <w:r w:rsidR="008E488E" w:rsidRPr="0078289D">
        <w:rPr>
          <w:color w:val="000000"/>
          <w:sz w:val="28"/>
          <w:szCs w:val="28"/>
          <w:lang w:val="es-ES_tradnl" w:eastAsia="es-ES"/>
        </w:rPr>
        <w:t xml:space="preserve">el </w:t>
      </w:r>
      <w:r w:rsidR="007F3BDD" w:rsidRPr="0078289D">
        <w:rPr>
          <w:color w:val="000000"/>
          <w:sz w:val="28"/>
          <w:szCs w:val="28"/>
          <w:lang w:val="es-ES_tradnl" w:eastAsia="es-ES"/>
        </w:rPr>
        <w:t>procedimiento para</w:t>
      </w:r>
      <w:r w:rsidR="00EE68E5" w:rsidRPr="0078289D">
        <w:rPr>
          <w:color w:val="000000"/>
          <w:sz w:val="28"/>
          <w:szCs w:val="28"/>
          <w:lang w:val="es-ES_tradnl" w:eastAsia="es-ES"/>
        </w:rPr>
        <w:t xml:space="preserve"> la delimitación de los páramos</w:t>
      </w:r>
      <w:r w:rsidR="008969E7" w:rsidRPr="0078289D">
        <w:rPr>
          <w:color w:val="000000"/>
          <w:sz w:val="28"/>
          <w:szCs w:val="28"/>
          <w:lang w:val="es-ES_tradnl" w:eastAsia="es-ES"/>
        </w:rPr>
        <w:t xml:space="preserve">, y en la realización de dicha función la entidad no está sujeta a los criterios científicos establecidos en las áreas de referencia </w:t>
      </w:r>
      <w:r w:rsidR="00F54A3B" w:rsidRPr="0078289D">
        <w:rPr>
          <w:color w:val="000000"/>
          <w:sz w:val="28"/>
          <w:szCs w:val="28"/>
          <w:lang w:val="es-ES_tradnl" w:eastAsia="es-ES"/>
        </w:rPr>
        <w:t>identificadas por el Instituto Alexander von Humboldt</w:t>
      </w:r>
      <w:r w:rsidR="00EE68E5" w:rsidRPr="0078289D">
        <w:rPr>
          <w:color w:val="000000"/>
          <w:sz w:val="28"/>
          <w:szCs w:val="28"/>
          <w:lang w:val="es-ES_tradnl" w:eastAsia="es-ES"/>
        </w:rPr>
        <w:t>.</w:t>
      </w:r>
      <w:r w:rsidR="008969E7" w:rsidRPr="0078289D">
        <w:rPr>
          <w:color w:val="000000"/>
          <w:sz w:val="28"/>
          <w:szCs w:val="28"/>
          <w:lang w:val="es-ES_tradnl" w:eastAsia="es-ES"/>
        </w:rPr>
        <w:t xml:space="preserve"> </w:t>
      </w:r>
    </w:p>
    <w:p w:rsidR="008E488E" w:rsidRPr="0078289D" w:rsidRDefault="008E488E"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8969E7"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E</w:t>
      </w:r>
      <w:r w:rsidR="00F54A3B" w:rsidRPr="0078289D">
        <w:rPr>
          <w:color w:val="000000"/>
          <w:sz w:val="28"/>
          <w:szCs w:val="28"/>
          <w:lang w:val="es-ES_tradnl" w:eastAsia="es-ES"/>
        </w:rPr>
        <w:t xml:space="preserve">n </w:t>
      </w:r>
      <w:r w:rsidR="008E488E" w:rsidRPr="0078289D">
        <w:rPr>
          <w:color w:val="000000"/>
          <w:sz w:val="28"/>
          <w:szCs w:val="28"/>
          <w:lang w:val="es-ES_tradnl" w:eastAsia="es-ES"/>
        </w:rPr>
        <w:t>virtud de la potestad que tiene el Ministerio de apartarse de los criterios fijados por el IAvH</w:t>
      </w:r>
      <w:r w:rsidR="00F54A3B" w:rsidRPr="0078289D">
        <w:rPr>
          <w:color w:val="000000"/>
          <w:sz w:val="28"/>
          <w:szCs w:val="28"/>
          <w:lang w:val="es-ES_tradnl" w:eastAsia="es-ES"/>
        </w:rPr>
        <w:t xml:space="preserve">, </w:t>
      </w:r>
      <w:r w:rsidR="00443BBF" w:rsidRPr="0078289D">
        <w:rPr>
          <w:color w:val="000000"/>
          <w:sz w:val="28"/>
          <w:szCs w:val="28"/>
          <w:lang w:val="es-ES_tradnl" w:eastAsia="es-ES"/>
        </w:rPr>
        <w:t>sería</w:t>
      </w:r>
      <w:r w:rsidRPr="0078289D">
        <w:rPr>
          <w:color w:val="000000"/>
          <w:sz w:val="28"/>
          <w:szCs w:val="28"/>
          <w:lang w:val="es-ES_tradnl" w:eastAsia="es-ES"/>
        </w:rPr>
        <w:t xml:space="preserve"> posible</w:t>
      </w:r>
      <w:r w:rsidR="00F54A3B" w:rsidRPr="0078289D">
        <w:rPr>
          <w:color w:val="000000"/>
          <w:sz w:val="28"/>
          <w:szCs w:val="28"/>
          <w:lang w:val="es-ES_tradnl" w:eastAsia="es-ES"/>
        </w:rPr>
        <w:t xml:space="preserve"> </w:t>
      </w:r>
      <w:r w:rsidR="00443BBF" w:rsidRPr="0078289D">
        <w:rPr>
          <w:color w:val="000000"/>
          <w:sz w:val="28"/>
          <w:szCs w:val="28"/>
          <w:lang w:val="es-ES_tradnl" w:eastAsia="es-ES"/>
        </w:rPr>
        <w:t>para</w:t>
      </w:r>
      <w:r w:rsidR="009A60CC" w:rsidRPr="0078289D">
        <w:rPr>
          <w:color w:val="000000"/>
          <w:sz w:val="28"/>
          <w:szCs w:val="28"/>
          <w:lang w:val="es-ES_tradnl" w:eastAsia="es-ES"/>
        </w:rPr>
        <w:t xml:space="preserve"> </w:t>
      </w:r>
      <w:r w:rsidR="004D4D36" w:rsidRPr="0078289D">
        <w:rPr>
          <w:color w:val="000000"/>
          <w:sz w:val="28"/>
          <w:szCs w:val="28"/>
          <w:lang w:val="es-ES_tradnl" w:eastAsia="es-ES"/>
        </w:rPr>
        <w:t xml:space="preserve">la cartera de ambiente </w:t>
      </w:r>
      <w:r w:rsidR="009A60CC" w:rsidRPr="0078289D">
        <w:rPr>
          <w:color w:val="000000"/>
          <w:sz w:val="28"/>
          <w:szCs w:val="28"/>
          <w:lang w:val="es-ES_tradnl" w:eastAsia="es-ES"/>
        </w:rPr>
        <w:t>no delimitar</w:t>
      </w:r>
      <w:r w:rsidR="00F54A3B" w:rsidRPr="0078289D">
        <w:rPr>
          <w:color w:val="000000"/>
          <w:sz w:val="28"/>
          <w:szCs w:val="28"/>
          <w:lang w:val="es-ES_tradnl" w:eastAsia="es-ES"/>
        </w:rPr>
        <w:t xml:space="preserve"> los páramos, o </w:t>
      </w:r>
      <w:r w:rsidR="00443BBF" w:rsidRPr="0078289D">
        <w:rPr>
          <w:color w:val="000000"/>
          <w:sz w:val="28"/>
          <w:szCs w:val="28"/>
          <w:lang w:val="es-ES_tradnl" w:eastAsia="es-ES"/>
        </w:rPr>
        <w:t>excluir de la delimitación aquellas áreas en las que se estén desarrollando o se vayan a desarrollar activida</w:t>
      </w:r>
      <w:r w:rsidR="00FF6657" w:rsidRPr="0078289D">
        <w:rPr>
          <w:color w:val="000000"/>
          <w:sz w:val="28"/>
          <w:szCs w:val="28"/>
          <w:lang w:val="es-ES_tradnl" w:eastAsia="es-ES"/>
        </w:rPr>
        <w:t>des mineras o de hidrocarburos. Con ello se</w:t>
      </w:r>
      <w:r w:rsidR="009A60CC" w:rsidRPr="0078289D">
        <w:rPr>
          <w:color w:val="000000"/>
          <w:sz w:val="28"/>
          <w:szCs w:val="28"/>
          <w:lang w:val="es-ES_tradnl" w:eastAsia="es-ES"/>
        </w:rPr>
        <w:t xml:space="preserve"> dejaría </w:t>
      </w:r>
      <w:r w:rsidR="00FF6657" w:rsidRPr="0078289D">
        <w:rPr>
          <w:color w:val="000000"/>
          <w:sz w:val="28"/>
          <w:szCs w:val="28"/>
          <w:lang w:val="es-ES_tradnl" w:eastAsia="es-ES"/>
        </w:rPr>
        <w:t>sin efectos la decisión de esta Corporación</w:t>
      </w:r>
      <w:r w:rsidR="004D4D36" w:rsidRPr="0078289D">
        <w:rPr>
          <w:color w:val="000000"/>
          <w:sz w:val="28"/>
          <w:szCs w:val="28"/>
          <w:lang w:val="es-ES_tradnl" w:eastAsia="es-ES"/>
        </w:rPr>
        <w:t xml:space="preserve">, pues </w:t>
      </w:r>
      <w:r w:rsidR="00DA4FEF" w:rsidRPr="0078289D">
        <w:rPr>
          <w:color w:val="000000"/>
          <w:sz w:val="28"/>
          <w:szCs w:val="28"/>
          <w:lang w:val="es-ES_tradnl" w:eastAsia="es-ES"/>
        </w:rPr>
        <w:t>podría</w:t>
      </w:r>
      <w:r w:rsidR="00F35483" w:rsidRPr="0078289D">
        <w:rPr>
          <w:color w:val="000000"/>
          <w:sz w:val="28"/>
          <w:szCs w:val="28"/>
          <w:lang w:val="es-ES_tradnl" w:eastAsia="es-ES"/>
        </w:rPr>
        <w:t>n</w:t>
      </w:r>
      <w:r w:rsidR="004D4D36" w:rsidRPr="0078289D">
        <w:rPr>
          <w:color w:val="000000"/>
          <w:sz w:val="28"/>
          <w:szCs w:val="28"/>
          <w:lang w:val="es-ES_tradnl" w:eastAsia="es-ES"/>
        </w:rPr>
        <w:t xml:space="preserve"> adelantar</w:t>
      </w:r>
      <w:r w:rsidR="00DA4FEF" w:rsidRPr="0078289D">
        <w:rPr>
          <w:color w:val="000000"/>
          <w:sz w:val="28"/>
          <w:szCs w:val="28"/>
          <w:lang w:val="es-ES_tradnl" w:eastAsia="es-ES"/>
        </w:rPr>
        <w:t>se</w:t>
      </w:r>
      <w:r w:rsidR="004D4D36" w:rsidRPr="0078289D">
        <w:rPr>
          <w:color w:val="000000"/>
          <w:sz w:val="28"/>
          <w:szCs w:val="28"/>
          <w:lang w:val="es-ES_tradnl" w:eastAsia="es-ES"/>
        </w:rPr>
        <w:t xml:space="preserve"> dichas actividades en </w:t>
      </w:r>
      <w:r w:rsidR="00330B56" w:rsidRPr="0078289D">
        <w:rPr>
          <w:color w:val="000000"/>
          <w:sz w:val="28"/>
          <w:szCs w:val="28"/>
          <w:lang w:val="es-ES_tradnl" w:eastAsia="es-ES"/>
        </w:rPr>
        <w:t>á</w:t>
      </w:r>
      <w:r w:rsidR="004D4D36" w:rsidRPr="0078289D">
        <w:rPr>
          <w:color w:val="000000"/>
          <w:sz w:val="28"/>
          <w:szCs w:val="28"/>
          <w:lang w:val="es-ES_tradnl" w:eastAsia="es-ES"/>
        </w:rPr>
        <w:t>r</w:t>
      </w:r>
      <w:r w:rsidR="00330B56" w:rsidRPr="0078289D">
        <w:rPr>
          <w:color w:val="000000"/>
          <w:sz w:val="28"/>
          <w:szCs w:val="28"/>
          <w:lang w:val="es-ES_tradnl" w:eastAsia="es-ES"/>
        </w:rPr>
        <w:t>e</w:t>
      </w:r>
      <w:r w:rsidR="004D4D36" w:rsidRPr="0078289D">
        <w:rPr>
          <w:color w:val="000000"/>
          <w:sz w:val="28"/>
          <w:szCs w:val="28"/>
          <w:lang w:val="es-ES_tradnl" w:eastAsia="es-ES"/>
        </w:rPr>
        <w:t>as que científicamente han sido catalogadas como p</w:t>
      </w:r>
      <w:r w:rsidR="00330B56" w:rsidRPr="0078289D">
        <w:rPr>
          <w:color w:val="000000"/>
          <w:sz w:val="28"/>
          <w:szCs w:val="28"/>
          <w:lang w:val="es-ES_tradnl" w:eastAsia="es-ES"/>
        </w:rPr>
        <w:t>á</w:t>
      </w:r>
      <w:r w:rsidR="004D4D36" w:rsidRPr="0078289D">
        <w:rPr>
          <w:color w:val="000000"/>
          <w:sz w:val="28"/>
          <w:szCs w:val="28"/>
          <w:lang w:val="es-ES_tradnl" w:eastAsia="es-ES"/>
        </w:rPr>
        <w:t>ramos</w:t>
      </w:r>
      <w:r w:rsidR="00330B56" w:rsidRPr="0078289D">
        <w:rPr>
          <w:color w:val="000000"/>
          <w:sz w:val="28"/>
          <w:szCs w:val="28"/>
          <w:lang w:val="es-ES_tradnl" w:eastAsia="es-ES"/>
        </w:rPr>
        <w:t>, pero que el Ministerio ha excluido de l</w:t>
      </w:r>
      <w:r w:rsidR="00085F45" w:rsidRPr="0078289D">
        <w:rPr>
          <w:color w:val="000000"/>
          <w:sz w:val="28"/>
          <w:szCs w:val="28"/>
          <w:lang w:val="es-ES_tradnl" w:eastAsia="es-ES"/>
        </w:rPr>
        <w:t>as áreas delimitadas como tales</w:t>
      </w:r>
      <w:r w:rsidR="00330B56" w:rsidRPr="0078289D">
        <w:rPr>
          <w:color w:val="000000"/>
          <w:sz w:val="28"/>
          <w:szCs w:val="28"/>
          <w:lang w:val="es-ES_tradnl" w:eastAsia="es-ES"/>
        </w:rPr>
        <w:t xml:space="preserve"> </w:t>
      </w:r>
      <w:r w:rsidR="00085F45" w:rsidRPr="0078289D">
        <w:rPr>
          <w:color w:val="000000"/>
          <w:sz w:val="28"/>
          <w:szCs w:val="28"/>
          <w:lang w:val="es-ES_tradnl" w:eastAsia="es-ES"/>
        </w:rPr>
        <w:t xml:space="preserve">o </w:t>
      </w:r>
      <w:r w:rsidR="00D75933" w:rsidRPr="0078289D">
        <w:rPr>
          <w:color w:val="000000"/>
          <w:sz w:val="28"/>
          <w:szCs w:val="28"/>
          <w:lang w:val="es-ES_tradnl" w:eastAsia="es-ES"/>
        </w:rPr>
        <w:t xml:space="preserve">ha </w:t>
      </w:r>
      <w:r w:rsidR="00085F45" w:rsidRPr="0078289D">
        <w:rPr>
          <w:color w:val="000000"/>
          <w:sz w:val="28"/>
          <w:szCs w:val="28"/>
          <w:lang w:val="es-ES_tradnl" w:eastAsia="es-ES"/>
        </w:rPr>
        <w:t xml:space="preserve">dejado de delimitar, </w:t>
      </w:r>
      <w:r w:rsidR="00330B56" w:rsidRPr="0078289D">
        <w:rPr>
          <w:color w:val="000000"/>
          <w:sz w:val="28"/>
          <w:szCs w:val="28"/>
          <w:lang w:val="es-ES_tradnl" w:eastAsia="es-ES"/>
        </w:rPr>
        <w:t xml:space="preserve">sin </w:t>
      </w:r>
      <w:r w:rsidR="00996224" w:rsidRPr="0078289D">
        <w:rPr>
          <w:color w:val="000000"/>
          <w:sz w:val="28"/>
          <w:szCs w:val="28"/>
          <w:lang w:val="es-ES_tradnl" w:eastAsia="es-ES"/>
        </w:rPr>
        <w:t xml:space="preserve">que exista </w:t>
      </w:r>
      <w:r w:rsidR="00330B56" w:rsidRPr="0078289D">
        <w:rPr>
          <w:color w:val="000000"/>
          <w:sz w:val="28"/>
          <w:szCs w:val="28"/>
          <w:lang w:val="es-ES_tradnl" w:eastAsia="es-ES"/>
        </w:rPr>
        <w:t>una justificación de carácter científico</w:t>
      </w:r>
      <w:r w:rsidR="00A713BA" w:rsidRPr="0078289D">
        <w:rPr>
          <w:color w:val="000000"/>
          <w:sz w:val="28"/>
          <w:szCs w:val="28"/>
          <w:lang w:val="es-ES_tradnl" w:eastAsia="es-ES"/>
        </w:rPr>
        <w:t>- ambiental</w:t>
      </w:r>
      <w:r w:rsidR="00A87DB0" w:rsidRPr="0078289D">
        <w:rPr>
          <w:color w:val="000000"/>
          <w:sz w:val="28"/>
          <w:szCs w:val="28"/>
          <w:lang w:val="es-ES_tradnl" w:eastAsia="es-ES"/>
        </w:rPr>
        <w:t xml:space="preserve">. </w:t>
      </w:r>
      <w:r w:rsidR="00996224" w:rsidRPr="0078289D">
        <w:rPr>
          <w:color w:val="000000"/>
          <w:sz w:val="28"/>
          <w:szCs w:val="28"/>
          <w:lang w:val="es-ES_tradnl" w:eastAsia="es-ES"/>
        </w:rPr>
        <w:t>C</w:t>
      </w:r>
      <w:r w:rsidR="00A22ED9" w:rsidRPr="0078289D">
        <w:rPr>
          <w:color w:val="000000"/>
          <w:sz w:val="28"/>
          <w:szCs w:val="28"/>
          <w:lang w:val="es-ES_tradnl" w:eastAsia="es-ES"/>
        </w:rPr>
        <w:t xml:space="preserve">on ello </w:t>
      </w:r>
      <w:r w:rsidR="00A87DB0" w:rsidRPr="0078289D">
        <w:rPr>
          <w:color w:val="000000"/>
          <w:sz w:val="28"/>
          <w:szCs w:val="28"/>
          <w:lang w:val="es-ES_tradnl" w:eastAsia="es-ES"/>
        </w:rPr>
        <w:t xml:space="preserve">se </w:t>
      </w:r>
      <w:r w:rsidR="00A22ED9" w:rsidRPr="0078289D">
        <w:rPr>
          <w:color w:val="000000"/>
          <w:sz w:val="28"/>
          <w:szCs w:val="28"/>
          <w:lang w:val="es-ES_tradnl" w:eastAsia="es-ES"/>
        </w:rPr>
        <w:t>desconoce</w:t>
      </w:r>
      <w:r w:rsidR="00A87DB0" w:rsidRPr="0078289D">
        <w:rPr>
          <w:color w:val="000000"/>
          <w:sz w:val="28"/>
          <w:szCs w:val="28"/>
          <w:lang w:val="es-ES_tradnl" w:eastAsia="es-ES"/>
        </w:rPr>
        <w:t xml:space="preserve"> el deber </w:t>
      </w:r>
      <w:r w:rsidR="003E038A" w:rsidRPr="0078289D">
        <w:rPr>
          <w:color w:val="000000"/>
          <w:sz w:val="28"/>
          <w:szCs w:val="28"/>
          <w:lang w:val="es-ES_tradnl" w:eastAsia="es-ES"/>
        </w:rPr>
        <w:t xml:space="preserve">constitucional </w:t>
      </w:r>
      <w:r w:rsidR="00A87DB0" w:rsidRPr="0078289D">
        <w:rPr>
          <w:color w:val="000000"/>
          <w:sz w:val="28"/>
          <w:szCs w:val="28"/>
          <w:lang w:val="es-ES_tradnl" w:eastAsia="es-ES"/>
        </w:rPr>
        <w:t>de protección de los ecosistemas de páramo</w:t>
      </w:r>
      <w:r w:rsidR="007F3BDD" w:rsidRPr="0078289D">
        <w:rPr>
          <w:color w:val="000000"/>
          <w:sz w:val="28"/>
          <w:szCs w:val="28"/>
          <w:lang w:val="es-ES_tradnl" w:eastAsia="es-ES"/>
        </w:rPr>
        <w:t>.</w:t>
      </w:r>
    </w:p>
    <w:p w:rsidR="007F3BDD" w:rsidRPr="0078289D" w:rsidRDefault="007F3BDD" w:rsidP="0078289D">
      <w:pPr>
        <w:pStyle w:val="Listavistosa-nfasis11"/>
        <w:tabs>
          <w:tab w:val="left" w:pos="426"/>
        </w:tabs>
        <w:spacing w:line="240" w:lineRule="auto"/>
        <w:ind w:left="0"/>
        <w:jc w:val="both"/>
        <w:rPr>
          <w:color w:val="000000"/>
          <w:sz w:val="28"/>
          <w:szCs w:val="28"/>
          <w:lang w:val="es-ES_tradnl" w:eastAsia="es-ES"/>
        </w:rPr>
      </w:pPr>
    </w:p>
    <w:p w:rsidR="00E54208" w:rsidRPr="0078289D" w:rsidRDefault="007F3BDD"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 xml:space="preserve">Por tanto, este Tribunal estima necesario establecer </w:t>
      </w:r>
      <w:r w:rsidR="004D0550" w:rsidRPr="0078289D">
        <w:rPr>
          <w:color w:val="000000"/>
          <w:sz w:val="28"/>
          <w:szCs w:val="28"/>
          <w:lang w:val="es-ES_tradnl" w:eastAsia="es-ES"/>
        </w:rPr>
        <w:t xml:space="preserve">un mecanismo </w:t>
      </w:r>
      <w:r w:rsidR="0030552F" w:rsidRPr="0078289D">
        <w:rPr>
          <w:color w:val="000000"/>
          <w:sz w:val="28"/>
          <w:szCs w:val="28"/>
          <w:lang w:val="es-ES_tradnl" w:eastAsia="es-ES"/>
        </w:rPr>
        <w:t xml:space="preserve">para </w:t>
      </w:r>
      <w:r w:rsidR="004D0550" w:rsidRPr="0078289D">
        <w:rPr>
          <w:color w:val="000000"/>
          <w:sz w:val="28"/>
          <w:szCs w:val="28"/>
          <w:lang w:val="es-ES_tradnl" w:eastAsia="es-ES"/>
        </w:rPr>
        <w:t xml:space="preserve">garantizar la protección de los ecosistemas de páramo. </w:t>
      </w:r>
      <w:r w:rsidR="0030552F" w:rsidRPr="0078289D">
        <w:rPr>
          <w:color w:val="000000"/>
          <w:sz w:val="28"/>
          <w:szCs w:val="28"/>
          <w:lang w:val="es-ES_tradnl" w:eastAsia="es-ES"/>
        </w:rPr>
        <w:t>E</w:t>
      </w:r>
      <w:r w:rsidR="00A52864" w:rsidRPr="0078289D">
        <w:rPr>
          <w:color w:val="000000"/>
          <w:sz w:val="28"/>
          <w:szCs w:val="28"/>
          <w:lang w:val="es-ES_tradnl" w:eastAsia="es-ES"/>
        </w:rPr>
        <w:t xml:space="preserve">ste mecanismo debe </w:t>
      </w:r>
      <w:r w:rsidR="0030552F" w:rsidRPr="0078289D">
        <w:rPr>
          <w:color w:val="000000"/>
          <w:sz w:val="28"/>
          <w:szCs w:val="28"/>
          <w:lang w:val="es-ES_tradnl" w:eastAsia="es-ES"/>
        </w:rPr>
        <w:t>preservar</w:t>
      </w:r>
      <w:r w:rsidR="00A52864" w:rsidRPr="0078289D">
        <w:rPr>
          <w:color w:val="000000"/>
          <w:sz w:val="28"/>
          <w:szCs w:val="28"/>
          <w:lang w:val="es-ES_tradnl" w:eastAsia="es-ES"/>
        </w:rPr>
        <w:t xml:space="preserve"> </w:t>
      </w:r>
      <w:r w:rsidR="006524C8" w:rsidRPr="0078289D">
        <w:rPr>
          <w:color w:val="000000"/>
          <w:sz w:val="28"/>
          <w:szCs w:val="28"/>
          <w:lang w:val="es-ES_tradnl" w:eastAsia="es-ES"/>
        </w:rPr>
        <w:t xml:space="preserve">también </w:t>
      </w:r>
      <w:r w:rsidR="00A52864" w:rsidRPr="0078289D">
        <w:rPr>
          <w:color w:val="000000"/>
          <w:sz w:val="28"/>
          <w:szCs w:val="28"/>
          <w:lang w:val="es-ES_tradnl" w:eastAsia="es-ES"/>
        </w:rPr>
        <w:t>la autonomía del Ministerio de Ambiente para apartarse de las áreas de referencia del IAvH. Sin embargo, esta decisión no puede obedecer al arbitrio del funcionario</w:t>
      </w:r>
      <w:r w:rsidR="00E54208" w:rsidRPr="0078289D">
        <w:rPr>
          <w:color w:val="000000"/>
          <w:sz w:val="28"/>
          <w:szCs w:val="28"/>
          <w:lang w:val="es-ES_tradnl" w:eastAsia="es-ES"/>
        </w:rPr>
        <w:t xml:space="preserve"> que lleva a cabo esta función, como quiera que, </w:t>
      </w:r>
      <w:r w:rsidR="00A713BA" w:rsidRPr="0078289D">
        <w:rPr>
          <w:color w:val="000000"/>
          <w:sz w:val="28"/>
          <w:szCs w:val="28"/>
          <w:lang w:val="es-ES_tradnl" w:eastAsia="es-ES"/>
        </w:rPr>
        <w:t xml:space="preserve">como todas las autoridades administrativas, las decisiones discrecionales no pueden confundirse con las decisiones arbitrarias, de tal forma que todas aquellas </w:t>
      </w:r>
      <w:r w:rsidR="00E54208" w:rsidRPr="0078289D">
        <w:rPr>
          <w:color w:val="000000"/>
          <w:sz w:val="28"/>
          <w:szCs w:val="28"/>
          <w:lang w:val="es-ES_tradnl" w:eastAsia="es-ES"/>
        </w:rPr>
        <w:t xml:space="preserve">determinaciones </w:t>
      </w:r>
      <w:r w:rsidR="00A713BA" w:rsidRPr="0078289D">
        <w:rPr>
          <w:color w:val="000000"/>
          <w:sz w:val="28"/>
          <w:szCs w:val="28"/>
          <w:lang w:val="es-ES_tradnl" w:eastAsia="es-ES"/>
        </w:rPr>
        <w:t>que preservan márgenes amplios de valoración administrativa, de todas maneras deben soportarse o apoyarse en criterios r</w:t>
      </w:r>
      <w:r w:rsidR="00E54208" w:rsidRPr="0078289D">
        <w:rPr>
          <w:color w:val="000000"/>
          <w:sz w:val="28"/>
          <w:szCs w:val="28"/>
          <w:lang w:val="es-ES_tradnl" w:eastAsia="es-ES"/>
        </w:rPr>
        <w:t>azonables y proporcionados explícitamente señalados.</w:t>
      </w:r>
      <w:r w:rsidR="00A713BA" w:rsidRPr="0078289D">
        <w:rPr>
          <w:color w:val="000000"/>
          <w:sz w:val="28"/>
          <w:szCs w:val="28"/>
          <w:lang w:val="es-ES_tradnl" w:eastAsia="es-ES"/>
        </w:rPr>
        <w:t xml:space="preserve"> </w:t>
      </w:r>
    </w:p>
    <w:p w:rsidR="00E54208" w:rsidRPr="0078289D" w:rsidRDefault="00E54208" w:rsidP="0078289D">
      <w:pPr>
        <w:pStyle w:val="Listavistosa-nfasis11"/>
        <w:tabs>
          <w:tab w:val="left" w:pos="426"/>
        </w:tabs>
        <w:spacing w:line="240" w:lineRule="auto"/>
        <w:ind w:left="0"/>
        <w:jc w:val="both"/>
        <w:rPr>
          <w:color w:val="000000"/>
          <w:sz w:val="28"/>
          <w:szCs w:val="28"/>
          <w:lang w:val="es-ES_tradnl" w:eastAsia="es-ES"/>
        </w:rPr>
      </w:pPr>
    </w:p>
    <w:p w:rsidR="00172043" w:rsidRPr="0078289D" w:rsidRDefault="00E54208"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Así las cosas, la Sala concluye que e</w:t>
      </w:r>
      <w:r w:rsidR="00A048E1" w:rsidRPr="0078289D">
        <w:rPr>
          <w:color w:val="000000"/>
          <w:sz w:val="28"/>
          <w:szCs w:val="28"/>
          <w:lang w:val="es-ES_tradnl" w:eastAsia="es-ES"/>
        </w:rPr>
        <w:t xml:space="preserve">l Ministerio </w:t>
      </w:r>
      <w:r w:rsidRPr="0078289D">
        <w:rPr>
          <w:color w:val="000000"/>
          <w:sz w:val="28"/>
          <w:szCs w:val="28"/>
          <w:lang w:val="es-ES_tradnl" w:eastAsia="es-ES"/>
        </w:rPr>
        <w:t xml:space="preserve">de Ambiente </w:t>
      </w:r>
      <w:r w:rsidR="00A048E1" w:rsidRPr="0078289D">
        <w:rPr>
          <w:color w:val="000000"/>
          <w:sz w:val="28"/>
          <w:szCs w:val="28"/>
          <w:lang w:val="es-ES_tradnl" w:eastAsia="es-ES"/>
        </w:rPr>
        <w:t>debe motivar su decisión de apartarse de las ár</w:t>
      </w:r>
      <w:r w:rsidR="00DC0C53" w:rsidRPr="0078289D">
        <w:rPr>
          <w:color w:val="000000"/>
          <w:sz w:val="28"/>
          <w:szCs w:val="28"/>
          <w:lang w:val="es-ES_tradnl" w:eastAsia="es-ES"/>
        </w:rPr>
        <w:t>eas de referencia respectivas con</w:t>
      </w:r>
      <w:r w:rsidR="00A048E1" w:rsidRPr="0078289D">
        <w:rPr>
          <w:color w:val="000000"/>
          <w:sz w:val="28"/>
          <w:szCs w:val="28"/>
          <w:lang w:val="es-ES_tradnl" w:eastAsia="es-ES"/>
        </w:rPr>
        <w:t xml:space="preserve"> </w:t>
      </w:r>
      <w:r w:rsidR="00DC0C53" w:rsidRPr="0078289D">
        <w:rPr>
          <w:color w:val="000000"/>
          <w:sz w:val="28"/>
          <w:szCs w:val="28"/>
          <w:lang w:val="es-ES_tradnl" w:eastAsia="es-ES"/>
        </w:rPr>
        <w:t xml:space="preserve">los </w:t>
      </w:r>
      <w:r w:rsidR="00A048E1" w:rsidRPr="0078289D">
        <w:rPr>
          <w:color w:val="000000"/>
          <w:sz w:val="28"/>
          <w:szCs w:val="28"/>
          <w:lang w:val="es-ES_tradnl" w:eastAsia="es-ES"/>
        </w:rPr>
        <w:t>criterio</w:t>
      </w:r>
      <w:r w:rsidR="00DC0C53" w:rsidRPr="0078289D">
        <w:rPr>
          <w:color w:val="000000"/>
          <w:sz w:val="28"/>
          <w:szCs w:val="28"/>
          <w:lang w:val="es-ES_tradnl" w:eastAsia="es-ES"/>
        </w:rPr>
        <w:t>s autorizados en la ley para definir las áreas y, en todo caso, con aspectos</w:t>
      </w:r>
      <w:r w:rsidR="00A048E1" w:rsidRPr="0078289D">
        <w:rPr>
          <w:color w:val="000000"/>
          <w:sz w:val="28"/>
          <w:szCs w:val="28"/>
          <w:lang w:val="es-ES_tradnl" w:eastAsia="es-ES"/>
        </w:rPr>
        <w:t xml:space="preserve"> </w:t>
      </w:r>
      <w:r w:rsidR="00DC0C53" w:rsidRPr="0078289D">
        <w:rPr>
          <w:color w:val="000000"/>
          <w:sz w:val="28"/>
          <w:szCs w:val="28"/>
          <w:lang w:val="es-ES_tradnl" w:eastAsia="es-ES"/>
        </w:rPr>
        <w:t>técnicos ambientales</w:t>
      </w:r>
      <w:r w:rsidR="002004A7" w:rsidRPr="0078289D">
        <w:rPr>
          <w:color w:val="000000"/>
          <w:sz w:val="28"/>
          <w:szCs w:val="28"/>
          <w:lang w:val="es-ES_tradnl" w:eastAsia="es-ES"/>
        </w:rPr>
        <w:t>. Ahora</w:t>
      </w:r>
      <w:r w:rsidR="00172043" w:rsidRPr="0078289D">
        <w:rPr>
          <w:color w:val="000000"/>
          <w:sz w:val="28"/>
          <w:szCs w:val="28"/>
          <w:lang w:val="es-ES_tradnl" w:eastAsia="es-ES"/>
        </w:rPr>
        <w:t xml:space="preserve"> bien</w:t>
      </w:r>
      <w:r w:rsidR="002004A7" w:rsidRPr="0078289D">
        <w:rPr>
          <w:color w:val="000000"/>
          <w:sz w:val="28"/>
          <w:szCs w:val="28"/>
          <w:lang w:val="es-ES_tradnl" w:eastAsia="es-ES"/>
        </w:rPr>
        <w:t xml:space="preserve">, </w:t>
      </w:r>
      <w:r w:rsidR="006524C8" w:rsidRPr="0078289D">
        <w:rPr>
          <w:color w:val="000000"/>
          <w:sz w:val="28"/>
          <w:szCs w:val="28"/>
          <w:lang w:val="es-ES_tradnl" w:eastAsia="es-ES"/>
        </w:rPr>
        <w:t xml:space="preserve">con todo, </w:t>
      </w:r>
      <w:r w:rsidR="002004A7" w:rsidRPr="0078289D">
        <w:rPr>
          <w:color w:val="000000"/>
          <w:sz w:val="28"/>
          <w:szCs w:val="28"/>
          <w:lang w:val="es-ES_tradnl" w:eastAsia="es-ES"/>
        </w:rPr>
        <w:t xml:space="preserve">como se sostuvo anteriormente, existen múltiples </w:t>
      </w:r>
      <w:r w:rsidR="0030552F" w:rsidRPr="0078289D">
        <w:rPr>
          <w:color w:val="000000"/>
          <w:sz w:val="28"/>
          <w:szCs w:val="28"/>
          <w:lang w:val="es-ES_tradnl" w:eastAsia="es-ES"/>
        </w:rPr>
        <w:t>posturas científica</w:t>
      </w:r>
      <w:r w:rsidR="002004A7" w:rsidRPr="0078289D">
        <w:rPr>
          <w:color w:val="000000"/>
          <w:sz w:val="28"/>
          <w:szCs w:val="28"/>
          <w:lang w:val="es-ES_tradnl" w:eastAsia="es-ES"/>
        </w:rPr>
        <w:t xml:space="preserve">s </w:t>
      </w:r>
      <w:r w:rsidR="00172043" w:rsidRPr="0078289D">
        <w:rPr>
          <w:color w:val="000000"/>
          <w:sz w:val="28"/>
          <w:szCs w:val="28"/>
          <w:lang w:val="es-ES_tradnl" w:eastAsia="es-ES"/>
        </w:rPr>
        <w:t xml:space="preserve">en torno a los criterios para la identificación y delimitación de los páramos, y ello representa una dificultad de orden práctico. </w:t>
      </w:r>
      <w:r w:rsidR="006524C8" w:rsidRPr="0078289D">
        <w:rPr>
          <w:color w:val="000000"/>
          <w:sz w:val="28"/>
          <w:szCs w:val="28"/>
          <w:lang w:val="es-ES_tradnl" w:eastAsia="es-ES"/>
        </w:rPr>
        <w:t xml:space="preserve">Sin embargo, </w:t>
      </w:r>
      <w:r w:rsidR="00C71DA8" w:rsidRPr="0078289D">
        <w:rPr>
          <w:color w:val="000000"/>
          <w:sz w:val="28"/>
          <w:szCs w:val="28"/>
          <w:lang w:val="es-ES_tradnl" w:eastAsia="es-ES"/>
        </w:rPr>
        <w:t xml:space="preserve">sin negar la importancia que representa dicha dificultad para la comunidad científica, desde el punto de vista </w:t>
      </w:r>
      <w:r w:rsidR="00AE6AAE" w:rsidRPr="0078289D">
        <w:rPr>
          <w:color w:val="000000"/>
          <w:sz w:val="28"/>
          <w:szCs w:val="28"/>
          <w:lang w:val="es-ES_tradnl" w:eastAsia="es-ES"/>
        </w:rPr>
        <w:t>constitucional</w:t>
      </w:r>
      <w:r w:rsidR="00DC0C53" w:rsidRPr="0078289D">
        <w:rPr>
          <w:color w:val="000000"/>
          <w:sz w:val="28"/>
          <w:szCs w:val="28"/>
          <w:lang w:val="es-ES_tradnl" w:eastAsia="es-ES"/>
        </w:rPr>
        <w:t>,</w:t>
      </w:r>
      <w:r w:rsidR="00333A48" w:rsidRPr="0078289D">
        <w:rPr>
          <w:color w:val="000000"/>
          <w:sz w:val="28"/>
          <w:szCs w:val="28"/>
          <w:lang w:val="es-ES_tradnl" w:eastAsia="es-ES"/>
        </w:rPr>
        <w:t xml:space="preserve"> </w:t>
      </w:r>
      <w:r w:rsidR="00AE6AAE" w:rsidRPr="0078289D">
        <w:rPr>
          <w:color w:val="000000"/>
          <w:sz w:val="28"/>
          <w:szCs w:val="28"/>
          <w:lang w:val="es-ES_tradnl" w:eastAsia="es-ES"/>
        </w:rPr>
        <w:t>el Ministerio de Ambiente</w:t>
      </w:r>
      <w:r w:rsidR="00333A48" w:rsidRPr="0078289D">
        <w:rPr>
          <w:color w:val="000000"/>
          <w:sz w:val="28"/>
          <w:szCs w:val="28"/>
          <w:lang w:val="es-ES_tradnl" w:eastAsia="es-ES"/>
        </w:rPr>
        <w:t xml:space="preserve"> debe preferir </w:t>
      </w:r>
      <w:r w:rsidR="0029362F" w:rsidRPr="0078289D">
        <w:rPr>
          <w:color w:val="000000"/>
          <w:sz w:val="28"/>
          <w:szCs w:val="28"/>
          <w:lang w:val="es-ES_tradnl" w:eastAsia="es-ES"/>
        </w:rPr>
        <w:t xml:space="preserve">siempre </w:t>
      </w:r>
      <w:r w:rsidR="00333A48" w:rsidRPr="0078289D">
        <w:rPr>
          <w:color w:val="000000"/>
          <w:sz w:val="28"/>
          <w:szCs w:val="28"/>
          <w:lang w:val="es-ES_tradnl" w:eastAsia="es-ES"/>
        </w:rPr>
        <w:t xml:space="preserve">el criterio </w:t>
      </w:r>
      <w:r w:rsidR="0029362F" w:rsidRPr="0078289D">
        <w:rPr>
          <w:color w:val="000000"/>
          <w:sz w:val="28"/>
          <w:szCs w:val="28"/>
          <w:lang w:val="es-ES_tradnl" w:eastAsia="es-ES"/>
        </w:rPr>
        <w:t xml:space="preserve">de delimitación </w:t>
      </w:r>
      <w:r w:rsidR="00333A48" w:rsidRPr="0078289D">
        <w:rPr>
          <w:color w:val="000000"/>
          <w:sz w:val="28"/>
          <w:szCs w:val="28"/>
          <w:lang w:val="es-ES_tradnl" w:eastAsia="es-ES"/>
        </w:rPr>
        <w:t xml:space="preserve">que provea el mayor grado </w:t>
      </w:r>
      <w:r w:rsidR="0029362F" w:rsidRPr="0078289D">
        <w:rPr>
          <w:color w:val="000000"/>
          <w:sz w:val="28"/>
          <w:szCs w:val="28"/>
          <w:lang w:val="es-ES_tradnl" w:eastAsia="es-ES"/>
        </w:rPr>
        <w:t xml:space="preserve">de protección del ecosistema de páramo, </w:t>
      </w:r>
      <w:r w:rsidR="00AE6AAE" w:rsidRPr="0078289D">
        <w:rPr>
          <w:color w:val="000000"/>
          <w:sz w:val="28"/>
          <w:szCs w:val="28"/>
          <w:lang w:val="es-ES_tradnl" w:eastAsia="es-ES"/>
        </w:rPr>
        <w:t xml:space="preserve">puesto que de </w:t>
      </w:r>
      <w:r w:rsidR="009764DE" w:rsidRPr="0078289D">
        <w:rPr>
          <w:color w:val="000000"/>
          <w:sz w:val="28"/>
          <w:szCs w:val="28"/>
          <w:lang w:val="es-ES_tradnl" w:eastAsia="es-ES"/>
        </w:rPr>
        <w:t>ello depende la eficacia de un derecho fundamental, y en particular,</w:t>
      </w:r>
      <w:r w:rsidR="00A44A60" w:rsidRPr="0078289D">
        <w:rPr>
          <w:color w:val="000000"/>
          <w:sz w:val="28"/>
          <w:szCs w:val="28"/>
          <w:lang w:val="es-ES_tradnl" w:eastAsia="es-ES"/>
        </w:rPr>
        <w:t xml:space="preserve"> </w:t>
      </w:r>
      <w:r w:rsidR="00AE6AAE" w:rsidRPr="0078289D">
        <w:rPr>
          <w:color w:val="000000"/>
          <w:sz w:val="28"/>
          <w:szCs w:val="28"/>
          <w:lang w:val="es-ES_tradnl" w:eastAsia="es-ES"/>
        </w:rPr>
        <w:t>la</w:t>
      </w:r>
      <w:r w:rsidR="00260221" w:rsidRPr="0078289D">
        <w:rPr>
          <w:color w:val="000000"/>
          <w:sz w:val="28"/>
          <w:szCs w:val="28"/>
          <w:lang w:val="es-ES_tradnl" w:eastAsia="es-ES"/>
        </w:rPr>
        <w:t>s garantías de</w:t>
      </w:r>
      <w:r w:rsidR="00AE6AAE" w:rsidRPr="0078289D">
        <w:rPr>
          <w:color w:val="000000"/>
          <w:sz w:val="28"/>
          <w:szCs w:val="28"/>
          <w:lang w:val="es-ES_tradnl" w:eastAsia="es-ES"/>
        </w:rPr>
        <w:t xml:space="preserve"> </w:t>
      </w:r>
      <w:r w:rsidR="009764DE" w:rsidRPr="0078289D">
        <w:rPr>
          <w:color w:val="000000"/>
          <w:sz w:val="28"/>
          <w:szCs w:val="28"/>
          <w:lang w:val="es-ES_tradnl" w:eastAsia="es-ES"/>
        </w:rPr>
        <w:t xml:space="preserve">calidad, continuidad y acceso al agua. </w:t>
      </w:r>
    </w:p>
    <w:p w:rsidR="00172043" w:rsidRPr="0078289D" w:rsidRDefault="00172043" w:rsidP="0078289D">
      <w:pPr>
        <w:pStyle w:val="Listavistosa-nfasis11"/>
        <w:tabs>
          <w:tab w:val="left" w:pos="426"/>
        </w:tabs>
        <w:spacing w:line="240" w:lineRule="auto"/>
        <w:ind w:left="0"/>
        <w:jc w:val="both"/>
        <w:rPr>
          <w:color w:val="000000"/>
          <w:sz w:val="28"/>
          <w:szCs w:val="28"/>
          <w:lang w:val="es-ES_tradnl" w:eastAsia="es-ES"/>
        </w:rPr>
      </w:pPr>
    </w:p>
    <w:p w:rsidR="007F3BDD" w:rsidRPr="0078289D" w:rsidRDefault="00A44A60" w:rsidP="0078289D">
      <w:pPr>
        <w:pStyle w:val="Listavistosa-nfasis11"/>
        <w:tabs>
          <w:tab w:val="left" w:pos="426"/>
        </w:tabs>
        <w:spacing w:line="240" w:lineRule="auto"/>
        <w:ind w:left="0"/>
        <w:jc w:val="both"/>
        <w:rPr>
          <w:color w:val="000000"/>
          <w:sz w:val="28"/>
          <w:szCs w:val="28"/>
          <w:lang w:val="es-ES_tradnl" w:eastAsia="es-ES"/>
        </w:rPr>
      </w:pPr>
      <w:r w:rsidRPr="0078289D">
        <w:rPr>
          <w:color w:val="000000"/>
          <w:sz w:val="28"/>
          <w:szCs w:val="28"/>
          <w:lang w:val="es-ES_tradnl" w:eastAsia="es-ES"/>
        </w:rPr>
        <w:t>Por lo tanto, se declarará la exequ</w:t>
      </w:r>
      <w:r w:rsidR="00DA4FEF" w:rsidRPr="0078289D">
        <w:rPr>
          <w:color w:val="000000"/>
          <w:sz w:val="28"/>
          <w:szCs w:val="28"/>
          <w:lang w:val="es-ES_tradnl" w:eastAsia="es-ES"/>
        </w:rPr>
        <w:t>i</w:t>
      </w:r>
      <w:r w:rsidRPr="0078289D">
        <w:rPr>
          <w:color w:val="000000"/>
          <w:sz w:val="28"/>
          <w:szCs w:val="28"/>
          <w:lang w:val="es-ES_tradnl" w:eastAsia="es-ES"/>
        </w:rPr>
        <w:t>bilidad de</w:t>
      </w:r>
      <w:r w:rsidR="00DA4FEF" w:rsidRPr="0078289D">
        <w:rPr>
          <w:color w:val="000000"/>
          <w:sz w:val="28"/>
          <w:szCs w:val="28"/>
          <w:lang w:val="es-ES_tradnl" w:eastAsia="es-ES"/>
        </w:rPr>
        <w:t>l inciso</w:t>
      </w:r>
      <w:r w:rsidRPr="0078289D">
        <w:rPr>
          <w:color w:val="000000"/>
          <w:sz w:val="28"/>
          <w:szCs w:val="28"/>
          <w:lang w:val="es-ES_tradnl" w:eastAsia="es-ES"/>
        </w:rPr>
        <w:t xml:space="preserve"> segundo del artículo 173 de la Ley 1753 de 2015, siempre que se entienda que </w:t>
      </w:r>
      <w:r w:rsidR="007C4478" w:rsidRPr="0078289D">
        <w:rPr>
          <w:color w:val="000000"/>
          <w:sz w:val="28"/>
          <w:szCs w:val="28"/>
          <w:lang w:val="es-ES_tradnl" w:eastAsia="es-ES"/>
        </w:rPr>
        <w:t>si el Ministerio de Ambiente y Desarrollo Sostenible se aparta del área de referencia establecid</w:t>
      </w:r>
      <w:r w:rsidR="00EE0F39" w:rsidRPr="0078289D">
        <w:rPr>
          <w:color w:val="000000"/>
          <w:sz w:val="28"/>
          <w:szCs w:val="28"/>
          <w:lang w:val="es-ES_tradnl" w:eastAsia="es-ES"/>
        </w:rPr>
        <w:t xml:space="preserve">a </w:t>
      </w:r>
      <w:r w:rsidR="007C4478" w:rsidRPr="0078289D">
        <w:rPr>
          <w:color w:val="000000"/>
          <w:sz w:val="28"/>
          <w:szCs w:val="28"/>
          <w:lang w:val="es-ES_tradnl" w:eastAsia="es-ES"/>
        </w:rPr>
        <w:t>por el Instituto Alexander von Humboldt en la delimitación de los páramos</w:t>
      </w:r>
      <w:r w:rsidR="00D05246" w:rsidRPr="0078289D">
        <w:rPr>
          <w:color w:val="000000"/>
          <w:sz w:val="28"/>
          <w:szCs w:val="28"/>
          <w:lang w:val="es-ES_tradnl" w:eastAsia="es-ES"/>
        </w:rPr>
        <w:t>,</w:t>
      </w:r>
      <w:r w:rsidR="007C4478" w:rsidRPr="0078289D">
        <w:rPr>
          <w:color w:val="000000"/>
          <w:sz w:val="28"/>
          <w:szCs w:val="28"/>
          <w:lang w:val="es-ES_tradnl" w:eastAsia="es-ES"/>
        </w:rPr>
        <w:t xml:space="preserve"> </w:t>
      </w:r>
      <w:r w:rsidR="00EE0F39" w:rsidRPr="0078289D">
        <w:rPr>
          <w:color w:val="000000"/>
          <w:sz w:val="28"/>
          <w:szCs w:val="28"/>
          <w:lang w:val="es-ES_tradnl" w:eastAsia="es-ES"/>
        </w:rPr>
        <w:t xml:space="preserve">debe fundamentar </w:t>
      </w:r>
      <w:r w:rsidR="00676E4D" w:rsidRPr="0078289D">
        <w:rPr>
          <w:color w:val="000000"/>
          <w:sz w:val="28"/>
          <w:szCs w:val="28"/>
          <w:lang w:val="es-ES_tradnl" w:eastAsia="es-ES"/>
        </w:rPr>
        <w:t xml:space="preserve">explícitamente </w:t>
      </w:r>
      <w:r w:rsidR="00EE0F39" w:rsidRPr="0078289D">
        <w:rPr>
          <w:color w:val="000000"/>
          <w:sz w:val="28"/>
          <w:szCs w:val="28"/>
          <w:lang w:val="es-ES_tradnl" w:eastAsia="es-ES"/>
        </w:rPr>
        <w:t>su decisión en un criterio científico que provea un mayor grado de protección del ecosistema de páramo.</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F3BDD" w:rsidRPr="0078289D" w:rsidRDefault="007F3BDD" w:rsidP="0078289D">
      <w:pPr>
        <w:pBdr>
          <w:top w:val="none" w:sz="0" w:space="0" w:color="auto"/>
          <w:left w:val="none" w:sz="0" w:space="0" w:color="auto"/>
          <w:bottom w:val="none" w:sz="0" w:space="0" w:color="auto"/>
          <w:right w:val="none" w:sz="0" w:space="0" w:color="auto"/>
        </w:pBdr>
        <w:jc w:val="center"/>
        <w:rPr>
          <w:b/>
          <w:color w:val="000000"/>
          <w:sz w:val="28"/>
          <w:szCs w:val="28"/>
          <w:lang w:val="es-ES_tradnl" w:eastAsia="es-ES"/>
        </w:rPr>
      </w:pPr>
      <w:r w:rsidRPr="0078289D">
        <w:rPr>
          <w:b/>
          <w:color w:val="000000"/>
          <w:sz w:val="28"/>
          <w:szCs w:val="28"/>
          <w:lang w:val="es-ES_tradnl" w:eastAsia="es-ES"/>
        </w:rPr>
        <w:t>DECISIÓN</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 </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En mérito de lo expuesto, la Corte Constitucional, administrando justicia en nombre del pueblo y por mandato de la Constitución,</w:t>
      </w:r>
    </w:p>
    <w:p w:rsidR="00DC0C53" w:rsidRPr="0078289D" w:rsidRDefault="00DC0C53"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F3BDD" w:rsidRPr="0078289D" w:rsidRDefault="00C62DCF"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color w:val="000000"/>
          <w:sz w:val="28"/>
          <w:szCs w:val="28"/>
          <w:lang w:val="es-ES_tradnl" w:eastAsia="es-ES"/>
        </w:rPr>
        <w:t xml:space="preserve"> </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jc w:val="center"/>
        <w:textAlignment w:val="baseline"/>
        <w:rPr>
          <w:rFonts w:eastAsia="Times New Roman"/>
          <w:color w:val="2D2D2D"/>
          <w:sz w:val="28"/>
          <w:szCs w:val="28"/>
          <w:lang w:val="es-ES_tradnl" w:eastAsia="es-ES"/>
        </w:rPr>
      </w:pPr>
      <w:r w:rsidRPr="0078289D">
        <w:rPr>
          <w:rFonts w:eastAsia="Times New Roman"/>
          <w:b/>
          <w:bCs/>
          <w:color w:val="000000"/>
          <w:sz w:val="28"/>
          <w:szCs w:val="28"/>
          <w:bdr w:val="none" w:sz="0" w:space="0" w:color="auto" w:frame="1"/>
          <w:lang w:val="es-ES_tradnl" w:eastAsia="es-ES"/>
        </w:rPr>
        <w:t>RESUELVE:</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color w:val="2D2D2D"/>
          <w:sz w:val="28"/>
          <w:szCs w:val="28"/>
          <w:lang w:val="es-ES_tradnl" w:eastAsia="es-ES"/>
        </w:rPr>
      </w:pPr>
      <w:r w:rsidRPr="0078289D">
        <w:rPr>
          <w:rFonts w:eastAsia="Times New Roman"/>
          <w:color w:val="000000"/>
          <w:sz w:val="28"/>
          <w:szCs w:val="28"/>
          <w:bdr w:val="none" w:sz="0" w:space="0" w:color="auto" w:frame="1"/>
          <w:lang w:val="es-ES_tradnl" w:eastAsia="es-ES"/>
        </w:rPr>
        <w:t> </w:t>
      </w:r>
    </w:p>
    <w:p w:rsidR="00010E5D" w:rsidRPr="0078289D" w:rsidRDefault="00010E5D"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b/>
          <w:bCs/>
          <w:color w:val="000000"/>
          <w:sz w:val="28"/>
          <w:szCs w:val="28"/>
          <w:bdr w:val="none" w:sz="0" w:space="0" w:color="auto" w:frame="1"/>
          <w:lang w:val="es-CO" w:eastAsia="es-ES"/>
        </w:rPr>
      </w:pPr>
      <w:r w:rsidRPr="0078289D">
        <w:rPr>
          <w:rFonts w:eastAsia="Times New Roman"/>
          <w:b/>
          <w:bCs/>
          <w:color w:val="000000"/>
          <w:sz w:val="28"/>
          <w:szCs w:val="28"/>
          <w:bdr w:val="none" w:sz="0" w:space="0" w:color="auto" w:frame="1"/>
          <w:lang w:val="es-ES_tradnl" w:eastAsia="es-ES"/>
        </w:rPr>
        <w:t>Primero.-</w:t>
      </w:r>
      <w:r w:rsidRPr="0078289D">
        <w:rPr>
          <w:rFonts w:eastAsia="Times New Roman"/>
          <w:bCs/>
          <w:color w:val="000000"/>
          <w:sz w:val="28"/>
          <w:szCs w:val="28"/>
          <w:bdr w:val="none" w:sz="0" w:space="0" w:color="auto" w:frame="1"/>
          <w:lang w:val="es-ES_tradnl" w:eastAsia="es-ES"/>
        </w:rPr>
        <w:t xml:space="preserve"> </w:t>
      </w:r>
      <w:r w:rsidR="00CA1FDB" w:rsidRPr="0078289D">
        <w:rPr>
          <w:rFonts w:eastAsia="Times New Roman"/>
          <w:bCs/>
          <w:color w:val="000000"/>
          <w:sz w:val="28"/>
          <w:szCs w:val="28"/>
          <w:bdr w:val="none" w:sz="0" w:space="0" w:color="auto" w:frame="1"/>
          <w:lang w:val="es-ES_tradnl" w:eastAsia="es-ES"/>
        </w:rPr>
        <w:t>Por los cargos analizados en la presente Sentencia, d</w:t>
      </w:r>
      <w:r w:rsidRPr="0078289D">
        <w:rPr>
          <w:rFonts w:eastAsia="Times New Roman"/>
          <w:bCs/>
          <w:color w:val="000000"/>
          <w:sz w:val="28"/>
          <w:szCs w:val="28"/>
          <w:bdr w:val="none" w:sz="0" w:space="0" w:color="auto" w:frame="1"/>
          <w:lang w:val="es-ES_tradnl" w:eastAsia="es-ES"/>
        </w:rPr>
        <w:t xml:space="preserve">eclarar </w:t>
      </w:r>
      <w:r w:rsidRPr="0078289D">
        <w:rPr>
          <w:rFonts w:eastAsia="Times New Roman"/>
          <w:b/>
          <w:bCs/>
          <w:color w:val="000000"/>
          <w:sz w:val="28"/>
          <w:szCs w:val="28"/>
          <w:bdr w:val="none" w:sz="0" w:space="0" w:color="auto" w:frame="1"/>
          <w:lang w:val="es-ES_tradnl" w:eastAsia="es-ES"/>
        </w:rPr>
        <w:t>EXEQUIBLE</w:t>
      </w:r>
      <w:r w:rsidRPr="0078289D">
        <w:rPr>
          <w:rFonts w:eastAsia="Times New Roman"/>
          <w:bCs/>
          <w:color w:val="000000"/>
          <w:sz w:val="28"/>
          <w:szCs w:val="28"/>
          <w:bdr w:val="none" w:sz="0" w:space="0" w:color="auto" w:frame="1"/>
          <w:lang w:val="es-ES_tradnl" w:eastAsia="es-ES"/>
        </w:rPr>
        <w:t xml:space="preserve"> el artículo </w:t>
      </w:r>
      <w:r w:rsidRPr="0078289D">
        <w:rPr>
          <w:rFonts w:eastAsia="Times New Roman"/>
          <w:bCs/>
          <w:color w:val="000000"/>
          <w:sz w:val="28"/>
          <w:szCs w:val="28"/>
          <w:bdr w:val="none" w:sz="0" w:space="0" w:color="auto" w:frame="1"/>
          <w:lang w:val="es-CO" w:eastAsia="es-ES"/>
        </w:rPr>
        <w:t xml:space="preserve">108 de la Ley 1450 de 2011, en el entendido de que </w:t>
      </w:r>
      <w:r w:rsidR="00DD3809" w:rsidRPr="0078289D">
        <w:rPr>
          <w:rFonts w:eastAsia="Times New Roman"/>
          <w:bCs/>
          <w:color w:val="000000"/>
          <w:sz w:val="28"/>
          <w:szCs w:val="28"/>
          <w:bdr w:val="none" w:sz="0" w:space="0" w:color="auto" w:frame="1"/>
          <w:lang w:val="es-CO" w:eastAsia="es-ES"/>
        </w:rPr>
        <w:t xml:space="preserve">i) en relación con las áreas de reserva minera definidas con anterioridad a la notificación de la presente sentencia, la autoridad </w:t>
      </w:r>
      <w:r w:rsidR="00C72732" w:rsidRPr="0078289D">
        <w:rPr>
          <w:rFonts w:eastAsia="Times New Roman"/>
          <w:bCs/>
          <w:color w:val="000000"/>
          <w:sz w:val="28"/>
          <w:szCs w:val="28"/>
          <w:bdr w:val="none" w:sz="0" w:space="0" w:color="auto" w:frame="1"/>
          <w:lang w:val="es-CO" w:eastAsia="es-ES"/>
        </w:rPr>
        <w:t>competente deberá</w:t>
      </w:r>
      <w:r w:rsidRPr="0078289D">
        <w:rPr>
          <w:rFonts w:eastAsia="Times New Roman"/>
          <w:bCs/>
          <w:color w:val="000000"/>
          <w:sz w:val="28"/>
          <w:szCs w:val="28"/>
          <w:bdr w:val="none" w:sz="0" w:space="0" w:color="auto" w:frame="1"/>
          <w:lang w:val="es-CO" w:eastAsia="es-ES"/>
        </w:rPr>
        <w:t xml:space="preserve"> concertar con </w:t>
      </w:r>
      <w:r w:rsidR="00C72732" w:rsidRPr="0078289D">
        <w:rPr>
          <w:rFonts w:eastAsia="Times New Roman"/>
          <w:bCs/>
          <w:color w:val="000000"/>
          <w:sz w:val="28"/>
          <w:szCs w:val="28"/>
          <w:bdr w:val="none" w:sz="0" w:space="0" w:color="auto" w:frame="1"/>
          <w:lang w:val="es-CO" w:eastAsia="es-ES"/>
        </w:rPr>
        <w:t xml:space="preserve">las autoridades locales de los municipios </w:t>
      </w:r>
      <w:r w:rsidRPr="0078289D">
        <w:rPr>
          <w:rFonts w:eastAsia="Times New Roman"/>
          <w:bCs/>
          <w:color w:val="000000"/>
          <w:sz w:val="28"/>
          <w:szCs w:val="28"/>
          <w:bdr w:val="none" w:sz="0" w:space="0" w:color="auto" w:frame="1"/>
          <w:lang w:val="es-CO" w:eastAsia="es-ES"/>
        </w:rPr>
        <w:t>donde están ubicadas,</w:t>
      </w:r>
      <w:r w:rsidR="00745657" w:rsidRPr="0078289D">
        <w:rPr>
          <w:rFonts w:eastAsia="Times New Roman"/>
          <w:bCs/>
          <w:color w:val="000000"/>
          <w:sz w:val="28"/>
          <w:szCs w:val="28"/>
          <w:bdr w:val="none" w:sz="0" w:space="0" w:color="auto" w:frame="1"/>
          <w:lang w:val="es-CO" w:eastAsia="es-ES"/>
        </w:rPr>
        <w:t xml:space="preserve"> con anterioridad al inicio del proceso de selección objetiva de las áreas de concesión minera, y</w:t>
      </w:r>
      <w:r w:rsidR="00A65933" w:rsidRPr="0078289D">
        <w:rPr>
          <w:rFonts w:eastAsia="Times New Roman"/>
          <w:bCs/>
          <w:color w:val="000000"/>
          <w:sz w:val="28"/>
          <w:szCs w:val="28"/>
          <w:bdr w:val="none" w:sz="0" w:space="0" w:color="auto" w:frame="1"/>
          <w:lang w:val="es-CO" w:eastAsia="es-ES"/>
        </w:rPr>
        <w:t xml:space="preserve"> </w:t>
      </w:r>
      <w:r w:rsidR="00745657" w:rsidRPr="0078289D">
        <w:rPr>
          <w:rFonts w:eastAsia="Times New Roman"/>
          <w:bCs/>
          <w:color w:val="000000"/>
          <w:sz w:val="28"/>
          <w:szCs w:val="28"/>
          <w:bdr w:val="none" w:sz="0" w:space="0" w:color="auto" w:frame="1"/>
          <w:lang w:val="es-CO" w:eastAsia="es-ES"/>
        </w:rPr>
        <w:t xml:space="preserve">ii) </w:t>
      </w:r>
      <w:r w:rsidRPr="0078289D">
        <w:rPr>
          <w:rFonts w:eastAsia="Times New Roman"/>
          <w:bCs/>
          <w:color w:val="000000"/>
          <w:sz w:val="28"/>
          <w:szCs w:val="28"/>
          <w:bdr w:val="none" w:sz="0" w:space="0" w:color="auto" w:frame="1"/>
          <w:lang w:val="es-CO" w:eastAsia="es-ES"/>
        </w:rPr>
        <w:t xml:space="preserve"> </w:t>
      </w:r>
      <w:r w:rsidR="00A65933" w:rsidRPr="0078289D">
        <w:rPr>
          <w:rFonts w:eastAsia="Times New Roman"/>
          <w:bCs/>
          <w:color w:val="000000"/>
          <w:sz w:val="28"/>
          <w:szCs w:val="28"/>
          <w:bdr w:val="none" w:sz="0" w:space="0" w:color="auto" w:frame="1"/>
          <w:lang w:val="es-CO" w:eastAsia="es-ES"/>
        </w:rPr>
        <w:t>en cualquier caso, la Autoridad Nacional Minera y el Ministerio</w:t>
      </w:r>
      <w:r w:rsidR="00E063B4" w:rsidRPr="0078289D">
        <w:rPr>
          <w:rFonts w:eastAsia="Times New Roman"/>
          <w:bCs/>
          <w:color w:val="000000"/>
          <w:sz w:val="28"/>
          <w:szCs w:val="28"/>
          <w:bdr w:val="none" w:sz="0" w:space="0" w:color="auto" w:frame="1"/>
          <w:lang w:val="es-CO" w:eastAsia="es-ES"/>
        </w:rPr>
        <w:t xml:space="preserve"> </w:t>
      </w:r>
      <w:r w:rsidR="00A65933" w:rsidRPr="0078289D">
        <w:rPr>
          <w:rFonts w:eastAsia="Times New Roman"/>
          <w:bCs/>
          <w:color w:val="000000"/>
          <w:sz w:val="28"/>
          <w:szCs w:val="28"/>
          <w:bdr w:val="none" w:sz="0" w:space="0" w:color="auto" w:frame="1"/>
          <w:lang w:val="es-CO" w:eastAsia="es-ES"/>
        </w:rPr>
        <w:t xml:space="preserve">de  Minas y Energía deberán garantizar que la definición y oferta de dichas áreas sean compatibles con los planes de ordenamiento territorial </w:t>
      </w:r>
      <w:r w:rsidRPr="0078289D">
        <w:rPr>
          <w:rFonts w:eastAsia="Times New Roman"/>
          <w:sz w:val="28"/>
          <w:szCs w:val="28"/>
          <w:lang w:val="es-ES_tradnl"/>
        </w:rPr>
        <w:t>respectivos.</w:t>
      </w:r>
    </w:p>
    <w:p w:rsidR="00010E5D" w:rsidRPr="0078289D" w:rsidRDefault="00010E5D"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b/>
          <w:bCs/>
          <w:color w:val="000000"/>
          <w:sz w:val="28"/>
          <w:szCs w:val="28"/>
          <w:bdr w:val="none" w:sz="0" w:space="0" w:color="auto" w:frame="1"/>
          <w:lang w:val="es-CO" w:eastAsia="es-ES"/>
        </w:rPr>
      </w:pPr>
    </w:p>
    <w:p w:rsidR="00010E5D" w:rsidRPr="0078289D" w:rsidRDefault="00010E5D" w:rsidP="0078289D">
      <w:pPr>
        <w:pBdr>
          <w:top w:val="none" w:sz="0" w:space="0" w:color="auto"/>
          <w:left w:val="none" w:sz="0" w:space="0" w:color="auto"/>
          <w:bottom w:val="none" w:sz="0" w:space="0" w:color="auto"/>
          <w:right w:val="none" w:sz="0" w:space="0" w:color="auto"/>
        </w:pBdr>
        <w:shd w:val="clear" w:color="auto" w:fill="FFFFFF"/>
        <w:jc w:val="both"/>
        <w:textAlignment w:val="baseline"/>
        <w:rPr>
          <w:rFonts w:eastAsia="Times New Roman"/>
          <w:bCs/>
          <w:color w:val="000000"/>
          <w:sz w:val="28"/>
          <w:szCs w:val="28"/>
          <w:bdr w:val="none" w:sz="0" w:space="0" w:color="auto" w:frame="1"/>
          <w:lang w:val="es-CO" w:eastAsia="es-ES"/>
        </w:rPr>
      </w:pPr>
      <w:r w:rsidRPr="0078289D">
        <w:rPr>
          <w:b/>
          <w:sz w:val="28"/>
          <w:szCs w:val="28"/>
          <w:lang w:val="es-ES_tradnl"/>
        </w:rPr>
        <w:t xml:space="preserve">Segundo.- </w:t>
      </w:r>
      <w:r w:rsidR="00E56FDC" w:rsidRPr="0078289D">
        <w:rPr>
          <w:rFonts w:eastAsia="Times New Roman"/>
          <w:bCs/>
          <w:color w:val="000000"/>
          <w:sz w:val="28"/>
          <w:szCs w:val="28"/>
          <w:bdr w:val="none" w:sz="0" w:space="0" w:color="auto" w:frame="1"/>
          <w:lang w:val="es-CO" w:eastAsia="es-ES"/>
        </w:rPr>
        <w:t>Por los cargos analizados en la presente</w:t>
      </w:r>
      <w:r w:rsidR="00E063B4" w:rsidRPr="0078289D">
        <w:rPr>
          <w:rFonts w:eastAsia="Times New Roman"/>
          <w:bCs/>
          <w:color w:val="000000"/>
          <w:sz w:val="28"/>
          <w:szCs w:val="28"/>
          <w:bdr w:val="none" w:sz="0" w:space="0" w:color="auto" w:frame="1"/>
          <w:lang w:val="es-CO" w:eastAsia="es-ES"/>
        </w:rPr>
        <w:t xml:space="preserve"> </w:t>
      </w:r>
      <w:r w:rsidR="00E56FDC" w:rsidRPr="0078289D">
        <w:rPr>
          <w:rFonts w:eastAsia="Times New Roman"/>
          <w:bCs/>
          <w:color w:val="000000"/>
          <w:sz w:val="28"/>
          <w:szCs w:val="28"/>
          <w:bdr w:val="none" w:sz="0" w:space="0" w:color="auto" w:frame="1"/>
          <w:lang w:val="es-CO" w:eastAsia="es-ES"/>
        </w:rPr>
        <w:t>Sentencia, d</w:t>
      </w:r>
      <w:r w:rsidRPr="0078289D">
        <w:rPr>
          <w:rFonts w:eastAsia="Times New Roman"/>
          <w:bCs/>
          <w:color w:val="000000"/>
          <w:sz w:val="28"/>
          <w:szCs w:val="28"/>
          <w:bdr w:val="none" w:sz="0" w:space="0" w:color="auto" w:frame="1"/>
          <w:lang w:val="es-CO" w:eastAsia="es-ES"/>
        </w:rPr>
        <w:t>eclarar</w:t>
      </w:r>
      <w:r w:rsidRPr="0078289D">
        <w:rPr>
          <w:rFonts w:eastAsia="Times New Roman"/>
          <w:b/>
          <w:bCs/>
          <w:color w:val="000000"/>
          <w:sz w:val="28"/>
          <w:szCs w:val="28"/>
          <w:bdr w:val="none" w:sz="0" w:space="0" w:color="auto" w:frame="1"/>
          <w:lang w:val="es-CO" w:eastAsia="es-ES"/>
        </w:rPr>
        <w:t> EXEQUIBLE</w:t>
      </w:r>
      <w:r w:rsidRPr="0078289D">
        <w:rPr>
          <w:rFonts w:eastAsia="Times New Roman"/>
          <w:bCs/>
          <w:color w:val="000000"/>
          <w:sz w:val="28"/>
          <w:szCs w:val="28"/>
          <w:bdr w:val="none" w:sz="0" w:space="0" w:color="auto" w:frame="1"/>
          <w:lang w:val="es-CO" w:eastAsia="es-ES"/>
        </w:rPr>
        <w:t xml:space="preserve"> el artículo 20 de la Ley 1753 de 2015, en el entendido de </w:t>
      </w:r>
      <w:r w:rsidRPr="0078289D">
        <w:rPr>
          <w:rFonts w:eastAsia="Times New Roman"/>
          <w:sz w:val="28"/>
          <w:szCs w:val="28"/>
          <w:shd w:val="clear" w:color="auto" w:fill="FFFFFF"/>
          <w:lang w:val="es-ES_tradnl"/>
        </w:rPr>
        <w:t>que</w:t>
      </w:r>
      <w:r w:rsidR="00E56FDC" w:rsidRPr="0078289D">
        <w:rPr>
          <w:rFonts w:eastAsia="Times New Roman"/>
          <w:sz w:val="28"/>
          <w:szCs w:val="28"/>
          <w:shd w:val="clear" w:color="auto" w:fill="FFFFFF"/>
          <w:lang w:val="es-ES_tradnl"/>
        </w:rPr>
        <w:t>: i)</w:t>
      </w:r>
      <w:r w:rsidR="00DA51DA" w:rsidRPr="0078289D">
        <w:rPr>
          <w:rFonts w:eastAsia="Times New Roman"/>
          <w:sz w:val="28"/>
          <w:szCs w:val="28"/>
          <w:shd w:val="clear" w:color="auto" w:fill="FFFFFF"/>
          <w:lang w:val="es-ES_tradnl"/>
        </w:rPr>
        <w:t xml:space="preserve"> </w:t>
      </w:r>
      <w:r w:rsidR="00E56FDC" w:rsidRPr="0078289D">
        <w:rPr>
          <w:rFonts w:eastAsia="Times New Roman"/>
          <w:sz w:val="28"/>
          <w:szCs w:val="28"/>
          <w:shd w:val="clear" w:color="auto" w:fill="FFFFFF"/>
          <w:lang w:val="es-ES_tradnl"/>
        </w:rPr>
        <w:t xml:space="preserve">la autoridad competente para definir las áreas de reserva minera </w:t>
      </w:r>
      <w:r w:rsidR="00DA51DA" w:rsidRPr="0078289D">
        <w:rPr>
          <w:rFonts w:eastAsia="Times New Roman"/>
          <w:sz w:val="28"/>
          <w:szCs w:val="28"/>
          <w:shd w:val="clear" w:color="auto" w:fill="FFFFFF"/>
          <w:lang w:val="es-ES_tradnl"/>
        </w:rPr>
        <w:t>deberá concertar previamente con las autoridades locales de los municipios donde van a estar ubicadas,</w:t>
      </w:r>
      <w:r w:rsidR="00E50655" w:rsidRPr="0078289D">
        <w:rPr>
          <w:rFonts w:eastAsia="Times New Roman"/>
          <w:sz w:val="28"/>
          <w:szCs w:val="28"/>
          <w:shd w:val="clear" w:color="auto" w:fill="FFFFFF"/>
          <w:lang w:val="es-ES_tradnl"/>
        </w:rPr>
        <w:t xml:space="preserve"> para garantizar </w:t>
      </w:r>
      <w:r w:rsidRPr="0078289D">
        <w:rPr>
          <w:rFonts w:eastAsia="Times New Roman"/>
          <w:sz w:val="28"/>
          <w:szCs w:val="28"/>
          <w:lang w:val="es-ES_tradnl"/>
        </w:rPr>
        <w:t xml:space="preserve">que </w:t>
      </w:r>
      <w:r w:rsidR="00E50655" w:rsidRPr="0078289D">
        <w:rPr>
          <w:rFonts w:eastAsia="Times New Roman"/>
          <w:sz w:val="28"/>
          <w:szCs w:val="28"/>
          <w:lang w:val="es-ES_tradnl"/>
        </w:rPr>
        <w:t xml:space="preserve">no se afecte su </w:t>
      </w:r>
      <w:r w:rsidRPr="0078289D">
        <w:rPr>
          <w:rFonts w:eastAsia="Times New Roman"/>
          <w:sz w:val="28"/>
          <w:szCs w:val="28"/>
          <w:lang w:val="es-ES_tradnl"/>
        </w:rPr>
        <w:t>facultad constitucional para reglamentar los usos del suelo</w:t>
      </w:r>
      <w:r w:rsidR="00F0769C" w:rsidRPr="0078289D">
        <w:rPr>
          <w:rFonts w:eastAsia="Times New Roman"/>
          <w:sz w:val="28"/>
          <w:szCs w:val="28"/>
          <w:lang w:val="es-ES_tradnl"/>
        </w:rPr>
        <w:t>, conforme a los principios de coordinación, concurrencia y subsidiariedad, ii) si la autoridad competente definió las áreas de reserva minera con anterioridad a la notificación de la presente sentencia, deber</w:t>
      </w:r>
      <w:r w:rsidR="00E42139" w:rsidRPr="0078289D">
        <w:rPr>
          <w:rFonts w:eastAsia="Times New Roman"/>
          <w:sz w:val="28"/>
          <w:szCs w:val="28"/>
          <w:lang w:val="es-ES_tradnl"/>
        </w:rPr>
        <w:t xml:space="preserve">á concertar con las autoridades locales de los municipios donde se encuentran ubicadas, </w:t>
      </w:r>
      <w:r w:rsidR="0041129B" w:rsidRPr="0078289D">
        <w:rPr>
          <w:rFonts w:eastAsia="Times New Roman"/>
          <w:sz w:val="28"/>
          <w:szCs w:val="28"/>
          <w:lang w:val="es-ES_tradnl"/>
        </w:rPr>
        <w:t xml:space="preserve">con anterioridad al inicio del proceso de selección objetiva de las áreas de concesión minera y iii) la Autoridad Nacional </w:t>
      </w:r>
      <w:r w:rsidR="00157671" w:rsidRPr="0078289D">
        <w:rPr>
          <w:rFonts w:eastAsia="Times New Roman"/>
          <w:sz w:val="28"/>
          <w:szCs w:val="28"/>
          <w:lang w:val="es-ES_tradnl"/>
        </w:rPr>
        <w:t>M</w:t>
      </w:r>
      <w:r w:rsidR="0041129B" w:rsidRPr="0078289D">
        <w:rPr>
          <w:rFonts w:eastAsia="Times New Roman"/>
          <w:sz w:val="28"/>
          <w:szCs w:val="28"/>
          <w:lang w:val="es-ES_tradnl"/>
        </w:rPr>
        <w:t>inera y el Ministerio de Minas y Energía, según el caso, deberán garantizar que la definición y oferta de dichas áreas sean compatibles con los respectivos planes de ordenamiento territorial</w:t>
      </w:r>
      <w:r w:rsidRPr="0078289D">
        <w:rPr>
          <w:rFonts w:eastAsia="Times New Roman"/>
          <w:sz w:val="28"/>
          <w:szCs w:val="28"/>
          <w:lang w:val="es-ES_tradnl"/>
        </w:rPr>
        <w:t>.</w:t>
      </w:r>
    </w:p>
    <w:p w:rsidR="00BE23B9" w:rsidRPr="0078289D" w:rsidRDefault="00BE23B9" w:rsidP="0078289D">
      <w:pPr>
        <w:pBdr>
          <w:top w:val="none" w:sz="0" w:space="0" w:color="auto"/>
          <w:left w:val="none" w:sz="0" w:space="0" w:color="auto"/>
          <w:bottom w:val="none" w:sz="0" w:space="0" w:color="auto"/>
          <w:right w:val="none" w:sz="0" w:space="0" w:color="auto"/>
        </w:pBdr>
        <w:jc w:val="both"/>
        <w:rPr>
          <w:rFonts w:eastAsia="Times New Roman"/>
          <w:b/>
          <w:bCs/>
          <w:color w:val="000000"/>
          <w:sz w:val="28"/>
          <w:szCs w:val="28"/>
          <w:bdr w:val="none" w:sz="0" w:space="0" w:color="auto" w:frame="1"/>
          <w:lang w:val="es-ES_tradnl" w:eastAsia="es-ES"/>
        </w:rPr>
      </w:pPr>
    </w:p>
    <w:p w:rsidR="00840465" w:rsidRPr="0078289D" w:rsidRDefault="00922029" w:rsidP="0078289D">
      <w:pPr>
        <w:pBdr>
          <w:top w:val="none" w:sz="0" w:space="0" w:color="auto"/>
          <w:left w:val="none" w:sz="0" w:space="0" w:color="auto"/>
          <w:bottom w:val="none" w:sz="0" w:space="0" w:color="auto"/>
          <w:right w:val="none" w:sz="0" w:space="0" w:color="auto"/>
        </w:pBdr>
        <w:jc w:val="both"/>
        <w:rPr>
          <w:b/>
          <w:bCs/>
          <w:sz w:val="28"/>
          <w:szCs w:val="28"/>
          <w:bdr w:val="none" w:sz="0" w:space="0" w:color="auto" w:frame="1"/>
          <w:lang w:val="es-ES_tradnl"/>
        </w:rPr>
      </w:pPr>
      <w:r w:rsidRPr="0078289D">
        <w:rPr>
          <w:rFonts w:eastAsia="Times New Roman"/>
          <w:b/>
          <w:sz w:val="28"/>
          <w:szCs w:val="28"/>
          <w:lang w:val="es-ES_tradnl"/>
        </w:rPr>
        <w:t xml:space="preserve">Tercero.- </w:t>
      </w:r>
      <w:r w:rsidR="00840465" w:rsidRPr="0078289D">
        <w:rPr>
          <w:sz w:val="28"/>
          <w:szCs w:val="28"/>
          <w:lang w:val="es-ES_tradnl"/>
        </w:rPr>
        <w:t xml:space="preserve">Declarar </w:t>
      </w:r>
      <w:r w:rsidR="00840465" w:rsidRPr="0078289D">
        <w:rPr>
          <w:b/>
          <w:sz w:val="28"/>
          <w:szCs w:val="28"/>
          <w:lang w:val="es-ES_tradnl"/>
        </w:rPr>
        <w:t>EXEQUIBLE</w:t>
      </w:r>
      <w:r w:rsidR="00651BD0" w:rsidRPr="0078289D">
        <w:rPr>
          <w:b/>
          <w:sz w:val="28"/>
          <w:szCs w:val="28"/>
          <w:lang w:val="es-ES_tradnl"/>
        </w:rPr>
        <w:t>S</w:t>
      </w:r>
      <w:r w:rsidR="00840465" w:rsidRPr="0078289D">
        <w:rPr>
          <w:sz w:val="28"/>
          <w:szCs w:val="28"/>
          <w:lang w:val="es-ES_tradnl"/>
        </w:rPr>
        <w:t xml:space="preserve"> </w:t>
      </w:r>
      <w:r w:rsidR="000178CB" w:rsidRPr="0078289D">
        <w:rPr>
          <w:sz w:val="28"/>
          <w:szCs w:val="28"/>
          <w:lang w:val="es-ES_tradnl"/>
        </w:rPr>
        <w:t>los incisos primero,</w:t>
      </w:r>
      <w:r w:rsidR="006432A2" w:rsidRPr="0078289D">
        <w:rPr>
          <w:sz w:val="28"/>
          <w:szCs w:val="28"/>
          <w:lang w:val="es-ES_tradnl"/>
        </w:rPr>
        <w:t xml:space="preserve"> segundo </w:t>
      </w:r>
      <w:r w:rsidR="000178CB" w:rsidRPr="0078289D">
        <w:rPr>
          <w:sz w:val="28"/>
          <w:szCs w:val="28"/>
          <w:lang w:val="es-ES_tradnl"/>
        </w:rPr>
        <w:t xml:space="preserve">y quinto </w:t>
      </w:r>
      <w:r w:rsidR="006432A2" w:rsidRPr="0078289D">
        <w:rPr>
          <w:sz w:val="28"/>
          <w:szCs w:val="28"/>
          <w:lang w:val="es-ES_tradnl"/>
        </w:rPr>
        <w:t>d</w:t>
      </w:r>
      <w:r w:rsidR="00140D27" w:rsidRPr="0078289D">
        <w:rPr>
          <w:sz w:val="28"/>
          <w:szCs w:val="28"/>
          <w:lang w:val="es-ES_tradnl"/>
        </w:rPr>
        <w:t xml:space="preserve">el </w:t>
      </w:r>
      <w:r w:rsidR="00840465" w:rsidRPr="0078289D">
        <w:rPr>
          <w:sz w:val="28"/>
          <w:szCs w:val="28"/>
          <w:lang w:val="es-ES_tradnl"/>
        </w:rPr>
        <w:t>artículo 49</w:t>
      </w:r>
      <w:r w:rsidR="008D527D" w:rsidRPr="0078289D">
        <w:rPr>
          <w:sz w:val="28"/>
          <w:szCs w:val="28"/>
          <w:lang w:val="es-ES_tradnl"/>
        </w:rPr>
        <w:t xml:space="preserve"> de la Ley 1753 de 2015</w:t>
      </w:r>
      <w:r w:rsidR="00AD02C8" w:rsidRPr="0078289D">
        <w:rPr>
          <w:sz w:val="28"/>
          <w:szCs w:val="28"/>
          <w:lang w:val="es-ES_tradnl"/>
        </w:rPr>
        <w:t>,</w:t>
      </w:r>
      <w:r w:rsidR="008D527D" w:rsidRPr="0078289D">
        <w:rPr>
          <w:sz w:val="28"/>
          <w:szCs w:val="28"/>
          <w:lang w:val="es-ES_tradnl"/>
        </w:rPr>
        <w:t xml:space="preserve"> por </w:t>
      </w:r>
      <w:r w:rsidR="00BE23B9" w:rsidRPr="0078289D">
        <w:rPr>
          <w:sz w:val="28"/>
          <w:szCs w:val="28"/>
          <w:lang w:val="es-ES_tradnl"/>
        </w:rPr>
        <w:t>los</w:t>
      </w:r>
      <w:r w:rsidR="008D527D" w:rsidRPr="0078289D">
        <w:rPr>
          <w:sz w:val="28"/>
          <w:szCs w:val="28"/>
          <w:lang w:val="es-ES_tradnl"/>
        </w:rPr>
        <w:t xml:space="preserve"> cargo</w:t>
      </w:r>
      <w:r w:rsidR="00BE23B9" w:rsidRPr="0078289D">
        <w:rPr>
          <w:sz w:val="28"/>
          <w:szCs w:val="28"/>
          <w:lang w:val="es-ES_tradnl"/>
        </w:rPr>
        <w:t>s</w:t>
      </w:r>
      <w:r w:rsidR="008D527D" w:rsidRPr="0078289D">
        <w:rPr>
          <w:sz w:val="28"/>
          <w:szCs w:val="28"/>
          <w:lang w:val="es-ES_tradnl"/>
        </w:rPr>
        <w:t xml:space="preserve"> analizado</w:t>
      </w:r>
      <w:r w:rsidR="00BE23B9" w:rsidRPr="0078289D">
        <w:rPr>
          <w:sz w:val="28"/>
          <w:szCs w:val="28"/>
          <w:lang w:val="es-ES_tradnl"/>
        </w:rPr>
        <w:t>s</w:t>
      </w:r>
      <w:r w:rsidR="008D527D" w:rsidRPr="0078289D">
        <w:rPr>
          <w:sz w:val="28"/>
          <w:szCs w:val="28"/>
          <w:lang w:val="es-ES_tradnl"/>
        </w:rPr>
        <w:t xml:space="preserve"> en esta sentencia</w:t>
      </w:r>
      <w:r w:rsidR="00E063B4" w:rsidRPr="0078289D">
        <w:rPr>
          <w:sz w:val="28"/>
          <w:szCs w:val="28"/>
          <w:lang w:val="es-ES_tradnl"/>
        </w:rPr>
        <w:t>;</w:t>
      </w:r>
      <w:r w:rsidR="00AD02C8" w:rsidRPr="0078289D">
        <w:rPr>
          <w:sz w:val="28"/>
          <w:szCs w:val="28"/>
          <w:lang w:val="es-ES_tradnl"/>
        </w:rPr>
        <w:t xml:space="preserve"> </w:t>
      </w:r>
      <w:r w:rsidR="006432A2" w:rsidRPr="0078289D">
        <w:rPr>
          <w:b/>
          <w:color w:val="000000"/>
          <w:sz w:val="28"/>
          <w:szCs w:val="28"/>
          <w:lang w:val="es-ES_tradnl" w:eastAsia="es-ES"/>
        </w:rPr>
        <w:t>INEXEQUIBLE</w:t>
      </w:r>
      <w:r w:rsidR="006432A2" w:rsidRPr="0078289D">
        <w:rPr>
          <w:sz w:val="28"/>
          <w:szCs w:val="28"/>
          <w:lang w:val="es-ES_tradnl"/>
        </w:rPr>
        <w:t xml:space="preserve"> </w:t>
      </w:r>
      <w:r w:rsidR="003C4704" w:rsidRPr="0078289D">
        <w:rPr>
          <w:color w:val="000000"/>
          <w:sz w:val="28"/>
          <w:szCs w:val="28"/>
          <w:lang w:val="es-ES_tradnl" w:eastAsia="es-ES"/>
        </w:rPr>
        <w:t>el inciso</w:t>
      </w:r>
      <w:r w:rsidR="00AD02C8" w:rsidRPr="0078289D">
        <w:rPr>
          <w:color w:val="000000"/>
          <w:sz w:val="28"/>
          <w:szCs w:val="28"/>
          <w:lang w:val="es-ES_tradnl" w:eastAsia="es-ES"/>
        </w:rPr>
        <w:t xml:space="preserve"> tercero</w:t>
      </w:r>
      <w:r w:rsidR="00E063B4" w:rsidRPr="0078289D">
        <w:rPr>
          <w:color w:val="000000"/>
          <w:sz w:val="28"/>
          <w:szCs w:val="28"/>
          <w:lang w:val="es-ES_tradnl" w:eastAsia="es-ES"/>
        </w:rPr>
        <w:t xml:space="preserve"> </w:t>
      </w:r>
      <w:r w:rsidR="00E063B4" w:rsidRPr="0078289D">
        <w:rPr>
          <w:sz w:val="28"/>
          <w:szCs w:val="28"/>
          <w:lang w:val="es-ES_tradnl"/>
        </w:rPr>
        <w:t>del artículo 49 de la Ley 1753 de 2015</w:t>
      </w:r>
      <w:r w:rsidR="0092428D" w:rsidRPr="0078289D">
        <w:rPr>
          <w:color w:val="000000"/>
          <w:sz w:val="28"/>
          <w:szCs w:val="28"/>
          <w:lang w:val="es-ES_tradnl" w:eastAsia="es-ES"/>
        </w:rPr>
        <w:t xml:space="preserve">, e </w:t>
      </w:r>
      <w:r w:rsidR="0092428D" w:rsidRPr="0078289D">
        <w:rPr>
          <w:b/>
          <w:color w:val="000000"/>
          <w:sz w:val="28"/>
          <w:szCs w:val="28"/>
          <w:lang w:val="es-ES_tradnl" w:eastAsia="es-ES"/>
        </w:rPr>
        <w:t>INHIBIRSE</w:t>
      </w:r>
      <w:r w:rsidR="0092428D" w:rsidRPr="0078289D">
        <w:rPr>
          <w:color w:val="000000"/>
          <w:sz w:val="28"/>
          <w:szCs w:val="28"/>
          <w:lang w:val="es-ES_tradnl" w:eastAsia="es-ES"/>
        </w:rPr>
        <w:t xml:space="preserve"> de emitir un pronunciamiento de fondo en relación con el inciso cuarto</w:t>
      </w:r>
      <w:r w:rsidR="00E063B4" w:rsidRPr="0078289D">
        <w:rPr>
          <w:color w:val="000000"/>
          <w:sz w:val="28"/>
          <w:szCs w:val="28"/>
          <w:lang w:val="es-ES_tradnl" w:eastAsia="es-ES"/>
        </w:rPr>
        <w:t xml:space="preserve"> de ese mismo artículo, por ineptitud de los cargos respecto de esa disposición</w:t>
      </w:r>
      <w:r w:rsidR="0092428D" w:rsidRPr="0078289D">
        <w:rPr>
          <w:color w:val="000000"/>
          <w:sz w:val="28"/>
          <w:szCs w:val="28"/>
          <w:lang w:val="es-ES_tradnl" w:eastAsia="es-ES"/>
        </w:rPr>
        <w:t>.</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922029" w:rsidP="0078289D">
      <w:pPr>
        <w:pBdr>
          <w:top w:val="none" w:sz="0" w:space="0" w:color="auto"/>
          <w:left w:val="none" w:sz="0" w:space="0" w:color="auto"/>
          <w:bottom w:val="none" w:sz="0" w:space="0" w:color="auto"/>
          <w:right w:val="none" w:sz="0" w:space="0" w:color="auto"/>
        </w:pBdr>
        <w:shd w:val="clear" w:color="auto" w:fill="FFFFFF"/>
        <w:contextualSpacing/>
        <w:jc w:val="both"/>
        <w:rPr>
          <w:sz w:val="28"/>
          <w:szCs w:val="28"/>
          <w:lang w:val="es-ES_tradnl"/>
        </w:rPr>
      </w:pPr>
      <w:r w:rsidRPr="0078289D">
        <w:rPr>
          <w:rFonts w:eastAsia="Times New Roman"/>
          <w:b/>
          <w:sz w:val="28"/>
          <w:szCs w:val="28"/>
          <w:lang w:val="es-ES_tradnl"/>
        </w:rPr>
        <w:t xml:space="preserve">Cuarto.- </w:t>
      </w:r>
      <w:r w:rsidR="005F5F05" w:rsidRPr="0078289D">
        <w:rPr>
          <w:rFonts w:eastAsia="Times New Roman"/>
          <w:sz w:val="28"/>
          <w:szCs w:val="28"/>
          <w:lang w:val="es-ES_tradnl"/>
        </w:rPr>
        <w:t xml:space="preserve">Declarar </w:t>
      </w:r>
      <w:r w:rsidR="005F5F05" w:rsidRPr="0078289D">
        <w:rPr>
          <w:rFonts w:eastAsia="Times New Roman"/>
          <w:b/>
          <w:sz w:val="28"/>
          <w:szCs w:val="28"/>
          <w:lang w:val="es-ES_tradnl"/>
        </w:rPr>
        <w:t>INEXEQUIBLE</w:t>
      </w:r>
      <w:r w:rsidR="008D527D" w:rsidRPr="0078289D">
        <w:rPr>
          <w:rFonts w:eastAsia="Times New Roman"/>
          <w:b/>
          <w:sz w:val="28"/>
          <w:szCs w:val="28"/>
          <w:lang w:val="es-ES_tradnl"/>
        </w:rPr>
        <w:t>S</w:t>
      </w:r>
      <w:r w:rsidR="005F5F05" w:rsidRPr="0078289D">
        <w:rPr>
          <w:rFonts w:eastAsia="Times New Roman"/>
          <w:sz w:val="28"/>
          <w:szCs w:val="28"/>
          <w:lang w:val="es-ES_tradnl"/>
        </w:rPr>
        <w:t xml:space="preserve"> </w:t>
      </w:r>
      <w:r w:rsidR="005F5F05" w:rsidRPr="0078289D">
        <w:rPr>
          <w:rFonts w:eastAsia="Times New Roman"/>
          <w:bCs/>
          <w:sz w:val="28"/>
          <w:szCs w:val="28"/>
          <w:lang w:val="es-ES_tradnl"/>
        </w:rPr>
        <w:t xml:space="preserve">el inciso 2º </w:t>
      </w:r>
      <w:r w:rsidR="008D527D" w:rsidRPr="0078289D">
        <w:rPr>
          <w:rFonts w:eastAsia="Times New Roman"/>
          <w:bCs/>
          <w:sz w:val="28"/>
          <w:szCs w:val="28"/>
          <w:lang w:val="es-ES_tradnl"/>
        </w:rPr>
        <w:t xml:space="preserve"> y el parágrafo </w:t>
      </w:r>
      <w:r w:rsidR="005F5F05" w:rsidRPr="0078289D">
        <w:rPr>
          <w:rFonts w:eastAsia="Times New Roman"/>
          <w:bCs/>
          <w:sz w:val="28"/>
          <w:szCs w:val="28"/>
          <w:lang w:val="es-ES_tradnl"/>
        </w:rPr>
        <w:t xml:space="preserve">del </w:t>
      </w:r>
      <w:r w:rsidR="005F5F05" w:rsidRPr="0078289D">
        <w:rPr>
          <w:sz w:val="28"/>
          <w:szCs w:val="28"/>
          <w:lang w:val="es-ES_tradnl"/>
        </w:rPr>
        <w:t>artículo 50 de la Ley 1753 de 2015.</w:t>
      </w:r>
    </w:p>
    <w:p w:rsidR="00840465" w:rsidRPr="0078289D" w:rsidRDefault="00840465"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p>
    <w:p w:rsidR="00840465" w:rsidRPr="0078289D" w:rsidRDefault="00922029" w:rsidP="0078289D">
      <w:pPr>
        <w:pBdr>
          <w:top w:val="none" w:sz="0" w:space="0" w:color="auto"/>
          <w:left w:val="none" w:sz="0" w:space="0" w:color="auto"/>
          <w:bottom w:val="none" w:sz="0" w:space="0" w:color="auto"/>
          <w:right w:val="none" w:sz="0" w:space="0" w:color="auto"/>
        </w:pBdr>
        <w:shd w:val="clear" w:color="auto" w:fill="FFFFFF"/>
        <w:contextualSpacing/>
        <w:jc w:val="both"/>
        <w:rPr>
          <w:rFonts w:eastAsia="Times New Roman"/>
          <w:sz w:val="28"/>
          <w:szCs w:val="28"/>
          <w:lang w:val="es-ES_tradnl"/>
        </w:rPr>
      </w:pPr>
      <w:r w:rsidRPr="0078289D">
        <w:rPr>
          <w:b/>
          <w:sz w:val="28"/>
          <w:szCs w:val="28"/>
          <w:lang w:val="es-ES_tradnl"/>
        </w:rPr>
        <w:t>Quinto.-</w:t>
      </w:r>
      <w:r w:rsidR="005F5F05" w:rsidRPr="0078289D">
        <w:rPr>
          <w:rFonts w:eastAsia="Times New Roman"/>
          <w:sz w:val="28"/>
          <w:szCs w:val="28"/>
          <w:lang w:val="es-ES_tradnl"/>
        </w:rPr>
        <w:t xml:space="preserve">Declarar </w:t>
      </w:r>
      <w:r w:rsidR="005F5F05" w:rsidRPr="0078289D">
        <w:rPr>
          <w:rFonts w:eastAsia="Times New Roman"/>
          <w:b/>
          <w:sz w:val="28"/>
          <w:szCs w:val="28"/>
          <w:lang w:val="es-ES_tradnl"/>
        </w:rPr>
        <w:t>INEXEQUIBLE</w:t>
      </w:r>
      <w:r w:rsidR="005F5F05" w:rsidRPr="0078289D">
        <w:rPr>
          <w:rFonts w:eastAsia="Times New Roman"/>
          <w:sz w:val="28"/>
          <w:szCs w:val="28"/>
          <w:lang w:val="es-ES_tradnl"/>
        </w:rPr>
        <w:t xml:space="preserve"> </w:t>
      </w:r>
      <w:r w:rsidR="005F5F05" w:rsidRPr="0078289D">
        <w:rPr>
          <w:rFonts w:eastAsia="Times New Roman"/>
          <w:bCs/>
          <w:sz w:val="28"/>
          <w:szCs w:val="28"/>
          <w:lang w:val="es-ES_tradnl"/>
        </w:rPr>
        <w:t xml:space="preserve">el </w:t>
      </w:r>
      <w:r w:rsidR="005F5F05" w:rsidRPr="0078289D">
        <w:rPr>
          <w:sz w:val="28"/>
          <w:szCs w:val="28"/>
          <w:lang w:val="es-ES_tradnl"/>
        </w:rPr>
        <w:t>artículo 51 de la Ley 1753 de 2015.</w:t>
      </w:r>
    </w:p>
    <w:p w:rsidR="00350C93" w:rsidRPr="0078289D" w:rsidRDefault="00350C93" w:rsidP="0078289D">
      <w:pPr>
        <w:pBdr>
          <w:top w:val="none" w:sz="0" w:space="0" w:color="auto"/>
          <w:left w:val="none" w:sz="0" w:space="0" w:color="auto"/>
          <w:bottom w:val="none" w:sz="0" w:space="0" w:color="auto"/>
          <w:right w:val="none" w:sz="0" w:space="0" w:color="auto"/>
        </w:pBdr>
        <w:jc w:val="both"/>
        <w:rPr>
          <w:sz w:val="28"/>
          <w:szCs w:val="28"/>
          <w:lang w:val="es-ES_tradnl"/>
        </w:rPr>
      </w:pPr>
    </w:p>
    <w:p w:rsidR="007F3BDD" w:rsidRPr="0078289D" w:rsidRDefault="00922029" w:rsidP="0078289D">
      <w:pPr>
        <w:pBdr>
          <w:top w:val="none" w:sz="0" w:space="0" w:color="auto"/>
          <w:left w:val="none" w:sz="0" w:space="0" w:color="auto"/>
          <w:bottom w:val="none" w:sz="0" w:space="0" w:color="auto"/>
          <w:right w:val="none" w:sz="0" w:space="0" w:color="auto"/>
        </w:pBdr>
        <w:jc w:val="both"/>
        <w:rPr>
          <w:sz w:val="28"/>
          <w:szCs w:val="28"/>
          <w:lang w:val="es-ES_tradnl"/>
        </w:rPr>
      </w:pPr>
      <w:r w:rsidRPr="0078289D">
        <w:rPr>
          <w:b/>
          <w:bCs/>
          <w:color w:val="000000"/>
          <w:sz w:val="28"/>
          <w:szCs w:val="28"/>
          <w:bdr w:val="none" w:sz="0" w:space="0" w:color="auto" w:frame="1"/>
          <w:lang w:val="es-ES_tradnl"/>
        </w:rPr>
        <w:t xml:space="preserve">Sexto.- </w:t>
      </w:r>
      <w:r w:rsidR="00350C93" w:rsidRPr="0078289D">
        <w:rPr>
          <w:sz w:val="28"/>
          <w:szCs w:val="28"/>
          <w:lang w:val="es-ES_tradnl"/>
        </w:rPr>
        <w:t xml:space="preserve">Declarar </w:t>
      </w:r>
      <w:r w:rsidR="00350C93" w:rsidRPr="0078289D">
        <w:rPr>
          <w:b/>
          <w:sz w:val="28"/>
          <w:szCs w:val="28"/>
          <w:lang w:val="es-ES_tradnl"/>
        </w:rPr>
        <w:t>EXEQUIBLE</w:t>
      </w:r>
      <w:r w:rsidR="00350C93" w:rsidRPr="0078289D">
        <w:rPr>
          <w:sz w:val="28"/>
          <w:szCs w:val="28"/>
          <w:lang w:val="es-ES_tradnl"/>
        </w:rPr>
        <w:t xml:space="preserve"> la expresión “</w:t>
      </w:r>
      <w:r w:rsidR="00350C93" w:rsidRPr="0078289D">
        <w:rPr>
          <w:i/>
          <w:sz w:val="28"/>
          <w:szCs w:val="28"/>
          <w:lang w:val="es-ES_tradnl"/>
        </w:rPr>
        <w:t>que hayan sido calificados de interés nacional y estratégico por la Comisión Intersectorial de Infraestructura y Proyectos Estratégicos (CIIPE)</w:t>
      </w:r>
      <w:r w:rsidR="00350C93" w:rsidRPr="0078289D">
        <w:rPr>
          <w:sz w:val="28"/>
          <w:szCs w:val="28"/>
          <w:lang w:val="es-ES_tradnl"/>
        </w:rPr>
        <w:t>”, contenida en el artículo 52 de la Ley 1753 de 2015</w:t>
      </w:r>
      <w:r w:rsidR="00947DE4" w:rsidRPr="0078289D">
        <w:rPr>
          <w:sz w:val="28"/>
          <w:szCs w:val="28"/>
          <w:lang w:val="es-ES_tradnl"/>
        </w:rPr>
        <w:t>, por los cargos analizados en esta sentencia</w:t>
      </w:r>
      <w:r w:rsidR="00350C93" w:rsidRPr="0078289D">
        <w:rPr>
          <w:sz w:val="28"/>
          <w:szCs w:val="28"/>
          <w:lang w:val="es-ES_tradnl"/>
        </w:rPr>
        <w:t>.</w:t>
      </w:r>
    </w:p>
    <w:p w:rsidR="00FD0572" w:rsidRPr="0078289D" w:rsidRDefault="00FD0572" w:rsidP="0078289D">
      <w:pPr>
        <w:pBdr>
          <w:top w:val="none" w:sz="0" w:space="0" w:color="auto"/>
          <w:left w:val="none" w:sz="0" w:space="0" w:color="auto"/>
          <w:bottom w:val="none" w:sz="0" w:space="0" w:color="auto"/>
          <w:right w:val="none" w:sz="0" w:space="0" w:color="auto"/>
        </w:pBdr>
        <w:jc w:val="both"/>
        <w:rPr>
          <w:rStyle w:val="apple-converted-space"/>
          <w:b/>
          <w:bCs/>
          <w:color w:val="000000"/>
          <w:sz w:val="28"/>
          <w:szCs w:val="28"/>
          <w:bdr w:val="none" w:sz="0" w:space="0" w:color="auto" w:frame="1"/>
          <w:lang w:val="es-ES_tradnl"/>
        </w:rPr>
      </w:pPr>
    </w:p>
    <w:p w:rsidR="007F3BDD" w:rsidRPr="0078289D" w:rsidRDefault="00922029"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r w:rsidRPr="0078289D">
        <w:rPr>
          <w:b/>
          <w:bCs/>
          <w:color w:val="000000"/>
          <w:sz w:val="28"/>
          <w:szCs w:val="28"/>
          <w:bdr w:val="none" w:sz="0" w:space="0" w:color="auto" w:frame="1"/>
          <w:lang w:val="es-ES_tradnl"/>
        </w:rPr>
        <w:t xml:space="preserve">Séptimo.- </w:t>
      </w:r>
      <w:r w:rsidR="002E5AC7" w:rsidRPr="0078289D">
        <w:rPr>
          <w:color w:val="000000"/>
          <w:sz w:val="28"/>
          <w:szCs w:val="28"/>
          <w:bdr w:val="none" w:sz="0" w:space="0" w:color="auto" w:frame="1"/>
          <w:shd w:val="clear" w:color="auto" w:fill="FFFFFF"/>
          <w:lang w:val="es-ES_tradnl"/>
        </w:rPr>
        <w:t>Declarar</w:t>
      </w:r>
      <w:r w:rsidR="002E5AC7" w:rsidRPr="0078289D">
        <w:rPr>
          <w:rStyle w:val="apple-converted-space"/>
          <w:color w:val="000000"/>
          <w:sz w:val="28"/>
          <w:szCs w:val="28"/>
          <w:bdr w:val="none" w:sz="0" w:space="0" w:color="auto" w:frame="1"/>
          <w:lang w:val="es-ES_tradnl"/>
        </w:rPr>
        <w:t> </w:t>
      </w:r>
      <w:r w:rsidR="008D527D" w:rsidRPr="0078289D">
        <w:rPr>
          <w:b/>
          <w:bCs/>
          <w:color w:val="000000"/>
          <w:sz w:val="28"/>
          <w:szCs w:val="28"/>
          <w:bdr w:val="none" w:sz="0" w:space="0" w:color="auto" w:frame="1"/>
          <w:lang w:val="es-ES_tradnl"/>
        </w:rPr>
        <w:t>EXEQUIBLE</w:t>
      </w:r>
      <w:r w:rsidR="002E5AC7" w:rsidRPr="0078289D">
        <w:rPr>
          <w:b/>
          <w:bCs/>
          <w:color w:val="000000"/>
          <w:sz w:val="28"/>
          <w:szCs w:val="28"/>
          <w:bdr w:val="none" w:sz="0" w:space="0" w:color="auto" w:frame="1"/>
          <w:lang w:val="es-ES_tradnl"/>
        </w:rPr>
        <w:t xml:space="preserve"> </w:t>
      </w:r>
      <w:r w:rsidR="008D527D" w:rsidRPr="0078289D">
        <w:rPr>
          <w:bCs/>
          <w:color w:val="000000"/>
          <w:sz w:val="28"/>
          <w:szCs w:val="28"/>
          <w:bdr w:val="none" w:sz="0" w:space="0" w:color="auto" w:frame="1"/>
          <w:lang w:val="es-ES_tradnl"/>
        </w:rPr>
        <w:t>el inciso</w:t>
      </w:r>
      <w:r w:rsidR="002E5AC7" w:rsidRPr="0078289D">
        <w:rPr>
          <w:bCs/>
          <w:color w:val="000000"/>
          <w:sz w:val="28"/>
          <w:szCs w:val="28"/>
          <w:bdr w:val="none" w:sz="0" w:space="0" w:color="auto" w:frame="1"/>
          <w:lang w:val="es-ES_tradnl"/>
        </w:rPr>
        <w:t xml:space="preserve"> segundo</w:t>
      </w:r>
      <w:r w:rsidR="002E5AC7" w:rsidRPr="0078289D">
        <w:rPr>
          <w:color w:val="000000"/>
          <w:sz w:val="28"/>
          <w:szCs w:val="28"/>
          <w:lang w:val="es-ES_tradnl" w:eastAsia="es-ES"/>
        </w:rPr>
        <w:t xml:space="preserve"> del artículo 173 de la Ley 1753 de 2015</w:t>
      </w:r>
      <w:r w:rsidR="008D527D" w:rsidRPr="0078289D">
        <w:rPr>
          <w:color w:val="000000"/>
          <w:sz w:val="28"/>
          <w:szCs w:val="28"/>
          <w:lang w:val="es-ES_tradnl" w:eastAsia="es-ES"/>
        </w:rPr>
        <w:t>,</w:t>
      </w:r>
      <w:r w:rsidR="002E5AC7" w:rsidRPr="0078289D">
        <w:rPr>
          <w:color w:val="000000"/>
          <w:sz w:val="28"/>
          <w:szCs w:val="28"/>
          <w:lang w:val="es-ES_tradnl" w:eastAsia="es-ES"/>
        </w:rPr>
        <w:t xml:space="preserve"> siempre que se entienda que si el Ministerio de Ambiente y Desarrollo Sostenible se aparta del área de referencia establecida por el Instituto Alexander von Humboldt en la delimitación de los páramos, debe fundamentar explícitamente su decisión en un criterio científico que provea un mayor grado de protección del ecosistema de páramo.</w:t>
      </w:r>
    </w:p>
    <w:p w:rsidR="007F3BDD" w:rsidRPr="0078289D" w:rsidRDefault="007F3BDD" w:rsidP="0078289D">
      <w:pPr>
        <w:pBdr>
          <w:top w:val="none" w:sz="0" w:space="0" w:color="auto"/>
          <w:left w:val="none" w:sz="0" w:space="0" w:color="auto"/>
          <w:bottom w:val="none" w:sz="0" w:space="0" w:color="auto"/>
          <w:right w:val="none" w:sz="0" w:space="0" w:color="auto"/>
        </w:pBdr>
        <w:jc w:val="both"/>
        <w:rPr>
          <w:color w:val="000000"/>
          <w:sz w:val="28"/>
          <w:szCs w:val="28"/>
          <w:lang w:val="es-ES_tradnl" w:eastAsia="es-ES"/>
        </w:rPr>
      </w:pPr>
    </w:p>
    <w:p w:rsidR="007F3BDD" w:rsidRPr="0078289D" w:rsidRDefault="00922029" w:rsidP="0078289D">
      <w:pPr>
        <w:pBdr>
          <w:top w:val="none" w:sz="0" w:space="0" w:color="auto"/>
          <w:left w:val="none" w:sz="0" w:space="0" w:color="auto"/>
          <w:bottom w:val="none" w:sz="0" w:space="0" w:color="auto"/>
          <w:right w:val="none" w:sz="0" w:space="0" w:color="auto"/>
        </w:pBdr>
        <w:jc w:val="both"/>
        <w:rPr>
          <w:bCs/>
          <w:i/>
          <w:color w:val="000000"/>
          <w:sz w:val="28"/>
          <w:szCs w:val="28"/>
          <w:bdr w:val="none" w:sz="0" w:space="0" w:color="auto" w:frame="1"/>
          <w:lang w:val="es-ES_tradnl"/>
        </w:rPr>
      </w:pPr>
      <w:r w:rsidRPr="0078289D">
        <w:rPr>
          <w:b/>
          <w:color w:val="000000"/>
          <w:sz w:val="28"/>
          <w:szCs w:val="28"/>
          <w:bdr w:val="none" w:sz="0" w:space="0" w:color="auto" w:frame="1"/>
          <w:shd w:val="clear" w:color="auto" w:fill="FFFFFF"/>
          <w:lang w:val="es-ES_tradnl"/>
        </w:rPr>
        <w:t xml:space="preserve">Octavo.- </w:t>
      </w:r>
      <w:r w:rsidR="002E5AC7" w:rsidRPr="0078289D">
        <w:rPr>
          <w:color w:val="000000"/>
          <w:sz w:val="28"/>
          <w:szCs w:val="28"/>
          <w:bdr w:val="none" w:sz="0" w:space="0" w:color="auto" w:frame="1"/>
          <w:shd w:val="clear" w:color="auto" w:fill="FFFFFF"/>
          <w:lang w:val="es-ES_tradnl"/>
        </w:rPr>
        <w:t>Declarar</w:t>
      </w:r>
      <w:r w:rsidR="002E5AC7" w:rsidRPr="0078289D">
        <w:rPr>
          <w:rStyle w:val="apple-converted-space"/>
          <w:color w:val="000000"/>
          <w:sz w:val="28"/>
          <w:szCs w:val="28"/>
          <w:bdr w:val="none" w:sz="0" w:space="0" w:color="auto" w:frame="1"/>
          <w:lang w:val="es-ES_tradnl"/>
        </w:rPr>
        <w:t> </w:t>
      </w:r>
      <w:r w:rsidR="002E5AC7" w:rsidRPr="0078289D">
        <w:rPr>
          <w:rStyle w:val="apple-converted-space"/>
          <w:b/>
          <w:bCs/>
          <w:color w:val="000000"/>
          <w:sz w:val="28"/>
          <w:szCs w:val="28"/>
          <w:bdr w:val="none" w:sz="0" w:space="0" w:color="auto" w:frame="1"/>
          <w:lang w:val="es-ES_tradnl"/>
        </w:rPr>
        <w:t>IN</w:t>
      </w:r>
      <w:r w:rsidR="002E5AC7" w:rsidRPr="0078289D">
        <w:rPr>
          <w:b/>
          <w:bCs/>
          <w:color w:val="000000"/>
          <w:sz w:val="28"/>
          <w:szCs w:val="28"/>
          <w:bdr w:val="none" w:sz="0" w:space="0" w:color="auto" w:frame="1"/>
          <w:lang w:val="es-ES_tradnl"/>
        </w:rPr>
        <w:t>EXEQUIBLE</w:t>
      </w:r>
      <w:r w:rsidR="00F936C7" w:rsidRPr="0078289D">
        <w:rPr>
          <w:b/>
          <w:bCs/>
          <w:color w:val="000000"/>
          <w:sz w:val="28"/>
          <w:szCs w:val="28"/>
          <w:bdr w:val="none" w:sz="0" w:space="0" w:color="auto" w:frame="1"/>
          <w:lang w:val="es-ES_tradnl"/>
        </w:rPr>
        <w:t>S</w:t>
      </w:r>
      <w:r w:rsidR="002E5AC7" w:rsidRPr="0078289D">
        <w:rPr>
          <w:b/>
          <w:bCs/>
          <w:color w:val="000000"/>
          <w:sz w:val="28"/>
          <w:szCs w:val="28"/>
          <w:bdr w:val="none" w:sz="0" w:space="0" w:color="auto" w:frame="1"/>
          <w:lang w:val="es-ES_tradnl"/>
        </w:rPr>
        <w:t xml:space="preserve"> </w:t>
      </w:r>
      <w:r w:rsidR="00F936C7" w:rsidRPr="0078289D">
        <w:rPr>
          <w:color w:val="000000"/>
          <w:sz w:val="28"/>
          <w:szCs w:val="28"/>
          <w:lang w:val="es-ES_tradnl" w:eastAsia="es-ES"/>
        </w:rPr>
        <w:t>los incisos primero, segundo y tercero del primer parágrafo del artículo 173 de la Ley 1753 de 2015.</w:t>
      </w:r>
    </w:p>
    <w:p w:rsidR="007F3BDD" w:rsidRPr="0078289D" w:rsidRDefault="007F3BDD" w:rsidP="0078289D">
      <w:pPr>
        <w:pBdr>
          <w:top w:val="none" w:sz="0" w:space="0" w:color="auto"/>
          <w:left w:val="none" w:sz="0" w:space="0" w:color="auto"/>
          <w:bottom w:val="none" w:sz="0" w:space="0" w:color="auto"/>
          <w:right w:val="none" w:sz="0" w:space="0" w:color="auto"/>
        </w:pBdr>
        <w:jc w:val="both"/>
        <w:rPr>
          <w:i/>
          <w:sz w:val="28"/>
          <w:szCs w:val="28"/>
          <w:lang w:val="es-ES_tradnl"/>
        </w:rPr>
      </w:pPr>
    </w:p>
    <w:p w:rsidR="00A958CF" w:rsidRPr="0078289D" w:rsidRDefault="00A958CF" w:rsidP="0078289D">
      <w:pPr>
        <w:pBdr>
          <w:top w:val="none" w:sz="0" w:space="0" w:color="auto"/>
          <w:left w:val="none" w:sz="0" w:space="0" w:color="auto"/>
          <w:bottom w:val="none" w:sz="0" w:space="0" w:color="auto"/>
          <w:right w:val="none" w:sz="0" w:space="0" w:color="auto"/>
        </w:pBdr>
        <w:tabs>
          <w:tab w:val="left" w:pos="360"/>
        </w:tabs>
        <w:overflowPunct w:val="0"/>
        <w:autoSpaceDE w:val="0"/>
        <w:autoSpaceDN w:val="0"/>
        <w:adjustRightInd w:val="0"/>
        <w:jc w:val="both"/>
        <w:textAlignment w:val="baseline"/>
        <w:rPr>
          <w:rFonts w:eastAsia="Times New Roman"/>
          <w:sz w:val="28"/>
          <w:szCs w:val="28"/>
          <w:lang w:val="es-ES_tradnl" w:eastAsia="es-ES"/>
        </w:rPr>
      </w:pPr>
    </w:p>
    <w:p w:rsidR="00A958CF" w:rsidRPr="0078289D" w:rsidRDefault="00A958CF" w:rsidP="0078289D">
      <w:pPr>
        <w:pBdr>
          <w:top w:val="none" w:sz="0" w:space="0" w:color="auto"/>
          <w:left w:val="none" w:sz="0" w:space="0" w:color="auto"/>
          <w:bottom w:val="none" w:sz="0" w:space="0" w:color="auto"/>
          <w:right w:val="none" w:sz="0" w:space="0" w:color="auto"/>
        </w:pBdr>
        <w:tabs>
          <w:tab w:val="left" w:pos="360"/>
        </w:tabs>
        <w:overflowPunct w:val="0"/>
        <w:autoSpaceDE w:val="0"/>
        <w:autoSpaceDN w:val="0"/>
        <w:adjustRightInd w:val="0"/>
        <w:jc w:val="both"/>
        <w:textAlignment w:val="baseline"/>
        <w:rPr>
          <w:rFonts w:eastAsia="Times New Roman"/>
          <w:sz w:val="28"/>
          <w:szCs w:val="28"/>
          <w:lang w:val="es-ES_tradnl" w:eastAsia="es-ES"/>
        </w:rPr>
      </w:pPr>
      <w:r w:rsidRPr="0078289D">
        <w:rPr>
          <w:rFonts w:eastAsia="Times New Roman"/>
          <w:sz w:val="28"/>
          <w:szCs w:val="28"/>
          <w:lang w:val="es-ES_tradnl" w:eastAsia="es-ES"/>
        </w:rPr>
        <w:t>Cópiese, notifíquese, comuníquese, cúmplase y archívese el expediente.</w:t>
      </w:r>
    </w:p>
    <w:p w:rsidR="00A958CF" w:rsidRPr="0078289D" w:rsidRDefault="00A958CF" w:rsidP="006565BB">
      <w:pPr>
        <w:pBdr>
          <w:top w:val="none" w:sz="0" w:space="0" w:color="auto"/>
          <w:left w:val="none" w:sz="0" w:space="0" w:color="auto"/>
          <w:bottom w:val="none" w:sz="0" w:space="0" w:color="auto"/>
          <w:right w:val="none" w:sz="0" w:space="0" w:color="auto"/>
        </w:pBdr>
        <w:tabs>
          <w:tab w:val="left" w:pos="360"/>
        </w:tabs>
        <w:overflowPunct w:val="0"/>
        <w:autoSpaceDE w:val="0"/>
        <w:autoSpaceDN w:val="0"/>
        <w:adjustRightInd w:val="0"/>
        <w:jc w:val="center"/>
        <w:textAlignment w:val="baseline"/>
        <w:rPr>
          <w:rFonts w:eastAsia="Times New Roman"/>
          <w:sz w:val="28"/>
          <w:szCs w:val="28"/>
          <w:lang w:val="es-ES_tradnl" w:eastAsia="es-ES"/>
        </w:rPr>
      </w:pPr>
    </w:p>
    <w:p w:rsidR="00DC0C53" w:rsidRDefault="00DC0C53" w:rsidP="006565BB">
      <w:pPr>
        <w:pBdr>
          <w:top w:val="none" w:sz="0" w:space="0" w:color="auto"/>
          <w:left w:val="none" w:sz="0" w:space="0" w:color="auto"/>
          <w:bottom w:val="none" w:sz="0" w:space="0" w:color="auto"/>
          <w:right w:val="none" w:sz="0" w:space="0" w:color="auto"/>
        </w:pBdr>
        <w:tabs>
          <w:tab w:val="left" w:pos="360"/>
        </w:tabs>
        <w:overflowPunct w:val="0"/>
        <w:autoSpaceDE w:val="0"/>
        <w:autoSpaceDN w:val="0"/>
        <w:adjustRightInd w:val="0"/>
        <w:jc w:val="center"/>
        <w:textAlignment w:val="baseline"/>
        <w:rPr>
          <w:rFonts w:eastAsia="Times New Roman"/>
          <w:sz w:val="28"/>
          <w:szCs w:val="28"/>
          <w:lang w:val="es-ES_tradnl" w:eastAsia="es-ES"/>
        </w:rPr>
      </w:pPr>
    </w:p>
    <w:p w:rsidR="006565BB" w:rsidRPr="0078289D" w:rsidRDefault="006565BB" w:rsidP="006565BB">
      <w:pPr>
        <w:pBdr>
          <w:top w:val="none" w:sz="0" w:space="0" w:color="auto"/>
          <w:left w:val="none" w:sz="0" w:space="0" w:color="auto"/>
          <w:bottom w:val="none" w:sz="0" w:space="0" w:color="auto"/>
          <w:right w:val="none" w:sz="0" w:space="0" w:color="auto"/>
        </w:pBdr>
        <w:tabs>
          <w:tab w:val="left" w:pos="360"/>
        </w:tabs>
        <w:overflowPunct w:val="0"/>
        <w:autoSpaceDE w:val="0"/>
        <w:autoSpaceDN w:val="0"/>
        <w:adjustRightInd w:val="0"/>
        <w:jc w:val="center"/>
        <w:textAlignment w:val="baseline"/>
        <w:rPr>
          <w:rFonts w:eastAsia="Times New Roman"/>
          <w:sz w:val="28"/>
          <w:szCs w:val="28"/>
          <w:lang w:val="es-ES_tradnl" w:eastAsia="es-ES"/>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MARÍA VICTORIA CALLE CORREA</w:t>
      </w:r>
    </w:p>
    <w:p w:rsidR="00DC0C53"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Presidenta</w:t>
      </w:r>
    </w:p>
    <w:p w:rsidR="006565BB" w:rsidRDefault="00DC0C53"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6565BB">
        <w:rPr>
          <w:rFonts w:eastAsia="Times New Roman"/>
          <w:i/>
          <w:sz w:val="28"/>
          <w:szCs w:val="28"/>
          <w:lang w:val="es-CO" w:eastAsia="es-CO"/>
        </w:rPr>
        <w:t>Con Salvamento parcial</w:t>
      </w:r>
      <w:r w:rsidR="006565BB">
        <w:rPr>
          <w:rFonts w:eastAsia="Times New Roman"/>
          <w:i/>
          <w:sz w:val="28"/>
          <w:szCs w:val="28"/>
          <w:lang w:val="es-CO" w:eastAsia="es-CO"/>
        </w:rPr>
        <w:t xml:space="preserve"> de voto</w:t>
      </w:r>
    </w:p>
    <w:p w:rsidR="00A958CF" w:rsidRPr="006565BB" w:rsidRDefault="006565BB"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Con</w:t>
      </w:r>
      <w:r w:rsidR="00B42725" w:rsidRPr="006565BB">
        <w:rPr>
          <w:rFonts w:eastAsia="Times New Roman"/>
          <w:i/>
          <w:sz w:val="28"/>
          <w:szCs w:val="28"/>
          <w:lang w:val="es-CO" w:eastAsia="es-CO"/>
        </w:rPr>
        <w:t xml:space="preserve"> aclaración </w:t>
      </w:r>
      <w:r w:rsidR="00DC0C53" w:rsidRPr="006565BB">
        <w:rPr>
          <w:rFonts w:eastAsia="Times New Roman"/>
          <w:i/>
          <w:sz w:val="28"/>
          <w:szCs w:val="28"/>
          <w:lang w:val="es-CO" w:eastAsia="es-CO"/>
        </w:rPr>
        <w:t>de voto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jc w:val="center"/>
        <w:rPr>
          <w:rFonts w:eastAsia="Times New Roman"/>
          <w:sz w:val="28"/>
          <w:szCs w:val="28"/>
          <w:lang w:val="es-CO" w:eastAsia="es-CO"/>
        </w:rPr>
      </w:pPr>
    </w:p>
    <w:p w:rsidR="00DC0C53" w:rsidRPr="0078289D" w:rsidRDefault="00DC0C53" w:rsidP="006565BB">
      <w:pPr>
        <w:pBdr>
          <w:top w:val="none" w:sz="0" w:space="0" w:color="auto"/>
          <w:left w:val="none" w:sz="0" w:space="0" w:color="auto"/>
          <w:bottom w:val="none" w:sz="0" w:space="0" w:color="auto"/>
          <w:right w:val="none" w:sz="0" w:space="0" w:color="auto"/>
        </w:pBdr>
        <w:shd w:val="clear" w:color="auto" w:fill="FFFFFF"/>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jc w:val="center"/>
        <w:rPr>
          <w:rFonts w:eastAsia="Times New Roman"/>
          <w:sz w:val="28"/>
          <w:szCs w:val="28"/>
          <w:lang w:val="es-CO" w:eastAsia="es-CO"/>
        </w:rPr>
      </w:pPr>
      <w:r w:rsidRPr="0078289D">
        <w:rPr>
          <w:rFonts w:eastAsia="Times New Roman"/>
          <w:sz w:val="28"/>
          <w:szCs w:val="28"/>
          <w:lang w:val="es-CO" w:eastAsia="es-CO"/>
        </w:rPr>
        <w:t>LUIS GUILLERMO GUERRERO PÉREZ</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6565BB" w:rsidRDefault="006565BB"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6565BB">
        <w:rPr>
          <w:rFonts w:eastAsia="Times New Roman"/>
          <w:i/>
          <w:sz w:val="28"/>
          <w:szCs w:val="28"/>
          <w:lang w:val="es-CO" w:eastAsia="es-CO"/>
        </w:rPr>
        <w:t>Con Salvamento parcial</w:t>
      </w:r>
      <w:r>
        <w:rPr>
          <w:rFonts w:eastAsia="Times New Roman"/>
          <w:i/>
          <w:sz w:val="28"/>
          <w:szCs w:val="28"/>
          <w:lang w:val="es-CO" w:eastAsia="es-CO"/>
        </w:rPr>
        <w:t xml:space="preserve"> de voto</w:t>
      </w:r>
    </w:p>
    <w:p w:rsidR="006565BB" w:rsidRPr="006565BB" w:rsidRDefault="006565BB"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Con</w:t>
      </w:r>
      <w:r w:rsidRPr="006565BB">
        <w:rPr>
          <w:rFonts w:eastAsia="Times New Roman"/>
          <w:i/>
          <w:sz w:val="28"/>
          <w:szCs w:val="28"/>
          <w:lang w:val="es-CO" w:eastAsia="es-CO"/>
        </w:rPr>
        <w:t xml:space="preserve"> aclaración de voto</w:t>
      </w:r>
    </w:p>
    <w:p w:rsidR="00C46954" w:rsidRPr="0078289D" w:rsidRDefault="00C46954"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C46954" w:rsidRPr="0078289D" w:rsidRDefault="00C46954"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62678A" w:rsidRPr="0078289D" w:rsidRDefault="0062678A"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ALEJANDRO LINARES CANTILLO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6565BB" w:rsidRDefault="006565BB"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6565BB">
        <w:rPr>
          <w:rFonts w:eastAsia="Times New Roman"/>
          <w:i/>
          <w:sz w:val="28"/>
          <w:szCs w:val="28"/>
          <w:lang w:val="es-CO" w:eastAsia="es-CO"/>
        </w:rPr>
        <w:t>Con Salvamento parcial</w:t>
      </w:r>
      <w:r>
        <w:rPr>
          <w:rFonts w:eastAsia="Times New Roman"/>
          <w:i/>
          <w:sz w:val="28"/>
          <w:szCs w:val="28"/>
          <w:lang w:val="es-CO" w:eastAsia="es-CO"/>
        </w:rPr>
        <w:t xml:space="preserve"> de voto</w:t>
      </w:r>
    </w:p>
    <w:p w:rsidR="006565BB" w:rsidRPr="006565BB" w:rsidRDefault="006565BB"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Con</w:t>
      </w:r>
      <w:r w:rsidRPr="006565BB">
        <w:rPr>
          <w:rFonts w:eastAsia="Times New Roman"/>
          <w:i/>
          <w:sz w:val="28"/>
          <w:szCs w:val="28"/>
          <w:lang w:val="es-CO" w:eastAsia="es-CO"/>
        </w:rPr>
        <w:t xml:space="preserve"> aclaración de voto</w:t>
      </w: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GABRIEL EDUARDO MENDOZA MARTELO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731A26" w:rsidRDefault="00731A26" w:rsidP="00731A26">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6565BB">
        <w:rPr>
          <w:rFonts w:eastAsia="Times New Roman"/>
          <w:i/>
          <w:sz w:val="28"/>
          <w:szCs w:val="28"/>
          <w:lang w:val="es-CO" w:eastAsia="es-CO"/>
        </w:rPr>
        <w:t>Con Salvamento parcial</w:t>
      </w:r>
      <w:r>
        <w:rPr>
          <w:rFonts w:eastAsia="Times New Roman"/>
          <w:i/>
          <w:sz w:val="28"/>
          <w:szCs w:val="28"/>
          <w:lang w:val="es-CO" w:eastAsia="es-CO"/>
        </w:rPr>
        <w:t xml:space="preserve"> de voto</w:t>
      </w:r>
    </w:p>
    <w:p w:rsidR="00731A26" w:rsidRPr="006565BB" w:rsidRDefault="00731A26" w:rsidP="00731A26">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Con</w:t>
      </w:r>
      <w:r w:rsidRPr="006565BB">
        <w:rPr>
          <w:rFonts w:eastAsia="Times New Roman"/>
          <w:i/>
          <w:sz w:val="28"/>
          <w:szCs w:val="28"/>
          <w:lang w:val="es-CO" w:eastAsia="es-CO"/>
        </w:rPr>
        <w:t xml:space="preserve"> aclaración de voto</w:t>
      </w: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GLORIA STELLA ORTIZ DELGADO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Magistrada</w:t>
      </w:r>
    </w:p>
    <w:p w:rsidR="00B42725" w:rsidRPr="00731A26"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731A26">
        <w:rPr>
          <w:rFonts w:eastAsia="Times New Roman"/>
          <w:i/>
          <w:sz w:val="28"/>
          <w:szCs w:val="28"/>
          <w:lang w:val="es-CO" w:eastAsia="es-CO"/>
        </w:rPr>
        <w:t>Con aclaración parcial de voto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9064E2" w:rsidRPr="0078289D" w:rsidRDefault="009064E2"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JORGE IVÁN PALACIO PALACIO</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731A26" w:rsidRDefault="00731A26" w:rsidP="00731A26">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6565BB">
        <w:rPr>
          <w:rFonts w:eastAsia="Times New Roman"/>
          <w:i/>
          <w:sz w:val="28"/>
          <w:szCs w:val="28"/>
          <w:lang w:val="es-CO" w:eastAsia="es-CO"/>
        </w:rPr>
        <w:t>Con Salvamento parcial</w:t>
      </w:r>
      <w:r>
        <w:rPr>
          <w:rFonts w:eastAsia="Times New Roman"/>
          <w:i/>
          <w:sz w:val="28"/>
          <w:szCs w:val="28"/>
          <w:lang w:val="es-CO" w:eastAsia="es-CO"/>
        </w:rPr>
        <w:t xml:space="preserve"> de voto</w:t>
      </w:r>
    </w:p>
    <w:p w:rsidR="00731A26" w:rsidRPr="006565BB" w:rsidRDefault="00731A26" w:rsidP="00731A26">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Con</w:t>
      </w:r>
      <w:r w:rsidRPr="006565BB">
        <w:rPr>
          <w:rFonts w:eastAsia="Times New Roman"/>
          <w:i/>
          <w:sz w:val="28"/>
          <w:szCs w:val="28"/>
          <w:lang w:val="es-CO" w:eastAsia="es-CO"/>
        </w:rPr>
        <w:t xml:space="preserve"> aclaración de voto</w:t>
      </w:r>
    </w:p>
    <w:p w:rsidR="00A958CF"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731A26" w:rsidRPr="0078289D" w:rsidRDefault="00731A26"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JORGE IGNACIO PRETELT CHALJUB</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A958CF" w:rsidRPr="00731A26" w:rsidRDefault="00731A26"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Pr>
          <w:rFonts w:eastAsia="Times New Roman"/>
          <w:i/>
          <w:sz w:val="28"/>
          <w:szCs w:val="28"/>
          <w:lang w:val="es-CO" w:eastAsia="es-CO"/>
        </w:rPr>
        <w:t xml:space="preserve">Ausente </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9064E2" w:rsidRPr="0078289D" w:rsidRDefault="009064E2"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ALBERTO ROJAS RIOS</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B42725" w:rsidRPr="00731A26"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731A26">
        <w:rPr>
          <w:rFonts w:eastAsia="Times New Roman"/>
          <w:i/>
          <w:sz w:val="28"/>
          <w:szCs w:val="28"/>
          <w:lang w:val="es-CO" w:eastAsia="es-CO"/>
        </w:rPr>
        <w:t>Con Salvamento parcial de voto</w:t>
      </w: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LUIS ERNESTO VARGAS SILVA</w:t>
      </w: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Magistrado</w:t>
      </w:r>
    </w:p>
    <w:p w:rsidR="00B42725" w:rsidRPr="00731A26"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i/>
          <w:sz w:val="28"/>
          <w:szCs w:val="28"/>
          <w:lang w:val="es-CO" w:eastAsia="es-CO"/>
        </w:rPr>
      </w:pPr>
      <w:r w:rsidRPr="00731A26">
        <w:rPr>
          <w:rFonts w:eastAsia="Times New Roman"/>
          <w:i/>
          <w:sz w:val="28"/>
          <w:szCs w:val="28"/>
          <w:lang w:val="es-CO" w:eastAsia="es-CO"/>
        </w:rPr>
        <w:t>Con aclaración parcial de voto</w:t>
      </w: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B42725" w:rsidRPr="0078289D" w:rsidRDefault="00B42725"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A958CF" w:rsidRPr="0078289D"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MARTHA VICTORIA SACHICA MENDEZ</w:t>
      </w:r>
    </w:p>
    <w:p w:rsidR="00A958CF" w:rsidRDefault="00A958CF"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r w:rsidRPr="0078289D">
        <w:rPr>
          <w:rFonts w:eastAsia="Times New Roman"/>
          <w:sz w:val="28"/>
          <w:szCs w:val="28"/>
          <w:lang w:val="es-CO" w:eastAsia="es-CO"/>
        </w:rPr>
        <w:t>Secretaria General</w:t>
      </w:r>
    </w:p>
    <w:p w:rsidR="00BF6622" w:rsidRDefault="00BF6622"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BF6622" w:rsidRDefault="00BF6622"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7B62B3" w:rsidRDefault="007B62B3"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7B62B3" w:rsidRDefault="007B62B3"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1068D1" w:rsidRDefault="001068D1"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p w:rsidR="001068D1" w:rsidRPr="0078289D" w:rsidRDefault="001068D1" w:rsidP="006565BB">
      <w:pPr>
        <w:pBdr>
          <w:top w:val="none" w:sz="0" w:space="0" w:color="auto"/>
          <w:left w:val="none" w:sz="0" w:space="0" w:color="auto"/>
          <w:bottom w:val="none" w:sz="0" w:space="0" w:color="auto"/>
          <w:right w:val="none" w:sz="0" w:space="0" w:color="auto"/>
        </w:pBdr>
        <w:shd w:val="clear" w:color="auto" w:fill="FFFFFF"/>
        <w:ind w:right="51"/>
        <w:jc w:val="center"/>
        <w:rPr>
          <w:rFonts w:eastAsia="Times New Roman"/>
          <w:sz w:val="28"/>
          <w:szCs w:val="28"/>
          <w:lang w:val="es-CO" w:eastAsia="es-CO"/>
        </w:rPr>
      </w:pPr>
    </w:p>
    <w:sectPr w:rsidR="001068D1" w:rsidRPr="0078289D" w:rsidSect="006A36D2">
      <w:headerReference w:type="default" r:id="rId23"/>
      <w:pgSz w:w="12242" w:h="18722" w:code="14"/>
      <w:pgMar w:top="1417" w:right="1701" w:bottom="1417"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5D" w:rsidRDefault="00BA745D" w:rsidP="00A8045C">
      <w:pPr>
        <w:pBdr>
          <w:top w:val="none" w:sz="0" w:space="0" w:color="auto"/>
          <w:left w:val="none" w:sz="0" w:space="0" w:color="auto"/>
          <w:bottom w:val="none" w:sz="0" w:space="0" w:color="auto"/>
          <w:right w:val="none" w:sz="0" w:space="0" w:color="auto"/>
        </w:pBdr>
      </w:pPr>
      <w:r>
        <w:separator/>
      </w:r>
    </w:p>
  </w:endnote>
  <w:endnote w:type="continuationSeparator" w:id="0">
    <w:p w:rsidR="00BA745D" w:rsidRDefault="00BA745D" w:rsidP="00A8045C">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5D" w:rsidRDefault="00BA745D" w:rsidP="00A8045C">
      <w:pPr>
        <w:pBdr>
          <w:top w:val="none" w:sz="0" w:space="0" w:color="auto"/>
          <w:left w:val="none" w:sz="0" w:space="0" w:color="auto"/>
          <w:bottom w:val="none" w:sz="0" w:space="0" w:color="auto"/>
          <w:right w:val="none" w:sz="0" w:space="0" w:color="auto"/>
        </w:pBdr>
      </w:pPr>
      <w:r>
        <w:separator/>
      </w:r>
    </w:p>
  </w:footnote>
  <w:footnote w:type="continuationSeparator" w:id="0">
    <w:p w:rsidR="00BA745D" w:rsidRDefault="00BA745D" w:rsidP="00A8045C">
      <w:pPr>
        <w:pBdr>
          <w:top w:val="none" w:sz="0" w:space="0" w:color="auto"/>
          <w:left w:val="none" w:sz="0" w:space="0" w:color="auto"/>
          <w:bottom w:val="none" w:sz="0" w:space="0" w:color="auto"/>
          <w:right w:val="none" w:sz="0" w:space="0" w:color="auto"/>
        </w:pBdr>
      </w:pPr>
      <w:r>
        <w:continuationSeparator/>
      </w:r>
    </w:p>
  </w:footnote>
  <w:footnote w:id="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La demanda es coadyuvada en su totalidad, además de los intervinientes resaltados en la presente providencia, por la Corporación Pensamiento y Acción Social, la Fundación Instituto Mayor Campesino, Pastoral Social Regional Suroriente Colombiano, Sintrapetroputumayo, Cinturón Occidental Ambiental, la ciudadana Esperanza Cerón Villaquirán, los ciudadanos Esteban Rojas Moreno y Alex</w:t>
      </w:r>
      <w:r>
        <w:t>a</w:t>
      </w:r>
      <w:r w:rsidRPr="00237136">
        <w:t>nder Mateus Rodríguez y Ciro Alberto Mun</w:t>
      </w:r>
      <w:r>
        <w:t>é</w:t>
      </w:r>
      <w:r w:rsidRPr="00237136">
        <w:t xml:space="preserve">var Pulido, la Facultad de Ciencias Económicas de la Universidad Nacional de Colombia y el Departamento de Jurídicas de la Universidad de Caldas. Estas intervenciones no se incluyen en la providencia, por cuanto aportan, esencialmente, los argumentos contenidos en la demanda de inconstitucionalidad. </w:t>
      </w:r>
    </w:p>
  </w:footnote>
  <w:footnote w:id="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En el folio 11 (reverso) aportan cifras del estudio denominado </w:t>
      </w:r>
      <w:r w:rsidRPr="00237136">
        <w:rPr>
          <w:i/>
        </w:rPr>
        <w:t>“Derechos, políticas públicas y gobernanza”</w:t>
      </w:r>
      <w:r w:rsidRPr="00237136">
        <w:t xml:space="preserve">, elaborado por la Contraloría General de la República, Bogotá, mayo de 2013. La cita hace referencia a la página 24 del mencionado informe. </w:t>
      </w:r>
    </w:p>
  </w:footnote>
  <w:footnote w:id="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Los accionantes presentaron un mapa en el que ubican las referidas zonas en el folio 12 e hicieron alusión al Informe “</w:t>
      </w:r>
      <w:r w:rsidRPr="00237136">
        <w:rPr>
          <w:i/>
        </w:rPr>
        <w:t>Conflictos de uso del territorio colombiano</w:t>
      </w:r>
      <w:r w:rsidRPr="00237136">
        <w:t xml:space="preserve">”, Instituto Geográfico Agustín Codazzi, octubre de 2012, el reverso del folio 11. </w:t>
      </w:r>
    </w:p>
  </w:footnote>
  <w:footnote w:id="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Sobre el particular, ponen de presente la interpretación que la Corte Constitucional efectuó en la Sentencia C-221 de 1997, en la que estableció que el término Estado incluye tanto al Gobierno Nacional como a las entidades territoriales, y que el término “Nación” hace alusión exclusiva al Gobierno Nacional. Así mismo, citan las Sentencias C-272 de 1998, C-628 de 2003 y C-928 de 2003.</w:t>
      </w:r>
    </w:p>
  </w:footnote>
  <w:footnote w:id="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No obstante, pusieron de presente que el Gobierno Nacional ha interpretado equivocadamente que es éste quien tiene un privilegio exclusivo sobre el uso y explotación del subsuelo y la determinación de las políticas de explotación de recursos naturales. Al respecto, citan el Decreto 934 de 2013, que reglamentó el artículo 37 de la Ley 685 de 2001, el cual, a juicio de los demandantes, excluía de manera absoluta a los entes territoriales de las decisiones sobre la exclusión de la minería. Señalaron que el Consejo de Estado suspendió provisionalmente el mencionado acto administrativo con motivo de la vulneración del principio de autonomía territorial. Indican que el Consejo de Estado, mediante Auto del 3 de septiembre de 2014, Sección Tercera, Proceso 2013-00162 (49.150) C.P. Hernán Andrade Rincón, decretó la suspensión provisional del Decreto 934 de 2013. Así mismo, mencionaron que actualmente cursas procesos de nulidad por inconstitucionalidad en contra del Decreto 2691 de 2014, mediante el cual se señaló que la Nación tenía el “privilegio” de determinar las políticas mineras.</w:t>
      </w:r>
    </w:p>
  </w:footnote>
  <w:footnote w:id="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Frente a la importancia de los referidos principios, los demandantes citan las Sentencias C-490 de 2011, C-008 de 2003 y C-585 de 1995. </w:t>
      </w:r>
    </w:p>
  </w:footnote>
  <w:footnote w:id="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Folio 20 reverso de la demanda. </w:t>
      </w:r>
    </w:p>
  </w:footnote>
  <w:footnote w:id="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Sobre los referidos principios, los demandantes citan las Sentencias C-008 de 2003 y T-358 de 2002. </w:t>
      </w:r>
    </w:p>
  </w:footnote>
  <w:footnote w:id="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Al respecto, citan las Sentencias C-089 de 1994, C-491 de 2007 y C-274 de 2013. </w:t>
      </w:r>
    </w:p>
  </w:footnote>
  <w:footnote w:id="1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Al respecto, vuelven a citar el Informe </w:t>
      </w:r>
      <w:r w:rsidRPr="00237136">
        <w:rPr>
          <w:i/>
        </w:rPr>
        <w:t>Minería en Colombia</w:t>
      </w:r>
      <w:r w:rsidRPr="00237136">
        <w:t xml:space="preserve">, realizado por la Contraloría General de la República, y citado previamente en la presente providencia. </w:t>
      </w:r>
    </w:p>
  </w:footnote>
  <w:footnote w:id="1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Frente a los argumentos relacionados con la vulneración de los postulados de la Constitución Ecológica, los demandantes hicieron alusión a las Sentencias T-411 de 1992, C-632 de 2011, C-595 de 2010, C-703 de 2010. </w:t>
      </w:r>
    </w:p>
  </w:footnote>
  <w:footnote w:id="1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La intervención del Ministerio de Ambiente y Desarrollo Sostenible se encuentra en los folios 486 a 513 del Cuaderno No. 2. </w:t>
      </w:r>
    </w:p>
  </w:footnote>
  <w:footnote w:id="1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El referido principio se encuentra contenido en el artículo 16 de la Ley 685 de 2001 o Código Minas, que preceptúa: “</w:t>
      </w:r>
      <w:r w:rsidRPr="00237136">
        <w:rPr>
          <w:b/>
          <w:bCs/>
          <w:i/>
          <w:shd w:val="clear" w:color="auto" w:fill="FFFFFF"/>
        </w:rPr>
        <w:t>Artículo </w:t>
      </w:r>
      <w:bookmarkStart w:id="3" w:name="16"/>
      <w:bookmarkEnd w:id="3"/>
      <w:r w:rsidRPr="00237136">
        <w:rPr>
          <w:b/>
          <w:bCs/>
          <w:i/>
          <w:shd w:val="clear" w:color="auto" w:fill="FFFFFF"/>
        </w:rPr>
        <w:t> 16.</w:t>
      </w:r>
      <w:r w:rsidRPr="00237136">
        <w:rPr>
          <w:rStyle w:val="apple-converted-space"/>
          <w:i/>
          <w:shd w:val="clear" w:color="auto" w:fill="FFFFFF"/>
        </w:rPr>
        <w:t> </w:t>
      </w:r>
      <w:r w:rsidRPr="00237136">
        <w:rPr>
          <w:i/>
          <w:iCs/>
          <w:shd w:val="clear" w:color="auto" w:fill="FFFFFF"/>
        </w:rPr>
        <w:t>Validez de la propuesta.</w:t>
      </w:r>
      <w:r w:rsidRPr="00237136">
        <w:rPr>
          <w:rStyle w:val="apple-converted-space"/>
          <w:i/>
          <w:shd w:val="clear" w:color="auto" w:fill="FFFFFF"/>
        </w:rPr>
        <w:t> </w:t>
      </w:r>
      <w:r w:rsidRPr="00237136">
        <w:rPr>
          <w:i/>
          <w:shd w:val="clear" w:color="auto" w:fill="FFFFFF"/>
        </w:rPr>
        <w:t xml:space="preserve">La primera solicitud o propuesta de concesión, mientras se halle en trámite, no confiere, por sí sola, frente al Estado, derecho a la celebración del contrato de concesión. Frente a otras solicitudes o frente a terceros, sólo confiere al interesado, un derecho de prelación o preferencia para obtener dicha concesión si reúne para el efecto, los requisitos legales”. </w:t>
      </w:r>
    </w:p>
  </w:footnote>
  <w:footnote w:id="1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La contestación del INCODER se encuentra en los Folios 514 a 517 del Cuaderno No. 2. </w:t>
      </w:r>
    </w:p>
  </w:footnote>
  <w:footnote w:id="1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Citan la Sentencia de la Sala de lo Contencioso Administrativo del Consejo de Estado – Sección Primera, Autos c2324-2373, C.P. Miguel González Rodríguez. </w:t>
      </w:r>
    </w:p>
  </w:footnote>
  <w:footnote w:id="1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 su vez, puso de presente que la minería representa el 2% del consumo de agua, mientras que la agricultura representa el 70%. Para probar estas afirmaciones, aportó citas del estudio </w:t>
      </w:r>
      <w:r w:rsidRPr="00237136">
        <w:rPr>
          <w:i/>
        </w:rPr>
        <w:t xml:space="preserve">“Minería moderna para el progreso de Colombia” </w:t>
      </w:r>
      <w:r w:rsidRPr="00237136">
        <w:t>(Vía internet)</w:t>
      </w:r>
    </w:p>
  </w:footnote>
  <w:footnote w:id="1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La intervención de la Asociación DEDISE se encuentra en los Folios 153 a 160 del Cuaderno 1. </w:t>
      </w:r>
    </w:p>
  </w:footnote>
  <w:footnote w:id="18">
    <w:p w:rsidR="00000000" w:rsidRDefault="0078289D" w:rsidP="004A73A4">
      <w:pPr>
        <w:pStyle w:val="Textonotapie"/>
        <w:pBdr>
          <w:top w:val="none" w:sz="0" w:space="0" w:color="auto"/>
          <w:left w:val="none" w:sz="0" w:space="0" w:color="auto"/>
          <w:bottom w:val="none" w:sz="0" w:space="0" w:color="auto"/>
          <w:right w:val="none" w:sz="0" w:space="0" w:color="auto"/>
        </w:pBdr>
        <w:tabs>
          <w:tab w:val="left" w:pos="2077"/>
        </w:tabs>
        <w:jc w:val="both"/>
      </w:pPr>
      <w:r w:rsidRPr="00237136">
        <w:rPr>
          <w:rStyle w:val="Refdenotaalpie"/>
        </w:rPr>
        <w:footnoteRef/>
      </w:r>
      <w:r w:rsidRPr="00237136">
        <w:t xml:space="preserve"> Folio 157 del Cuaderno 1. </w:t>
      </w:r>
      <w:r w:rsidRPr="00237136">
        <w:tab/>
      </w:r>
    </w:p>
  </w:footnote>
  <w:footnote w:id="19">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i/>
        </w:rPr>
        <w:footnoteRef/>
      </w:r>
      <w:r w:rsidRPr="00237136">
        <w:rPr>
          <w:i/>
        </w:rPr>
        <w:t xml:space="preserve"> “Artículo 20. (….) PARÁGRAFO 1o. Las áreas estratégicas mineras creadas con base en el artículo 108 de la Ley 1450 de 2011 mantendrán su vigencia pero se sujetarán al régimen previsto en el presente artículo.”</w:t>
      </w:r>
    </w:p>
  </w:footnote>
  <w:footnote w:id="20">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Al respecto, ver Sentencias C-447 de 1997, C-131 de 1993 (M.P. Alejandro Martínez Caballero) y C-1256 de 2001 (M.P. Rodrigo Uprimny Yepes)</w:t>
      </w:r>
    </w:p>
  </w:footnote>
  <w:footnote w:id="2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Al respecto, ver Sentencias C-1052 de 2001 (M.P. Manuel José Cepeda), C-1256 de 2001 (M.P. Rodrigo Uprimny)</w:t>
      </w:r>
    </w:p>
  </w:footnote>
  <w:footnote w:id="22">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Sentencia C-1052 de 2001 (M.P. Manuel José Cepeda)</w:t>
      </w:r>
    </w:p>
  </w:footnote>
  <w:footnote w:id="23">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rsidRPr="00237136">
        <w:rPr>
          <w:lang w:val="es-CO"/>
        </w:rPr>
        <w:t>Sentencia C-1256 de 2001.</w:t>
      </w:r>
    </w:p>
  </w:footnote>
  <w:footnote w:id="24">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rsidRPr="00237136">
        <w:rPr>
          <w:lang w:val="es-CO"/>
        </w:rPr>
        <w:t xml:space="preserve">Sentencia C-1256 de 2001. </w:t>
      </w:r>
    </w:p>
  </w:footnote>
  <w:footnote w:id="2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Cfr. Sentencia C-579 de 2001. </w:t>
      </w:r>
    </w:p>
  </w:footnote>
  <w:footnote w:id="2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Cfr. Sentencia C-149 de 2010.</w:t>
      </w:r>
    </w:p>
  </w:footnote>
  <w:footnote w:id="27">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Cfr. Sentencia C-889 de 2012.</w:t>
      </w:r>
    </w:p>
  </w:footnote>
  <w:footnote w:id="2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Corte Constitucional, sentencia C-535/96.</w:t>
      </w:r>
    </w:p>
  </w:footnote>
  <w:footnote w:id="29">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rsidRPr="00237136">
        <w:rPr>
          <w:lang w:val="es-CO"/>
        </w:rPr>
        <w:t xml:space="preserve">M.P. Alberto Rojas Ríos. </w:t>
      </w:r>
    </w:p>
  </w:footnote>
  <w:footnote w:id="3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Sentencia C-535 de 1996.</w:t>
      </w:r>
    </w:p>
  </w:footnote>
  <w:footnote w:id="3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Ibíd.</w:t>
      </w:r>
    </w:p>
  </w:footnote>
  <w:footnote w:id="3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Ibíd.</w:t>
      </w:r>
    </w:p>
  </w:footnote>
  <w:footnote w:id="3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Sentencia C-149 de 2010.</w:t>
      </w:r>
    </w:p>
  </w:footnote>
  <w:footnote w:id="34">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Sentencia </w:t>
      </w:r>
      <w:r w:rsidRPr="00237136">
        <w:rPr>
          <w:lang w:val="es-CO"/>
        </w:rPr>
        <w:t xml:space="preserve">C-889 de 2012. </w:t>
      </w:r>
    </w:p>
  </w:footnote>
  <w:footnote w:id="3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Sentencia C-145 de 2015, M.P. Martha Victoria Sáchica Méndez. </w:t>
      </w:r>
    </w:p>
  </w:footnote>
  <w:footnote w:id="36">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Sentencia C-123 de 2014.</w:t>
      </w:r>
    </w:p>
  </w:footnote>
  <w:footnote w:id="3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Sentencia C-891 de 2002, M.P Jaime Araujo Rentaría, ver también Sentencia C-620 de 2003, M.P. Marco Gerardo Monroy Cabra.</w:t>
      </w:r>
    </w:p>
  </w:footnote>
  <w:footnote w:id="38">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Al respecto ver Sentencia </w:t>
      </w:r>
      <w:r w:rsidRPr="00237136">
        <w:rPr>
          <w:lang w:val="es-CO"/>
        </w:rPr>
        <w:t>C-123 de 2014 ya citada.</w:t>
      </w:r>
    </w:p>
  </w:footnote>
  <w:footnote w:id="3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vertAlign w:val="superscript"/>
        </w:rPr>
        <w:footnoteRef/>
      </w:r>
      <w:r w:rsidRPr="00237136">
        <w:t xml:space="preserve"> Este contenido  del principio de autonomía territorial implica, entre otros aspectos, que se asegure la posibilidad de tomar las principales decisiones para la vida de un determinado municipio o distrito o, como garantía mínima, participar efectiva y eficazmente en el proceso por el que las mismas son tomadas.</w:t>
      </w:r>
    </w:p>
  </w:footnote>
  <w:footnote w:id="4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Esta decisión, contó con el salvamento de voto de los Magistrados María Victoria Calle Correa y Luis Ernesto Vargas Silva, quienes consideraron en primer lugar, que la prohibición contenida en la norma objeto de controversia era manifiestamente inconstitucional por desconocer: (i) la participación que compete a las entidades territoriales, como integrantes del Estado, en las decisiones relativas a la explotación de los recursos naturales (arts. 332 y 334 CP); (ii) la autonomía de las entidades territoriales (art. 287 CP), el modelo constitucional de distribución de competencias entre la Nación y las entidades territoriales, basado en los principios de coordinación, concurrencia y subsidiariedad (art. 288 CP); (iii) las competencias para regular usos del suelo y expedir normas orientadas a la defensa del patrimonio ecológico y cultural que la Constitución atribuye de manera directa a los municipios (arts. 311 y 313 num. 7 y 9 CP) y departamentos (art. 300 num. 2 CP); (iv) los mandatos constitucionales que ordenan otorgar especial protección a la producción de alimentos (art. 65 CP),  proteger la diversidad e integridad del ambiente, conservar las áreas de especial importancia ecológica, prevenir y controlar los factores de deterioro ambiental, y garantizar la participación de la comunidad en las decisiones que puedan afectar su derecho a gozar de un ambiente sano (arts. 79 y 80 CP). En segundo lugar, salvaron el voto por estimar que el condicionamiento efectuado en la sentencia no lograba recomponer de manera adecuada el balance entre el principio unitario que sustenta la prohibición impuesta en el artículo 37 del Código de Minas, y los demás contenidos constitucionales que se ven afectados con ella, ya que pese a establecer un mandato claro de concertación en las decisiones relativas a la ejecución de proyectos mineros, la sentencia no precisaba los criterios que deben orientar los acuerdos a que han de llegar las autoridades nacionales con las regionales, distritales o municipales, al momento de aprobar la realización de un proyecto minero, lo que arriesga a privar de todo efecto práctico la decisión adoptada y, con ello, la garantía efectiva de los contenidos constitucionales que se trata de salvaguardar a través del condicionamiento establecido en la sentencia.</w:t>
      </w:r>
    </w:p>
  </w:footnote>
  <w:footnote w:id="41">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rsidRPr="00237136">
        <w:rPr>
          <w:lang w:val="es-CO"/>
        </w:rPr>
        <w:t xml:space="preserve">Al respecto ver Sentencia C-066 de 2013, M.P. Luis Ernesto Vargas Silva. </w:t>
      </w:r>
    </w:p>
  </w:footnote>
  <w:footnote w:id="4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Además de las intervenciones listadas en la presente providencia, el Comité Ambiental en Defensa de la Vida, la Fundación Semillas de Agua, el Centro de Estudios para la Justicia Social Tierra Digna y el Colectivo Ansur, coadyuvan la demanda. Particularmente, señalan que el proyecto PINE adelantado en el proyecto minero La Colosa en el departamento del Tolima, no ha garantizado la participación de la comunidad en las decisiones adoptadas, ni ha contado con un estudio de impacto ambiental que dé cuenta de los riesgos de éste. </w:t>
      </w:r>
    </w:p>
  </w:footnote>
  <w:footnote w:id="4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Los accionantes manifiestan que los referidos derechos se encuentran reconocidos por los artículos 2º, 29, 93, 229, 250 de la Constitución Política. </w:t>
      </w:r>
    </w:p>
  </w:footnote>
  <w:footnote w:id="4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footnoteRef/>
      </w:r>
      <w:r w:rsidRPr="00576D10">
        <w:t xml:space="preserve"> Indican que el derecho a la restitución se encuentra reconocido por normas internacionales, a saber, en los artículos 1º, 8º, 25 y 63 de la Convención Americana sobre Derechos Humanos y 2º, 9º, 10º, 14 y 15 del Pacto Internacional de Derechos Civiles y Políticos. </w:t>
      </w:r>
    </w:p>
  </w:footnote>
  <w:footnote w:id="4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Al respecto, los accionantes citan la Sentencia C-715 de 2012, mediante la cual la Corte Constitucional señaló: </w:t>
      </w:r>
      <w:r w:rsidRPr="00576D10">
        <w:rPr>
          <w:i/>
        </w:rPr>
        <w:t xml:space="preserve">“El objeto principal de la restitución de tierras es que las víctimas que sufrieron una situación de desplazamiento puedan regresar a sus hogares, derecho que se vulnera al permitir que sean terceros y no desplazados quien explote económicamente su propiedad, situación que implicará el desarraigo de las víctimas y continuará la situación de desplazamiento de la población rural en Colombia”. </w:t>
      </w:r>
    </w:p>
  </w:footnote>
  <w:footnote w:id="4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Cuaderno 1, Folios 112 al 123. </w:t>
      </w:r>
    </w:p>
  </w:footnote>
  <w:footnote w:id="4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Los intervinientes hacen referencia a las normas constitucionales e internacionales que consagran los mencionados derechos, a saber, los artículos 29 y 229 de la Constitución Política y 8 y 25 de la Convención Americana sobre derechos Humanos. </w:t>
      </w:r>
    </w:p>
  </w:footnote>
  <w:footnote w:id="4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Los accionantes manifiestan que los referidos derechos se encuentran reconocidos por los artículos 2º, 29, 93, 229, 250 de la Constitución Política. </w:t>
      </w:r>
    </w:p>
  </w:footnote>
  <w:footnote w:id="4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footnoteRef/>
      </w:r>
      <w:r w:rsidRPr="00237136">
        <w:t xml:space="preserve"> Indican que el derecho a la restitución se encuentra reconocido por normas internacionales, a saber, en los artículos 1º, 8º, 25 y 63 de la Convención Americana sobre Derechos Humanos y 2º, 9º, 10º, 14 y 15 del Pacto Internacional de Derechos Civiles y Políticos. </w:t>
      </w:r>
    </w:p>
  </w:footnote>
  <w:footnote w:id="50">
    <w:p w:rsidR="00000000" w:rsidRDefault="0078289D" w:rsidP="004A73A4">
      <w:pPr>
        <w:pStyle w:val="Textonotapie"/>
        <w:pBdr>
          <w:top w:val="none" w:sz="0" w:space="0" w:color="auto"/>
          <w:left w:val="none" w:sz="0" w:space="0" w:color="auto"/>
          <w:bottom w:val="none" w:sz="0" w:space="0" w:color="auto"/>
          <w:right w:val="none" w:sz="0" w:space="0" w:color="auto"/>
        </w:pBdr>
      </w:pPr>
      <w:r>
        <w:rPr>
          <w:rStyle w:val="Refdenotaalpie"/>
        </w:rPr>
        <w:footnoteRef/>
      </w:r>
      <w:r w:rsidRPr="008F7CAE">
        <w:rPr>
          <w:lang w:val="en-US"/>
        </w:rPr>
        <w:t xml:space="preserve"> Ver Steiner, Henry J. y Philip Alston. 1996. </w:t>
      </w:r>
      <w:r w:rsidRPr="008F7CAE">
        <w:rPr>
          <w:i/>
          <w:lang w:val="en-US"/>
        </w:rPr>
        <w:t>International Human Rights in Context: Law, Politics, Morals</w:t>
      </w:r>
      <w:r w:rsidRPr="008F7CAE">
        <w:rPr>
          <w:lang w:val="en-US"/>
        </w:rPr>
        <w:t xml:space="preserve">. </w:t>
      </w:r>
      <w:r>
        <w:t xml:space="preserve">Clarendon Press, Oxford, Reino Unido. </w:t>
      </w:r>
    </w:p>
  </w:footnote>
  <w:footnote w:id="51">
    <w:p w:rsidR="00000000" w:rsidRDefault="0078289D" w:rsidP="004A73A4">
      <w:pPr>
        <w:pStyle w:val="NormalWeb"/>
        <w:pBdr>
          <w:top w:val="none" w:sz="0" w:space="0" w:color="auto"/>
          <w:left w:val="none" w:sz="0" w:space="0" w:color="auto"/>
          <w:bottom w:val="none" w:sz="0" w:space="0" w:color="auto"/>
          <w:right w:val="none" w:sz="0" w:space="0" w:color="auto"/>
        </w:pBdr>
        <w:jc w:val="both"/>
      </w:pPr>
      <w:r w:rsidRPr="00C01689">
        <w:rPr>
          <w:rStyle w:val="Refdenotaalpie"/>
          <w:rFonts w:ascii="Times New Roman" w:hAnsi="Times New Roman"/>
          <w:sz w:val="20"/>
          <w:szCs w:val="20"/>
        </w:rPr>
        <w:footnoteRef/>
      </w:r>
      <w:r w:rsidRPr="00C01689">
        <w:rPr>
          <w:rFonts w:ascii="Times New Roman" w:hAnsi="Times New Roman" w:cs="Times New Roman"/>
          <w:sz w:val="20"/>
          <w:szCs w:val="20"/>
        </w:rPr>
        <w:t xml:space="preserve"> </w:t>
      </w:r>
      <w:r>
        <w:rPr>
          <w:rFonts w:ascii="Times New Roman" w:hAnsi="Times New Roman" w:cs="Times New Roman"/>
          <w:color w:val="auto"/>
          <w:sz w:val="20"/>
          <w:szCs w:val="20"/>
        </w:rPr>
        <w:t>Corte Interamericana de Derechos Humanos,</w:t>
      </w:r>
      <w:r w:rsidRPr="00C01689">
        <w:rPr>
          <w:rFonts w:ascii="Times New Roman" w:hAnsi="Times New Roman" w:cs="Times New Roman"/>
          <w:color w:val="auto"/>
          <w:sz w:val="20"/>
          <w:szCs w:val="20"/>
        </w:rPr>
        <w:t xml:space="preserve"> </w:t>
      </w:r>
      <w:r>
        <w:rPr>
          <w:rFonts w:ascii="Times New Roman" w:hAnsi="Times New Roman" w:cs="Times New Roman"/>
          <w:i/>
          <w:iCs/>
          <w:color w:val="auto"/>
          <w:sz w:val="20"/>
          <w:szCs w:val="20"/>
        </w:rPr>
        <w:t>Velásquez Rodríguez V</w:t>
      </w:r>
      <w:r w:rsidRPr="00C01689">
        <w:rPr>
          <w:rFonts w:ascii="Times New Roman" w:hAnsi="Times New Roman" w:cs="Times New Roman"/>
          <w:i/>
          <w:iCs/>
          <w:color w:val="auto"/>
          <w:sz w:val="20"/>
          <w:szCs w:val="20"/>
        </w:rPr>
        <w:t>. Honduras</w:t>
      </w:r>
      <w:r w:rsidRPr="00C01689">
        <w:rPr>
          <w:rFonts w:ascii="Times New Roman" w:hAnsi="Times New Roman" w:cs="Times New Roman"/>
          <w:color w:val="auto"/>
          <w:sz w:val="20"/>
          <w:szCs w:val="20"/>
        </w:rPr>
        <w:t>. Repara</w:t>
      </w:r>
      <w:r>
        <w:rPr>
          <w:rFonts w:ascii="Times New Roman" w:hAnsi="Times New Roman" w:cs="Times New Roman"/>
          <w:color w:val="auto"/>
          <w:sz w:val="20"/>
          <w:szCs w:val="20"/>
        </w:rPr>
        <w:t xml:space="preserve">ciones y Costas, </w:t>
      </w:r>
      <w:r w:rsidRPr="00C01689">
        <w:rPr>
          <w:rFonts w:ascii="Times New Roman" w:hAnsi="Times New Roman" w:cs="Times New Roman"/>
          <w:color w:val="auto"/>
          <w:sz w:val="20"/>
          <w:szCs w:val="20"/>
        </w:rPr>
        <w:t xml:space="preserve">21 de julio de 1989 </w:t>
      </w:r>
    </w:p>
  </w:footnote>
  <w:footnote w:id="52">
    <w:p w:rsidR="00000000" w:rsidRDefault="0078289D" w:rsidP="004A73A4">
      <w:pPr>
        <w:pStyle w:val="NormalWeb"/>
        <w:pBdr>
          <w:top w:val="none" w:sz="0" w:space="0" w:color="auto"/>
          <w:left w:val="none" w:sz="0" w:space="0" w:color="auto"/>
          <w:bottom w:val="none" w:sz="0" w:space="0" w:color="auto"/>
          <w:right w:val="none" w:sz="0" w:space="0" w:color="auto"/>
        </w:pBdr>
        <w:spacing w:before="0" w:after="0"/>
        <w:jc w:val="both"/>
      </w:pPr>
      <w:r w:rsidRPr="00577CAB">
        <w:rPr>
          <w:rStyle w:val="Refdenotaalpie"/>
          <w:rFonts w:ascii="Times New Roman" w:hAnsi="Times New Roman"/>
          <w:sz w:val="20"/>
          <w:szCs w:val="20"/>
        </w:rPr>
        <w:footnoteRef/>
      </w:r>
      <w:r w:rsidRPr="00577CAB">
        <w:rPr>
          <w:rFonts w:ascii="Times New Roman" w:hAnsi="Times New Roman" w:cs="Times New Roman"/>
          <w:sz w:val="20"/>
          <w:szCs w:val="20"/>
        </w:rPr>
        <w:t xml:space="preserve"> Así, el artículo 41 del Convenio Europeo de Derechos Humanos establece: </w:t>
      </w:r>
      <w:r>
        <w:rPr>
          <w:rFonts w:ascii="Times New Roman" w:hAnsi="Times New Roman" w:cs="Times New Roman"/>
          <w:sz w:val="20"/>
          <w:szCs w:val="20"/>
        </w:rPr>
        <w:t>“</w:t>
      </w:r>
      <w:r w:rsidRPr="00577CAB">
        <w:rPr>
          <w:rFonts w:ascii="Times New Roman" w:hAnsi="Times New Roman" w:cs="Times New Roman"/>
          <w:i/>
          <w:color w:val="auto"/>
          <w:sz w:val="20"/>
          <w:szCs w:val="20"/>
        </w:rPr>
        <w:t xml:space="preserve">Si el Tribunal declara que ha habido violación del Convenio o de sus Protocolos y si el derecho interno de la Alta Parte Contratante sólo permite de manera imperfecta reparar las consecuencias de dicha violación, el Tribunal concederá a la parte perjudicada, si así procede, una satisfacción equitativa”. </w:t>
      </w:r>
    </w:p>
  </w:footnote>
  <w:footnote w:id="5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7CAB">
        <w:rPr>
          <w:rStyle w:val="Refdenotaalpie"/>
          <w:i/>
        </w:rPr>
        <w:footnoteRef/>
      </w:r>
      <w:r w:rsidRPr="00577CAB">
        <w:rPr>
          <w:i/>
        </w:rPr>
        <w:t xml:space="preserve"> El numeral 1º del artículo 75 del Estatuto de Roma contempla: </w:t>
      </w:r>
      <w:r>
        <w:rPr>
          <w:i/>
          <w:lang w:val="es-ES"/>
        </w:rPr>
        <w:t>“</w:t>
      </w:r>
      <w:r w:rsidRPr="00577CAB">
        <w:rPr>
          <w:i/>
          <w:lang w:val="es-ES"/>
        </w:rPr>
        <w:t>La Corte establecerá principios aplicables a la reparación, incluidas la restitución, la indemnización y la rehabilitación, que ha de otorgarse a las víctimas o a sus causahabientes. Sobre esta base, la Corte, previa solicitud o de oficio en circunstancias excepcionales, podrá determinar en su decisión el alcance y la magnitud de los daños, pérdidas o perjuicios causados a las víctimas o a sus causahabientes, indicando los principios en que se funda</w:t>
      </w:r>
      <w:r>
        <w:rPr>
          <w:i/>
          <w:lang w:val="es-ES"/>
        </w:rPr>
        <w:t>”</w:t>
      </w:r>
    </w:p>
  </w:footnote>
  <w:footnote w:id="5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C01689">
        <w:rPr>
          <w:rStyle w:val="Refdenotaalpie"/>
        </w:rPr>
        <w:footnoteRef/>
      </w:r>
      <w:r w:rsidRPr="00C01689">
        <w:t xml:space="preserve"> </w:t>
      </w:r>
      <w:r w:rsidRPr="00C01689">
        <w:rPr>
          <w:lang w:val="es-CO"/>
        </w:rPr>
        <w:t>Sobre la inclusión de los mencionados instrumentos internacionales en el ordenamiento jurídico colombiano en virtud del boque de constitucionalidad en sentido lato, ver las Sentencia C-715 de 2012 (M.P. Luis Ernesto Vargas Silva), T-821 de 2007 (M.P. Catalina Botero Marino), C-281 de 2013 (M.P. Nilson Pinilla Pinilla)</w:t>
      </w:r>
    </w:p>
  </w:footnote>
  <w:footnote w:id="55">
    <w:p w:rsidR="00000000" w:rsidRDefault="0078289D" w:rsidP="004A73A4">
      <w:pPr>
        <w:pStyle w:val="Textonotapie"/>
        <w:pBdr>
          <w:top w:val="none" w:sz="0" w:space="0" w:color="auto"/>
          <w:left w:val="none" w:sz="0" w:space="0" w:color="auto"/>
          <w:bottom w:val="none" w:sz="0" w:space="0" w:color="auto"/>
          <w:right w:val="none" w:sz="0" w:space="0" w:color="auto"/>
        </w:pBdr>
      </w:pPr>
      <w:r w:rsidRPr="00C01689">
        <w:rPr>
          <w:rStyle w:val="Refdenotaalpie"/>
        </w:rPr>
        <w:footnoteRef/>
      </w:r>
      <w:r w:rsidRPr="00C01689">
        <w:t xml:space="preserve"> M.P. Catalina Botero Marino. </w:t>
      </w:r>
    </w:p>
  </w:footnote>
  <w:footnote w:id="56">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rsidRPr="00237136">
        <w:rPr>
          <w:lang w:val="es-CO"/>
        </w:rPr>
        <w:t xml:space="preserve">Sentencia C-715 de 2012, M.P. Luis Ernesto Vargas. </w:t>
      </w:r>
    </w:p>
  </w:footnote>
  <w:footnote w:id="57">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Alejandro Martínez Caballero. </w:t>
      </w:r>
    </w:p>
  </w:footnote>
  <w:footnote w:id="58">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Alberto Rojas Ríos. </w:t>
      </w:r>
    </w:p>
  </w:footnote>
  <w:footnote w:id="59">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Juan Carlos Henao Pérez. </w:t>
      </w:r>
    </w:p>
  </w:footnote>
  <w:footnote w:id="60">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Mauricio González Cuervo. </w:t>
      </w:r>
    </w:p>
  </w:footnote>
  <w:footnote w:id="61">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Corte Constitucional, Sentencia C-093 de 2011. M.P. Alejandro Martínez Caballero. </w:t>
      </w:r>
    </w:p>
  </w:footnote>
  <w:footnote w:id="62">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Ibíd. </w:t>
      </w:r>
    </w:p>
  </w:footnote>
  <w:footnote w:id="63">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Ibíd. </w:t>
      </w:r>
    </w:p>
  </w:footnote>
  <w:footnote w:id="64">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Jorge Iván Palacio Palacio. </w:t>
      </w:r>
    </w:p>
  </w:footnote>
  <w:footnote w:id="65">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Mauricio González Cuervo. </w:t>
      </w:r>
    </w:p>
  </w:footnote>
  <w:footnote w:id="66">
    <w:p w:rsidR="00000000" w:rsidRDefault="0078289D" w:rsidP="004A73A4">
      <w:pPr>
        <w:pStyle w:val="Textonotapie"/>
        <w:pBdr>
          <w:top w:val="none" w:sz="0" w:space="0" w:color="auto"/>
          <w:left w:val="none" w:sz="0" w:space="0" w:color="auto"/>
          <w:bottom w:val="none" w:sz="0" w:space="0" w:color="auto"/>
          <w:right w:val="none" w:sz="0" w:space="0" w:color="auto"/>
        </w:pBdr>
      </w:pPr>
      <w:r>
        <w:rPr>
          <w:rStyle w:val="Refdenotaalpie"/>
        </w:rPr>
        <w:footnoteRef/>
      </w:r>
      <w:r>
        <w:t xml:space="preserve"> M.P. Alberto Rojas Ríos.</w:t>
      </w:r>
    </w:p>
  </w:footnote>
  <w:footnote w:id="67">
    <w:p w:rsidR="00000000" w:rsidRDefault="0078289D" w:rsidP="004A73A4">
      <w:pPr>
        <w:pStyle w:val="NormalWeb"/>
        <w:pBdr>
          <w:top w:val="none" w:sz="0" w:space="0" w:color="auto"/>
          <w:left w:val="none" w:sz="0" w:space="0" w:color="auto"/>
          <w:bottom w:val="none" w:sz="0" w:space="0" w:color="auto"/>
          <w:right w:val="none" w:sz="0" w:space="0" w:color="auto"/>
        </w:pBdr>
        <w:spacing w:after="0"/>
        <w:jc w:val="both"/>
      </w:pPr>
      <w:r w:rsidRPr="00237136">
        <w:rPr>
          <w:rStyle w:val="Refdenotaalpie"/>
          <w:rFonts w:ascii="Times New Roman" w:hAnsi="Times New Roman"/>
          <w:sz w:val="20"/>
          <w:szCs w:val="20"/>
        </w:rPr>
        <w:footnoteRef/>
      </w:r>
      <w:r w:rsidRPr="00237136">
        <w:rPr>
          <w:rFonts w:ascii="Times New Roman" w:hAnsi="Times New Roman" w:cs="Times New Roman"/>
          <w:sz w:val="20"/>
          <w:szCs w:val="20"/>
        </w:rPr>
        <w:t xml:space="preserve"> Esta situación, a juicio del Procurador, es contraria a lo que sucedió en la </w:t>
      </w:r>
      <w:r w:rsidRPr="00237136">
        <w:rPr>
          <w:rFonts w:ascii="Times New Roman" w:hAnsi="Times New Roman" w:cs="Times New Roman"/>
          <w:b/>
          <w:sz w:val="20"/>
          <w:szCs w:val="20"/>
        </w:rPr>
        <w:t>Sentencia C-149 de 2010</w:t>
      </w:r>
      <w:r w:rsidRPr="00237136">
        <w:rPr>
          <w:rFonts w:ascii="Times New Roman" w:hAnsi="Times New Roman" w:cs="Times New Roman"/>
          <w:sz w:val="20"/>
          <w:szCs w:val="20"/>
        </w:rPr>
        <w:t xml:space="preserve">, mediante la cual la Corte declaró inexequible una norma que establecía que los macroproyectos de interés social y nacional eran determinantes del ordenamiento de los municipios y distritos, y que se entendían incorporados en el POT. </w:t>
      </w:r>
    </w:p>
  </w:footnote>
  <w:footnote w:id="68">
    <w:p w:rsidR="00000000" w:rsidRDefault="0078289D" w:rsidP="004A73A4">
      <w:pPr>
        <w:pBdr>
          <w:top w:val="none" w:sz="0" w:space="0" w:color="auto"/>
          <w:left w:val="none" w:sz="0" w:space="0" w:color="auto"/>
          <w:bottom w:val="none" w:sz="0" w:space="0" w:color="auto"/>
          <w:right w:val="none" w:sz="0" w:space="0" w:color="auto"/>
        </w:pBdr>
        <w:jc w:val="both"/>
      </w:pPr>
      <w:r w:rsidRPr="00237136">
        <w:rPr>
          <w:rStyle w:val="Refdenotaalpie"/>
          <w:sz w:val="20"/>
          <w:szCs w:val="20"/>
        </w:rPr>
        <w:footnoteRef/>
      </w:r>
      <w:r w:rsidRPr="00237136">
        <w:rPr>
          <w:sz w:val="20"/>
          <w:szCs w:val="20"/>
          <w:lang w:val="es-ES"/>
        </w:rPr>
        <w:t xml:space="preserve"> </w:t>
      </w:r>
      <w:r w:rsidRPr="008F7CAE">
        <w:rPr>
          <w:sz w:val="20"/>
          <w:szCs w:val="20"/>
          <w:lang w:val="es-US"/>
        </w:rPr>
        <w:t xml:space="preserve">Así, citó las </w:t>
      </w:r>
      <w:r w:rsidRPr="008F7CAE">
        <w:rPr>
          <w:b/>
          <w:sz w:val="20"/>
          <w:szCs w:val="20"/>
          <w:lang w:val="es-US"/>
        </w:rPr>
        <w:t>Sentencias C-401 de 2010, C-245 de 2011</w:t>
      </w:r>
      <w:r w:rsidRPr="008F7CAE">
        <w:rPr>
          <w:sz w:val="20"/>
          <w:szCs w:val="20"/>
          <w:lang w:val="es-US"/>
        </w:rPr>
        <w:t xml:space="preserve"> y </w:t>
      </w:r>
      <w:r w:rsidRPr="008F7CAE">
        <w:rPr>
          <w:b/>
          <w:sz w:val="20"/>
          <w:szCs w:val="20"/>
          <w:lang w:val="es-US"/>
        </w:rPr>
        <w:t xml:space="preserve">C-632 de 2011 </w:t>
      </w:r>
      <w:r w:rsidRPr="008F7CAE">
        <w:rPr>
          <w:sz w:val="20"/>
          <w:szCs w:val="20"/>
          <w:lang w:val="es-US"/>
        </w:rPr>
        <w:t xml:space="preserve">para referirse a la potestad de configuración del Congreso de la República. </w:t>
      </w:r>
    </w:p>
  </w:footnote>
  <w:footnote w:id="6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En su intervención, la ANDI reiteró los argumentos presentados por las entidades estatales, en el entendido de que no existía una vulneración de los derechos de restitución o al ambiente sano, pues las normas demandadas pretendían salvaguardarlos. </w:t>
      </w:r>
    </w:p>
  </w:footnote>
  <w:footnote w:id="70">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8F7CAE">
        <w:rPr>
          <w:lang w:val="en-US"/>
        </w:rPr>
        <w:t xml:space="preserve"> Tribe, Laurence. 2000. </w:t>
      </w:r>
      <w:r w:rsidRPr="008F7CAE">
        <w:rPr>
          <w:i/>
          <w:lang w:val="en-US"/>
        </w:rPr>
        <w:t>American Constitutional Law</w:t>
      </w:r>
      <w:r w:rsidRPr="008F7CAE">
        <w:rPr>
          <w:lang w:val="en-US"/>
        </w:rPr>
        <w:t>. Foundation Press, Cambridge, MA, EEUU. p. 798.</w:t>
      </w:r>
    </w:p>
  </w:footnote>
  <w:footnote w:id="71">
    <w:p w:rsidR="00000000" w:rsidRDefault="0078289D" w:rsidP="004A73A4">
      <w:pPr>
        <w:pStyle w:val="Textonotapie"/>
        <w:pBdr>
          <w:top w:val="none" w:sz="0" w:space="0" w:color="auto"/>
          <w:left w:val="none" w:sz="0" w:space="0" w:color="auto"/>
          <w:bottom w:val="none" w:sz="0" w:space="0" w:color="auto"/>
          <w:right w:val="none" w:sz="0" w:space="0" w:color="auto"/>
        </w:pBdr>
      </w:pPr>
      <w:r>
        <w:rPr>
          <w:rStyle w:val="Refdenotaalpie"/>
        </w:rPr>
        <w:footnoteRef/>
      </w:r>
      <w:r>
        <w:t xml:space="preserve"> Al respecto, ver también la Sentencia Cç227 de 2011 (M.P. Juan Carlos Henao), previamente citada.</w:t>
      </w:r>
    </w:p>
  </w:footnote>
  <w:footnote w:id="7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Sobre el particular, los accionantes citan la sentencia C-593 de 1995, en la que se indica que las CAR son organismos autónomos e intermedios entre la Nación y las entidades territoriales.</w:t>
      </w:r>
    </w:p>
  </w:footnote>
  <w:footnote w:id="7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Frente a la autonomía de las CAR, el Procurador citó la Sentencia C-462 de 2008. </w:t>
      </w:r>
    </w:p>
  </w:footnote>
  <w:footnote w:id="7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El Procurador citó varias providencias de la Corte Constitucional en las que se estudió el principio de autonomía con respecto a las CAR. Así, mencionó la Sentencia C-994 de 2004, mediante la cual se declaró inexequible una expresión que establecía que toda modificación a la planta de personal de las CAR debía ser previamente avalada por el Departamento Administrativo de la Función Pública. Igualmente, para sustentar la afirmación de que en asuntos de interés nacional el Legislador puede limitar la competencia de las CAR, citó la Sentencia C-894 de 2003. </w:t>
      </w:r>
    </w:p>
  </w:footnote>
  <w:footnote w:id="7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576D10">
        <w:rPr>
          <w:rStyle w:val="Refdenotaalpie"/>
        </w:rPr>
        <w:footnoteRef/>
      </w:r>
      <w:r w:rsidRPr="00576D10">
        <w:t xml:space="preserve"> La intervención del Ministerio de Ambiente y Desarrollo Sostenible se encuentra en los Folios 486 a 508 del Cuaderno No. 2. </w:t>
      </w:r>
    </w:p>
  </w:footnote>
  <w:footnote w:id="76">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M.P. Antonio Barrera Carbonell.  </w:t>
      </w:r>
    </w:p>
  </w:footnote>
  <w:footnote w:id="77">
    <w:p w:rsidR="0078289D" w:rsidRDefault="0078289D" w:rsidP="004A73A4">
      <w:pPr>
        <w:pStyle w:val="Textonotapie"/>
        <w:pBdr>
          <w:top w:val="none" w:sz="0" w:space="0" w:color="auto"/>
          <w:left w:val="none" w:sz="0" w:space="0" w:color="auto"/>
          <w:bottom w:val="none" w:sz="0" w:space="0" w:color="auto"/>
          <w:right w:val="none" w:sz="0" w:space="0" w:color="auto"/>
        </w:pBdr>
        <w:jc w:val="both"/>
      </w:pPr>
      <w:r>
        <w:rPr>
          <w:rStyle w:val="Refdenotaalpie"/>
        </w:rPr>
        <w:footnoteRef/>
      </w:r>
      <w:r>
        <w:t xml:space="preserve"> Por su parte, el mencionado artículo 3º transfirió la competencia del Ministerio de Ambiente para otorgar licencias ambientales, así:</w:t>
      </w:r>
    </w:p>
    <w:p w:rsidR="0078289D" w:rsidRPr="00FD1460" w:rsidRDefault="0078289D" w:rsidP="004A73A4">
      <w:pPr>
        <w:widowControl w:val="0"/>
        <w:pBdr>
          <w:top w:val="none" w:sz="0" w:space="0" w:color="auto"/>
          <w:left w:val="none" w:sz="0" w:space="0" w:color="auto"/>
          <w:bottom w:val="none" w:sz="0" w:space="0" w:color="auto"/>
          <w:right w:val="none" w:sz="0" w:space="0" w:color="auto"/>
        </w:pBdr>
        <w:autoSpaceDE w:val="0"/>
        <w:autoSpaceDN w:val="0"/>
        <w:adjustRightInd w:val="0"/>
        <w:jc w:val="both"/>
        <w:rPr>
          <w:i/>
          <w:sz w:val="20"/>
          <w:szCs w:val="20"/>
          <w:lang w:val="es-ES"/>
        </w:rPr>
      </w:pPr>
      <w:r w:rsidRPr="00FD1460">
        <w:rPr>
          <w:rFonts w:eastAsia="Times New Roman"/>
          <w:bCs/>
          <w:i/>
          <w:sz w:val="20"/>
          <w:szCs w:val="20"/>
          <w:lang w:val="es-ES_tradnl"/>
        </w:rPr>
        <w:t>“</w:t>
      </w:r>
      <w:r w:rsidRPr="00FD1460">
        <w:rPr>
          <w:bCs/>
          <w:i/>
          <w:color w:val="1A1A1A"/>
          <w:sz w:val="20"/>
          <w:szCs w:val="20"/>
          <w:lang w:val="es-ES"/>
        </w:rPr>
        <w:t>Artículo 3°.</w:t>
      </w:r>
      <w:r w:rsidRPr="00FD1460">
        <w:rPr>
          <w:i/>
          <w:color w:val="1A1A1A"/>
          <w:sz w:val="20"/>
          <w:szCs w:val="20"/>
          <w:lang w:val="es-ES"/>
        </w:rPr>
        <w:t xml:space="preserve"> Funciones. La Autoridad Nacional de Licencias Ambientales –ANLA– cumplirá, las siguientes funciones: </w:t>
      </w:r>
    </w:p>
    <w:p w:rsidR="0078289D" w:rsidRPr="00FD1460" w:rsidRDefault="0078289D" w:rsidP="004A73A4">
      <w:pPr>
        <w:widowControl w:val="0"/>
        <w:pBdr>
          <w:top w:val="none" w:sz="0" w:space="0" w:color="auto"/>
          <w:left w:val="none" w:sz="0" w:space="0" w:color="auto"/>
          <w:bottom w:val="none" w:sz="0" w:space="0" w:color="auto"/>
          <w:right w:val="none" w:sz="0" w:space="0" w:color="auto"/>
        </w:pBdr>
        <w:autoSpaceDE w:val="0"/>
        <w:autoSpaceDN w:val="0"/>
        <w:adjustRightInd w:val="0"/>
        <w:jc w:val="both"/>
        <w:rPr>
          <w:i/>
          <w:sz w:val="20"/>
          <w:szCs w:val="20"/>
          <w:lang w:val="es-ES"/>
        </w:rPr>
      </w:pPr>
      <w:r w:rsidRPr="00FD1460">
        <w:rPr>
          <w:i/>
          <w:color w:val="1A1A1A"/>
          <w:sz w:val="20"/>
          <w:szCs w:val="20"/>
          <w:lang w:val="es-ES"/>
        </w:rPr>
        <w:t>“1. Otorgar o negar las licencias, permisos y trámites ambientales de competencia del Ministerio de Ambiente y Desarrollo Sostenible, de conformidad con la ley y los reglamentos. </w:t>
      </w:r>
    </w:p>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FD1460">
        <w:rPr>
          <w:i/>
          <w:color w:val="1A1A1A"/>
          <w:lang w:val="es-ES"/>
        </w:rPr>
        <w:t> …</w:t>
      </w:r>
      <w:r w:rsidRPr="00FD1460">
        <w:rPr>
          <w:color w:val="1A1A1A"/>
          <w:lang w:val="es-ES"/>
        </w:rPr>
        <w:t>”</w:t>
      </w:r>
    </w:p>
  </w:footnote>
  <w:footnote w:id="78">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Al respecto, ver Sentencias C-894 de 2003, C-554 de 2007, C-462 de 2008, entre otras. </w:t>
      </w:r>
    </w:p>
  </w:footnote>
  <w:footnote w:id="79">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w:t>
      </w:r>
      <w:r>
        <w:t>Sentencia C-535 de 1995 (M.P. Alejandro Martínez Caballero)</w:t>
      </w:r>
      <w:r w:rsidRPr="00237136">
        <w:t xml:space="preserve">. </w:t>
      </w:r>
    </w:p>
  </w:footnote>
  <w:footnote w:id="8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La demanda es coadyuvada por la Corporación para el Desarrollo del Oriente – Compromiso, y el Comité para la Defensa del Agua y del Páramo de Santurbán. En su escrito, exponen los impactos ambientales negativos que las normas demandadas han conllevado en el área de Santander. Así mismo, las Fundaciones Alma, Censat Agua Viva y Ambiente y Sociedad coadyuvaron la demanda, resaltando los impactos ambientales en el territorio cercano al Río Magdalena. El Sindicato de Trabajadores de la Energía de Colombia – Seccional Bucaramanga, también acogió todos los argumentos de la demanda. </w:t>
      </w:r>
    </w:p>
  </w:footnote>
  <w:footnote w:id="81">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Como prueba de la afirmación presentan respuesta a un derecho de petición elevado ante la Agencia Nacional de Minería por el senador Iván Cepeda. </w:t>
      </w:r>
    </w:p>
  </w:footnote>
  <w:footnote w:id="8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Así, por ejemplo, citan los informes </w:t>
      </w:r>
      <w:r w:rsidRPr="00237136">
        <w:rPr>
          <w:i/>
        </w:rPr>
        <w:t xml:space="preserve">“Ecología, hidrología y suelos de los páramos”, </w:t>
      </w:r>
      <w:r w:rsidRPr="00237136">
        <w:t xml:space="preserve">Proyecto Páramo Andino, Bogotá, 2002; </w:t>
      </w:r>
      <w:r w:rsidRPr="00237136">
        <w:rPr>
          <w:i/>
        </w:rPr>
        <w:t>“Petición a la Secretaría de la Convención de Ramsar sobre la situación de los páramos en Colombia: los casos de Santurbán y el Complejo de Humedales Laguna del Otún”</w:t>
      </w:r>
      <w:r w:rsidRPr="00237136">
        <w:t xml:space="preserve">, mayo de 2015, Aida y otros; </w:t>
      </w:r>
      <w:r w:rsidRPr="00237136">
        <w:rPr>
          <w:i/>
        </w:rPr>
        <w:t>“Guía Divulgativa de criterios para la delimitación de páramos en Colombia”</w:t>
      </w:r>
      <w:r w:rsidRPr="00237136">
        <w:t xml:space="preserve">, Ministerio de Ambiente, Vivienda y Desarrollo Territorial e Instituto de Investigación de Recursos Biológicos Alexander Von Humboldt; </w:t>
      </w:r>
      <w:r w:rsidRPr="00237136">
        <w:rPr>
          <w:i/>
        </w:rPr>
        <w:t xml:space="preserve">“Principales resultados obtenidos en el análisis general de la situación de la minería en los páramos y ecosistemas altoandinos asociados, incluyendo la información sobre superficies comprometidas, situación legal y tipo de actividades mineras realizadas, basado en cruces de información y cartografía disponible”. </w:t>
      </w:r>
      <w:r w:rsidRPr="00237136">
        <w:t>Instituto Alexander Von Humboldt, Proyecto Páramo Andino</w:t>
      </w:r>
      <w:r w:rsidRPr="00237136">
        <w:rPr>
          <w:i/>
        </w:rPr>
        <w:t xml:space="preserve"> </w:t>
      </w:r>
      <w:r w:rsidRPr="00237136">
        <w:t>(Folios 54 - 55)</w:t>
      </w:r>
    </w:p>
  </w:footnote>
  <w:footnote w:id="8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Convención sobre los Humedales de Importancia Internacional. </w:t>
      </w:r>
    </w:p>
  </w:footnote>
  <w:footnote w:id="8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La intervención de Greenpeace Colombia se encuentra en los Folios 161 a 186 del Cuaderno 1. </w:t>
      </w:r>
    </w:p>
  </w:footnote>
  <w:footnote w:id="8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Al respecto, cita una “línea jurisprudencial” de la que destaca las Sentencias C-072 de 1994; C-416 de 1994, C-078 de 1997; T-502 de 2002; C-371 de 2011 y C-250 de 2012. </w:t>
      </w:r>
    </w:p>
  </w:footnote>
  <w:footnote w:id="8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Si bien la norma no establece que explícitamente que será para las actividades mineras y de hidrocarburos, el artículo 173 de la Ley 1753 de 2015 establece e</w:t>
      </w:r>
      <w:r>
        <w:t>xpresamente que quienes ejerce</w:t>
      </w:r>
      <w:r w:rsidRPr="00237136">
        <w:t>n las funciones de control, seguimiento y revisión serán las autoridades ambientales, mineras y de hidrocarburos, motivo por el cual resulta razonable entender que la norma se aplica a las actividades antes mencionadas.</w:t>
      </w:r>
    </w:p>
  </w:footnote>
  <w:footnote w:id="8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Sentencia C-830 de 2010. </w:t>
      </w:r>
      <w:r w:rsidRPr="00237136">
        <w:t xml:space="preserve">M.P. </w:t>
      </w:r>
      <w:r w:rsidRPr="00237136">
        <w:rPr>
          <w:lang w:val="es-CO"/>
        </w:rPr>
        <w:t>Luis Ernesto Vargas Silva.</w:t>
      </w:r>
    </w:p>
  </w:footnote>
  <w:footnote w:id="8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T-425 de 1992. M.P. Ciro Angarita Barón.</w:t>
      </w:r>
    </w:p>
  </w:footnote>
  <w:footnote w:id="8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M.P. Manuel José Cepeda Espinosa.</w:t>
      </w:r>
    </w:p>
  </w:footnote>
  <w:footnote w:id="9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8F7CAE">
        <w:rPr>
          <w:lang w:val="fr-FR"/>
        </w:rPr>
        <w:t xml:space="preserve"> </w:t>
      </w:r>
      <w:r w:rsidRPr="00237136">
        <w:rPr>
          <w:lang w:val="fr-FR"/>
        </w:rPr>
        <w:t>Pierre Delvolvé. </w:t>
      </w:r>
      <w:r w:rsidRPr="00237136">
        <w:rPr>
          <w:i/>
          <w:iCs/>
          <w:lang w:val="fr-FR"/>
        </w:rPr>
        <w:t>Droit Public de l’Economie</w:t>
      </w:r>
      <w:r w:rsidRPr="00237136">
        <w:rPr>
          <w:lang w:val="fr-FR"/>
        </w:rPr>
        <w:t>. </w:t>
      </w:r>
      <w:r w:rsidRPr="00237136">
        <w:t>Dalloz, París, 1998, p.17 y ss.</w:t>
      </w:r>
    </w:p>
  </w:footnote>
  <w:footnote w:id="9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C-228 de 2010. M.P. Luis Ernesto Vargas Silva.</w:t>
      </w:r>
    </w:p>
  </w:footnote>
  <w:footnote w:id="9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Constitución Política de Colombia. Artículo 334.</w:t>
      </w:r>
    </w:p>
  </w:footnote>
  <w:footnote w:id="9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Ídem. Artículo 360. </w:t>
      </w:r>
    </w:p>
  </w:footnote>
  <w:footnote w:id="9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M.P. Hernando Herrera Vergara</w:t>
      </w:r>
    </w:p>
  </w:footnote>
  <w:footnote w:id="9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C-028 de 1997, M.P. Alejandro Martínez Caballero.</w:t>
      </w:r>
    </w:p>
  </w:footnote>
  <w:footnote w:id="9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Sentencias C-250 de 1996. M.P. Hernando Herrera Vergara; T-379 de 1995. M.P. Antonio Barrera Carbonell; C-126 de 1998, M.P. Alejandro Martínez Caballero.</w:t>
      </w:r>
    </w:p>
  </w:footnote>
  <w:footnote w:id="97">
    <w:p w:rsidR="00000000" w:rsidRDefault="0078289D" w:rsidP="004A73A4">
      <w:pPr>
        <w:pStyle w:val="Textonotapie"/>
        <w:pBdr>
          <w:top w:val="none" w:sz="0" w:space="0" w:color="auto"/>
          <w:left w:val="none" w:sz="0" w:space="0" w:color="auto"/>
          <w:bottom w:val="none" w:sz="0" w:space="0" w:color="auto"/>
          <w:right w:val="none" w:sz="0" w:space="0" w:color="auto"/>
        </w:pBdr>
      </w:pPr>
      <w:r w:rsidRPr="00237136">
        <w:rPr>
          <w:rStyle w:val="Refdenotaalpie"/>
        </w:rPr>
        <w:footnoteRef/>
      </w:r>
      <w:r w:rsidRPr="00237136">
        <w:t xml:space="preserve"> Sentencia C-035 de 1999. M.P. Antonio Barrera Carbonell.</w:t>
      </w:r>
    </w:p>
  </w:footnote>
  <w:footnote w:id="9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En la sentencia T-411 de 1992 (M.P. Alejandro Martínez Caballero), la Corte realizó una exposición en la que se sintetizaron las principales normas constitucionales sobre la materia, así: </w:t>
      </w:r>
      <w:r w:rsidRPr="00237136">
        <w:rPr>
          <w:i/>
        </w:rPr>
        <w:t>“Preámbulo (vida), 2º (fines esenciales del Estado: proteger la vida), 8º (obligación de proteger las riquezas culturales y naturales de la Nación), 11 (inviolabilidad del derecho a la vida), 44 (derechos fundamentales de los niños), 49 (atención de la salud y del saneamiento ambiental), 58 (función ecológica de la propiedad), 66 (créditos agropecuarios por calamidad ambiental), 67 (la educación para la protección del ambiente), 78 (regulación de la producción y comercialización de bienes y servicios), 79 (derecho a un ambiente sano y participación en las decisiones ambientales), 80 (planificación del manejo y aprovechamiento de los recursos naturales), 81 (prohibición de armas químicas, biológicas y nucleares), 82 (deber de proteger los recursos culturales y naturales del país), 215 (emergencia por perturbación o amenaza del orden ecológico), 226 (internacionalización de las relaciones ecológicas, 268-7 (fiscalización de los recursos naturales y del ambiente), 277-4 (defensa del ambiente como función del Procurador), 282-5 (el Defensor del Pueblo y las acciones populares como mecanismo de protección del ambiente), 289 (programas de cooperación e integración en zonas fronterizas para la preservación del ambiente), 300-2 (Asambleas Departamentales y medio ambiente), 301 (gestión administrativa y fiscal de los departamentos atendiendo a recursos naturales y a circunstancias ecológicas), 310 (control de densidad en San Andrés y Providencia con el fin de preservar el ambiente y los recursos naturales), 313-9 (Concejos Municipales y patrimonio ecológico), 317 y 294 (contribución de valorización para conservación del ambiente y los recursos naturales), 330-5 (Concejos de los territorios indígenas y preservación de los recursos naturales), 331 (Corporación del Río Grande de la Magdalena y preservación del ambiente), 332 (dominio del Estado sobre el subsuelo y los recursos naturales no renovables), 333 (limitaciones a la libertad económica por razones del medio ambiente), 334 (intervención estatal para la preservación de los recursos naturales y de un ambiente sano), 339 (política ambiental en el plan nacional de desarrollo), 340 (representación de los sectores ecológicos en el Consejo Nacional de Planeación), 366 (solución de necesidades del saneamiento ambiental y de agua potable como finalidad del Estado)”</w:t>
      </w:r>
      <w:r w:rsidRPr="00237136">
        <w:t>.</w:t>
      </w:r>
    </w:p>
  </w:footnote>
  <w:footnote w:id="9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Comisión Mundial sobre Medio Ambiente y Desarrollo de la ONU. “Nuestro Futuro Común”. 1987.</w:t>
      </w:r>
    </w:p>
  </w:footnote>
  <w:footnote w:id="10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C-519 de 1994. M.P. Vladimiro Naranjo Mesa.</w:t>
      </w:r>
    </w:p>
  </w:footnote>
  <w:footnote w:id="10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C-431 de 2000. M.P. Vladimiro Naranjo Mesa</w:t>
      </w:r>
    </w:p>
  </w:footnote>
  <w:footnote w:id="10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El CBD fue aprobado por la Ley 165 de 1995, promulgada por el Decreto 205 de 1996 y declarada exequible mediante Sentencia C-519  de 1994. M.P. Vladimiro Naranjo Mesa.</w:t>
      </w:r>
    </w:p>
  </w:footnote>
  <w:footnote w:id="10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La evolución de las normas sobre áreas protegidas ha sido bastante dispersa. Es así como a través de la Ley, 2º de 1959, el Decreto-ley 2811 de 1974, la Ley 165 de 1994 y el Decreto-ley 216 de 2003, se han creado distintos tipos de áreas y estrategias de conservación. Con el fin de consolidar un cuerpo normativo que armonizara dichas normas, mediante el Decreto 2372 de 2010 se dictaron una serie de disposiciones en relación con el Sistema Nacional de Áreas Protegidas y las categorías de manejo que lo conforman. Según este Decreto </w:t>
      </w:r>
      <w:r w:rsidRPr="00237136">
        <w:rPr>
          <w:i/>
        </w:rPr>
        <w:t>“(…) se hace necesario contar con una reglamentación sistémica que regule integralmente las diversas categorías y denominaciones legales previstas en el Decreto-ley 2811 de 1974 y la Ley 99 de 1993, en el marco del Sistema Nacional de Áreas Protegidas, a la luz de las disposiciones previstas en la Ley 165 de 1994, establezca los objetivos, criterios, directrices y procedimientos para selección, establecimiento y la ordenación de las áreas protegidas y defina además algunos mecanismos que permitan una coordinación efectiva del mencionado sistema”</w:t>
      </w:r>
      <w:r w:rsidRPr="00237136">
        <w:t>.</w:t>
      </w:r>
    </w:p>
  </w:footnote>
  <w:footnote w:id="10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Decreto 2372 de 2010. Artículo 5.</w:t>
      </w:r>
    </w:p>
  </w:footnote>
  <w:footnote w:id="10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Decreto 2372 de 2010. Artículo 29.</w:t>
      </w:r>
    </w:p>
  </w:footnote>
  <w:footnote w:id="10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Resolución 769 de 2002. Artículo 2.</w:t>
      </w:r>
    </w:p>
  </w:footnote>
  <w:footnote w:id="10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Sarmiento, C. et al. 2013. Aportes a la conservación estratégica de los Páramos de Colombia: Actualización de la cartografía de los complejos de páramo a escala 1:100.000. Instituto de Investigación de Recursos Biológicos Alexander von Humboldt. Bogotá.</w:t>
      </w:r>
    </w:p>
  </w:footnote>
  <w:footnote w:id="10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Resolución 769 de 2002. Artículo 2.</w:t>
      </w:r>
    </w:p>
  </w:footnote>
  <w:footnote w:id="10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De conformidad con el numeral 16 del Decreto-Ley 3570 de 2011, por el cual se modifican los objetivos y estructura del Ministerio de Ambiente y Desarrollo Sostenible, una de las funciones de dicha entidad es expedir los actos administrativos para la delimitación de los páramos.</w:t>
      </w:r>
    </w:p>
  </w:footnote>
  <w:footnote w:id="11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M.P. Luis Ernesto Vargas Silva. En aquella oportunidad, la Corte determinó que para la expedición de la Ley 1382 de 2010 se debía haber realizado la consulta previa con comunidades étnicas. En consecuencia, al advertirse la vulneración de este derecho fundamental, la corte declaró inexequible dicha Ley.</w:t>
      </w:r>
    </w:p>
  </w:footnote>
  <w:footnote w:id="111">
    <w:p w:rsidR="0078289D" w:rsidRPr="00237136" w:rsidRDefault="0078289D" w:rsidP="004A73A4">
      <w:pPr>
        <w:pStyle w:val="Textonotapie"/>
        <w:pBdr>
          <w:top w:val="none" w:sz="0" w:space="0" w:color="auto"/>
          <w:left w:val="none" w:sz="0" w:space="0" w:color="auto"/>
          <w:bottom w:val="none" w:sz="0" w:space="0" w:color="auto"/>
          <w:right w:val="none" w:sz="0" w:space="0" w:color="auto"/>
        </w:pBdr>
        <w:jc w:val="both"/>
        <w:rPr>
          <w:i/>
        </w:rPr>
      </w:pPr>
      <w:r w:rsidRPr="00237136">
        <w:rPr>
          <w:rStyle w:val="Refdenotaalpie"/>
        </w:rPr>
        <w:footnoteRef/>
      </w:r>
      <w:r w:rsidRPr="00237136">
        <w:t xml:space="preserve"> </w:t>
      </w:r>
      <w:r w:rsidRPr="00237136">
        <w:rPr>
          <w:i/>
        </w:rPr>
        <w:t>Artículo  1º.- Principios Generales Ambientales. La política ambiental colombiana seguirá los siguientes principios generales:</w:t>
      </w:r>
    </w:p>
    <w:p w:rsidR="0078289D" w:rsidRPr="00237136" w:rsidRDefault="0078289D" w:rsidP="004A73A4">
      <w:pPr>
        <w:pStyle w:val="Textonotapie"/>
        <w:pBdr>
          <w:top w:val="none" w:sz="0" w:space="0" w:color="auto"/>
          <w:left w:val="none" w:sz="0" w:space="0" w:color="auto"/>
          <w:bottom w:val="none" w:sz="0" w:space="0" w:color="auto"/>
          <w:right w:val="none" w:sz="0" w:space="0" w:color="auto"/>
        </w:pBdr>
        <w:jc w:val="both"/>
        <w:rPr>
          <w:i/>
        </w:rPr>
      </w:pPr>
      <w:r w:rsidRPr="00237136">
        <w:rPr>
          <w:i/>
        </w:rPr>
        <w:t>(…)</w:t>
      </w:r>
    </w:p>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i/>
        </w:rPr>
        <w:t>6. La formulación de las políticas ambientales tendrá en cuenta el resultado del proceso de investigación científica.</w:t>
      </w:r>
    </w:p>
  </w:footnote>
  <w:footnote w:id="11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Cleef, A. 2013. Origen, evolución, estructura y diversidad biológica de la alta montaña colombiana. 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 Colombia. </w:t>
      </w:r>
    </w:p>
  </w:footnote>
  <w:footnote w:id="11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Rivera, D. y Rodríguez, C. 2011. Guía divulgativa de criterios para la delimitación de páramos de Colombia. Instituto de Investigación de Recursos Biológicos Alexander von Humboldt. Bogotá, D.C. Colombia.</w:t>
      </w:r>
    </w:p>
  </w:footnote>
  <w:footnote w:id="11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Vásquez, A., Buitrago, A. C. (Eds). 2011. El gran libro de los páramos. Instituto de Investigación de Recursos Biológicos Alexander von Humboldt. Proyecto Páramo Andino. Bogotá, D. C.</w:t>
      </w:r>
    </w:p>
  </w:footnote>
  <w:footnote w:id="11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Ídem.</w:t>
      </w:r>
    </w:p>
  </w:footnote>
  <w:footnote w:id="11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Cleef, A. 2013. Origen, evolución, estructura y diversidad biológica de la alta montaña colombiana. 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w:t>
      </w:r>
    </w:p>
  </w:footnote>
  <w:footnote w:id="11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Hoftede, R., Segarra, P. y P. Mena, V. (Eds). 2003. Los páramos del mundo. Proyecto Atlas Mundial de Páramos. Global Peatland Initiative/NC-UICN/EcoCiencia. Quito.</w:t>
      </w:r>
    </w:p>
  </w:footnote>
  <w:footnote w:id="11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Ídem.</w:t>
      </w:r>
    </w:p>
  </w:footnote>
  <w:footnote w:id="11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Para el caso de Bogotá, según el economista Juan Pablo Ruiz Soto de la Universidad de los Andes, economista con especialidad en manejo de recursos naturales. MSc. en Teoría Económica. </w:t>
      </w:r>
      <w:r w:rsidRPr="00237136">
        <w:rPr>
          <w:i/>
        </w:rPr>
        <w:t>“[e]n el año 2004, el costo de tratamiento por M3 para hacer potable el agua en la Planta del Dorado – aquella en el Sistema Sur – fue de Col$189.9/M3. En el caso de la Planta Wiesner que trata el agua proveniente de Chingaza, el costo fue de Col$33.2/M3, mientras que en la Planta de Tibitoc fue de Col$279.3/M3. No obstante, este último dato incluye parte de la amortización de capital para algunas inversiones recientes realizadas en la planta, razón por la cual no es comparable con los costos de las plantas Wiesner y El Dorado, que sólo incluyen los costos directos de tratamiento de agua. Entre estas plantas, la diferencia en los costos de tratamiento por M3 es de uno a seis, que se explica por la diferencia en la calidad del agua que llega a cada una. Calidad inequívocamente asociada a los diferentes niveles de conservación o intervención y transformación de las cuencas aportantes”</w:t>
      </w:r>
      <w:r w:rsidRPr="00237136">
        <w:t>. Ruiz, J. Servicios ambientales, agua y economía. 2007. Revista de Ingeniería. Universidad de los Andes. Bogotá, Colombia. ISSN. 0121-4993.</w:t>
      </w:r>
    </w:p>
  </w:footnote>
  <w:footnote w:id="12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En concordancia con esta perspectiva sobre la disponibilidad del recurso, se resalta que el Código Nacional de Recursos Naturales Renovables y de Protección al Medio Ambiente, dispone que </w:t>
      </w:r>
      <w:r w:rsidRPr="00237136">
        <w:rPr>
          <w:i/>
        </w:rPr>
        <w:t>“los recursos naturales y demás elementos ambientales deben ser utilizados en forma eficiente, para lograr su máximo aprovechamiento”.</w:t>
      </w:r>
    </w:p>
  </w:footnote>
  <w:footnote w:id="12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Según información cartográfica del IAvH, existen ecosistemas de paramo en cercanía de cabeceras municipales y distritales ubicadas en más de 10 departamentos. IAvH. 2012. Cartografía de Páramos de Colombia Esc. 1:100.000. Proyecto: Actualización del Atlas de Páramos de Colombia. Convenio Interadministrativo de Asociación 11-103. IAvH y Ministerio de Ambiente y Desarrollo Sostenible. Bogotá D.C. Colombia.</w:t>
      </w:r>
    </w:p>
  </w:footnote>
  <w:footnote w:id="12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A modo de ejemplo, la ciudad de Bogotá se surte de agua de complejos de páramo cercanos como Chingaza y Sumapaz. A su turno, la ciudad de Bucaramanga, obtiene parte del suministro del recurso hídrico de complejo de páramo ubicado en la denominada jurisdicción Santurbán-Berlin. Del mismo modo, las ciudades de Manizales, Armenia e Ibague, también encuentra en su cercanías el complejo de páramo de Los Nevados. </w:t>
      </w:r>
    </w:p>
  </w:footnote>
  <w:footnote w:id="12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Hoftede, R., Segarra, P. y P. Mena, V. (Eds). 2003. Los páramos del mundo. Proyecto Atlas Mundial de Páramos. Global Peatland Initiative/NC-UICN/EcoCiencia. Quito.</w:t>
      </w:r>
    </w:p>
  </w:footnote>
  <w:footnote w:id="12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Cabrera, M. y  Ramírez, W. (Eds). 2014. Restauración ecológica de los páramos de Colombia: transformación y herramientas para su conservación. IAvH. Bogotá.</w:t>
      </w:r>
    </w:p>
  </w:footnote>
  <w:footnote w:id="12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Vásquez, A., Buitrago, A. C. (Eds). 2011. El gran libro de los páramos. Instituto de Investigación de Recursos Biológicos Alexander von Humboldt. Proyecto Páramo Andino. Bogotá, D. C.</w:t>
      </w:r>
    </w:p>
  </w:footnote>
  <w:footnote w:id="12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IAvH. 2011. El gran libro de los páramos. Proyecto Páramo Andino. Bogotá, D.C. Colombia. En Cabrera, M. y  Ramírez, W. (Eds). 2014. Restauración ecológica de los páramos de Colombia: transformación y herramientas para su conservación. Instituto de Investigación de Recursos Biológicos Alexander von Humboldt. Bogotá.</w:t>
      </w:r>
    </w:p>
  </w:footnote>
  <w:footnote w:id="12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Rivera, D. y Rodríguez, C. Guía divulgativa de criterios para la delimitación de páramos de Colombia. Instituto de Investigación de Recursos Biológicos Alexander von Humboldt. Bogotá, D.C. Colombia.</w:t>
      </w:r>
    </w:p>
  </w:footnote>
  <w:footnote w:id="12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Ley 165 de 1994. Artículo 8. </w:t>
      </w:r>
    </w:p>
  </w:footnote>
  <w:footnote w:id="12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Fierro, J. 2012. Políticas mineras en Colombia. Comité Catholique contre la faim et pour le développement - CCFD Terre Solidaire/Instituto Latinoamericano para una Sociedad y un Derecho Alternativos – ILSA.</w:t>
      </w:r>
    </w:p>
  </w:footnote>
  <w:footnote w:id="13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Hoftede, R., Segarra, P. y P. Mena, V. (Eds). 2003. Los páramos del mundo. Proyecto Atlas Mundial de Páramos. Global Peatland Initiative/NC-UICN/EcoCiencia. Quito.</w:t>
      </w:r>
    </w:p>
  </w:footnote>
  <w:footnote w:id="13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Andrade, G. La delimitación del páramo y la incierta gestión de los servicios ecosistémicos de la alta montaña en escenarios de cambio ambiental. 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 Colombia. </w:t>
      </w:r>
    </w:p>
  </w:footnote>
  <w:footnote w:id="13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Vargas, O. 2013. Disturbios en los páramos andinos. 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w:t>
      </w:r>
    </w:p>
  </w:footnote>
  <w:footnote w:id="13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 xml:space="preserve">Un disturbio es cualquier evento discreto en el tiempo que altera la estructura de un ecosistema, comunidad o población, ocasionando cambios en la distribución de los recursos, la disponibilidad de sustratos y/o las características  del ambiente físico. </w:t>
      </w:r>
      <w:r w:rsidRPr="008F7CAE">
        <w:rPr>
          <w:lang w:val="en-US"/>
        </w:rPr>
        <w:t xml:space="preserve">Pickett, S. y P. White (Eds). 1985. The ecology of natural disturbance and patch dynamics. </w:t>
      </w:r>
      <w:r w:rsidRPr="00237136">
        <w:rPr>
          <w:lang w:val="es-CO"/>
        </w:rPr>
        <w:t xml:space="preserve">Academic Press Inc., San Diego. </w:t>
      </w:r>
      <w:r w:rsidRPr="00237136">
        <w:t>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w:t>
      </w:r>
    </w:p>
  </w:footnote>
  <w:footnote w:id="13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Vargas, O. 2013. Disturbios en los páramos andinos. En Cortés-Duque, J. y Sarmiento, C. (Eds). 2013. Visión socioecosistémica de los páramos y la alta montaña colombiana: memorias del proceso de definición de criterios para la delimitación de páramos. Instituto de Investigación de Recursos Biológicos Alexander von Humboldt. Bogotá, D.C.</w:t>
      </w:r>
    </w:p>
  </w:footnote>
  <w:footnote w:id="13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Ibídem.</w:t>
      </w:r>
    </w:p>
  </w:footnote>
  <w:footnote w:id="13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T-379 de 1995. M.P. Antonio Barrera Carbonell.</w:t>
      </w:r>
    </w:p>
  </w:footnote>
  <w:footnote w:id="137">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C-220 de 2011. M.P. Jorge Ignacio Pretelt Chaljub.</w:t>
      </w:r>
    </w:p>
  </w:footnote>
  <w:footnote w:id="138">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T-379 de 1995. M.P. Antonio Barrera Carbonell.</w:t>
      </w:r>
    </w:p>
  </w:footnote>
  <w:footnote w:id="139">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T-614 de 2010. M.P. Luis Ernesto Vargas Silva.</w:t>
      </w:r>
    </w:p>
  </w:footnote>
  <w:footnote w:id="140">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Sentencias T-740 de 2011. M.P. Humberto Antonio Sierra Porto; T-614 de 2010. M.P. Luis Ernesto Vargas Silva; T-143 de 2010. M.P. María Victoria Calle Correa; T-381 de 2009. M.P. Jorge Ignacio Pretelt Chaljub; T-1104 de 2005. M.P. Jaime Araújo Rentería; T-410 de 2003. M.P. Jaime Córdoba Triviño, entre otras.</w:t>
      </w:r>
    </w:p>
  </w:footnote>
  <w:footnote w:id="141">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C-220 de 2011. M.P. Jorge Ignacio Pretelt Chaljub.</w:t>
      </w:r>
    </w:p>
  </w:footnote>
  <w:footnote w:id="142">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Sentencia T-523 de 1994. M.P. Alejandro Martínez Caballero.</w:t>
      </w:r>
    </w:p>
  </w:footnote>
  <w:footnote w:id="143">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w:t>
      </w:r>
      <w:r w:rsidRPr="00237136">
        <w:rPr>
          <w:lang w:val="es-CO"/>
        </w:rPr>
        <w:t>Según el más reciente Estudio Nacional de agua elaborado por el Instituto de Hidrología, Meteorología y Estudios Ambientales de Colombia –IDEAM-, 318 cabeceras municipales pueden presentar problemas de desabastecimiento en épocas secas lo cual podría afectar una población de aproximadamente 11.530.580 habitantes entre las cuales se destacan Chiquinquirá, Paipa, Floresta, Soracá, Manzanares, Yopal, Neiva, Maicao, Santa Martha, Buga y Palmira, entre otras.</w:t>
      </w:r>
    </w:p>
  </w:footnote>
  <w:footnote w:id="144">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Proyecto de Ley número 45 de 2014.</w:t>
      </w:r>
    </w:p>
  </w:footnote>
  <w:footnote w:id="145">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Proyecto de Ley número 160 de 2015.</w:t>
      </w:r>
    </w:p>
  </w:footnote>
  <w:footnote w:id="146">
    <w:p w:rsidR="00000000" w:rsidRDefault="0078289D" w:rsidP="004A73A4">
      <w:pPr>
        <w:pStyle w:val="Textonotapie"/>
        <w:pBdr>
          <w:top w:val="none" w:sz="0" w:space="0" w:color="auto"/>
          <w:left w:val="none" w:sz="0" w:space="0" w:color="auto"/>
          <w:bottom w:val="none" w:sz="0" w:space="0" w:color="auto"/>
          <w:right w:val="none" w:sz="0" w:space="0" w:color="auto"/>
        </w:pBdr>
        <w:jc w:val="both"/>
      </w:pPr>
      <w:r w:rsidRPr="00237136">
        <w:rPr>
          <w:rStyle w:val="Refdenotaalpie"/>
        </w:rPr>
        <w:footnoteRef/>
      </w:r>
      <w:r w:rsidRPr="00237136">
        <w:t xml:space="preserve"> Proyecto de Ley número 32 de 2003 (Senado) y 242 de 2004 (Cámara);  Proyecto de Ley número 011 de 2008 (Senado) acumulado con Proyecto de Ley 011 de 2008 (Senado); Proyecto de Ley número 278 de 2008 acumulado con Proyecto de Ley 280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D" w:rsidRDefault="0078289D">
    <w:pPr>
      <w:pStyle w:val="Encabezado"/>
      <w:pBdr>
        <w:top w:val="none" w:sz="0" w:space="0" w:color="auto"/>
        <w:left w:val="none" w:sz="0" w:space="0" w:color="auto"/>
        <w:bottom w:val="none" w:sz="0" w:space="0" w:color="auto"/>
        <w:right w:val="none" w:sz="0" w:space="0" w:color="auto"/>
      </w:pBdr>
      <w:jc w:val="right"/>
    </w:pPr>
    <w:r>
      <w:fldChar w:fldCharType="begin"/>
    </w:r>
    <w:r>
      <w:instrText>PAGE   \* MERGEFORMAT</w:instrText>
    </w:r>
    <w:r>
      <w:fldChar w:fldCharType="separate"/>
    </w:r>
    <w:r w:rsidR="00C13347" w:rsidRPr="00C13347">
      <w:rPr>
        <w:noProof/>
        <w:lang w:val="es-ES"/>
      </w:rPr>
      <w:t>2</w:t>
    </w:r>
    <w:r>
      <w:fldChar w:fldCharType="end"/>
    </w:r>
  </w:p>
  <w:p w:rsidR="0078289D" w:rsidRDefault="0078289D" w:rsidP="0039514A">
    <w:pPr>
      <w:pStyle w:val="Encabezado"/>
      <w:pBdr>
        <w:top w:val="none" w:sz="0" w:space="0" w:color="auto"/>
        <w:left w:val="none" w:sz="0" w:space="0" w:color="auto"/>
        <w:bottom w:val="none" w:sz="0" w:space="0" w:color="auto"/>
        <w:right w:val="none" w:sz="0" w:space="0" w:color="auto"/>
      </w:pBdr>
      <w:rPr>
        <w:sz w:val="21"/>
        <w:szCs w:val="21"/>
      </w:rPr>
    </w:pPr>
  </w:p>
  <w:p w:rsidR="0078289D" w:rsidRPr="0039514A" w:rsidRDefault="0078289D" w:rsidP="0039514A">
    <w:pPr>
      <w:pStyle w:val="Encabezado"/>
      <w:pBdr>
        <w:top w:val="none" w:sz="0" w:space="0" w:color="auto"/>
        <w:left w:val="none" w:sz="0" w:space="0" w:color="auto"/>
        <w:bottom w:val="none" w:sz="0" w:space="0" w:color="auto"/>
        <w:right w:val="none" w:sz="0" w:space="0" w:color="auto"/>
      </w:pBdr>
      <w:rPr>
        <w:sz w:val="21"/>
        <w:szCs w:val="21"/>
      </w:rPr>
    </w:pPr>
  </w:p>
  <w:p w:rsidR="0078289D" w:rsidRDefault="0078289D">
    <w:pPr>
      <w:pStyle w:val="Encabezado"/>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218"/>
    <w:multiLevelType w:val="hybridMultilevel"/>
    <w:tmpl w:val="510208E8"/>
    <w:lvl w:ilvl="0" w:tplc="427E40E8">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
    <w:nsid w:val="128C4922"/>
    <w:multiLevelType w:val="hybridMultilevel"/>
    <w:tmpl w:val="C04256E2"/>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F9C5C8A"/>
    <w:multiLevelType w:val="hybridMultilevel"/>
    <w:tmpl w:val="FB3CE882"/>
    <w:lvl w:ilvl="0" w:tplc="CDD86938">
      <w:numFmt w:val="bullet"/>
      <w:lvlText w:val="-"/>
      <w:lvlJc w:val="left"/>
      <w:pPr>
        <w:ind w:left="720" w:hanging="360"/>
      </w:pPr>
      <w:rPr>
        <w:rFonts w:ascii="Times New Roman" w:eastAsia="Arial Unicode MS"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74254F"/>
    <w:multiLevelType w:val="hybridMultilevel"/>
    <w:tmpl w:val="EF0AF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7875CD9"/>
    <w:multiLevelType w:val="hybridMultilevel"/>
    <w:tmpl w:val="72827CD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547D042E"/>
    <w:multiLevelType w:val="hybridMultilevel"/>
    <w:tmpl w:val="17BCDBF4"/>
    <w:lvl w:ilvl="0" w:tplc="240A001B">
      <w:start w:val="1"/>
      <w:numFmt w:val="lowerRoman"/>
      <w:lvlText w:val="%1."/>
      <w:lvlJc w:val="righ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1C257C"/>
    <w:multiLevelType w:val="multilevel"/>
    <w:tmpl w:val="1BD8A0AE"/>
    <w:lvl w:ilvl="0">
      <w:start w:val="1"/>
      <w:numFmt w:val="decimal"/>
      <w:lvlText w:val="%1."/>
      <w:lvlJc w:val="left"/>
      <w:pPr>
        <w:ind w:left="349" w:hanging="360"/>
      </w:pPr>
      <w:rPr>
        <w:rFonts w:cs="Times New Roman" w:hint="default"/>
        <w:b/>
        <w:color w:val="auto"/>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ind w:left="731" w:hanging="720"/>
      </w:pPr>
      <w:rPr>
        <w:rFonts w:cs="Times New Roman" w:hint="default"/>
        <w:b/>
        <w:color w:val="auto"/>
      </w:rPr>
    </w:lvl>
    <w:lvl w:ilvl="3">
      <w:start w:val="1"/>
      <w:numFmt w:val="decimal"/>
      <w:isLgl/>
      <w:lvlText w:val="%1.%2.%3.%4."/>
      <w:lvlJc w:val="left"/>
      <w:pPr>
        <w:ind w:left="1102" w:hanging="1080"/>
      </w:pPr>
      <w:rPr>
        <w:rFonts w:cs="Times New Roman" w:hint="default"/>
        <w:color w:val="auto"/>
      </w:rPr>
    </w:lvl>
    <w:lvl w:ilvl="4">
      <w:start w:val="1"/>
      <w:numFmt w:val="decimal"/>
      <w:isLgl/>
      <w:lvlText w:val="%1.%2.%3.%4.%5."/>
      <w:lvlJc w:val="left"/>
      <w:pPr>
        <w:ind w:left="1113" w:hanging="1080"/>
      </w:pPr>
      <w:rPr>
        <w:rFonts w:cs="Times New Roman" w:hint="default"/>
        <w:color w:val="auto"/>
      </w:rPr>
    </w:lvl>
    <w:lvl w:ilvl="5">
      <w:start w:val="1"/>
      <w:numFmt w:val="decimal"/>
      <w:isLgl/>
      <w:lvlText w:val="%1.%2.%3.%4.%5.%6."/>
      <w:lvlJc w:val="left"/>
      <w:pPr>
        <w:ind w:left="1484" w:hanging="1440"/>
      </w:pPr>
      <w:rPr>
        <w:rFonts w:cs="Times New Roman" w:hint="default"/>
        <w:color w:val="auto"/>
      </w:rPr>
    </w:lvl>
    <w:lvl w:ilvl="6">
      <w:start w:val="1"/>
      <w:numFmt w:val="decimal"/>
      <w:isLgl/>
      <w:lvlText w:val="%1.%2.%3.%4.%5.%6.%7."/>
      <w:lvlJc w:val="left"/>
      <w:pPr>
        <w:ind w:left="1855" w:hanging="1800"/>
      </w:pPr>
      <w:rPr>
        <w:rFonts w:cs="Times New Roman" w:hint="default"/>
        <w:color w:val="auto"/>
      </w:rPr>
    </w:lvl>
    <w:lvl w:ilvl="7">
      <w:start w:val="1"/>
      <w:numFmt w:val="decimal"/>
      <w:isLgl/>
      <w:lvlText w:val="%1.%2.%3.%4.%5.%6.%7.%8."/>
      <w:lvlJc w:val="left"/>
      <w:pPr>
        <w:ind w:left="1866" w:hanging="1800"/>
      </w:pPr>
      <w:rPr>
        <w:rFonts w:cs="Times New Roman" w:hint="default"/>
        <w:color w:val="auto"/>
      </w:rPr>
    </w:lvl>
    <w:lvl w:ilvl="8">
      <w:start w:val="1"/>
      <w:numFmt w:val="decimal"/>
      <w:isLgl/>
      <w:lvlText w:val="%1.%2.%3.%4.%5.%6.%7.%8.%9."/>
      <w:lvlJc w:val="left"/>
      <w:pPr>
        <w:ind w:left="2237" w:hanging="2160"/>
      </w:pPr>
      <w:rPr>
        <w:rFonts w:cs="Times New Roman" w:hint="default"/>
        <w:color w:val="auto"/>
      </w:rPr>
    </w:lvl>
  </w:abstractNum>
  <w:abstractNum w:abstractNumId="7">
    <w:nsid w:val="57481D04"/>
    <w:multiLevelType w:val="hybridMultilevel"/>
    <w:tmpl w:val="F8AC7802"/>
    <w:lvl w:ilvl="0" w:tplc="0C0A0015">
      <w:start w:val="2"/>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8D51B1F"/>
    <w:multiLevelType w:val="hybridMultilevel"/>
    <w:tmpl w:val="5B08A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2E04DF"/>
    <w:multiLevelType w:val="hybridMultilevel"/>
    <w:tmpl w:val="27B80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F797D37"/>
    <w:multiLevelType w:val="hybridMultilevel"/>
    <w:tmpl w:val="FE0E11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640F591A"/>
    <w:multiLevelType w:val="hybridMultilevel"/>
    <w:tmpl w:val="00AAFB16"/>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69C906E1"/>
    <w:multiLevelType w:val="multilevel"/>
    <w:tmpl w:val="12687B8C"/>
    <w:styleLink w:val="List1"/>
    <w:lvl w:ilvl="0">
      <w:start w:val="2"/>
      <w:numFmt w:val="decimal"/>
      <w:lvlText w:val="%1."/>
      <w:lvlJc w:val="left"/>
      <w:pPr>
        <w:tabs>
          <w:tab w:val="num" w:pos="977"/>
        </w:tabs>
        <w:ind w:left="977" w:hanging="257"/>
      </w:pPr>
      <w:rPr>
        <w:rFonts w:ascii="Times New Roman Bold" w:eastAsia="Times New Roman" w:hAnsi="Times New Roman Bold" w:cs="Times New Roman Bold"/>
        <w:position w:val="0"/>
        <w:sz w:val="28"/>
        <w:szCs w:val="28"/>
      </w:rPr>
    </w:lvl>
    <w:lvl w:ilvl="1">
      <w:start w:val="1"/>
      <w:numFmt w:val="lowerLetter"/>
      <w:lvlText w:val="%2."/>
      <w:lvlJc w:val="left"/>
      <w:pPr>
        <w:tabs>
          <w:tab w:val="num" w:pos="1930"/>
        </w:tabs>
        <w:ind w:left="1930" w:hanging="490"/>
      </w:pPr>
      <w:rPr>
        <w:rFonts w:ascii="Times New Roman Bold" w:eastAsia="Times New Roman" w:hAnsi="Times New Roman Bold" w:cs="Times New Roman Bold"/>
        <w:position w:val="0"/>
        <w:sz w:val="28"/>
        <w:szCs w:val="28"/>
      </w:rPr>
    </w:lvl>
    <w:lvl w:ilvl="2">
      <w:start w:val="1"/>
      <w:numFmt w:val="lowerRoman"/>
      <w:lvlText w:val="%3."/>
      <w:lvlJc w:val="left"/>
      <w:pPr>
        <w:tabs>
          <w:tab w:val="num" w:pos="2627"/>
        </w:tabs>
        <w:ind w:left="2627" w:hanging="403"/>
      </w:pPr>
      <w:rPr>
        <w:rFonts w:ascii="Times New Roman Bold" w:eastAsia="Times New Roman" w:hAnsi="Times New Roman Bold" w:cs="Times New Roman Bold"/>
        <w:position w:val="0"/>
        <w:sz w:val="28"/>
        <w:szCs w:val="28"/>
      </w:rPr>
    </w:lvl>
    <w:lvl w:ilvl="3">
      <w:start w:val="1"/>
      <w:numFmt w:val="decimal"/>
      <w:lvlText w:val="%4."/>
      <w:lvlJc w:val="left"/>
      <w:pPr>
        <w:tabs>
          <w:tab w:val="num" w:pos="3370"/>
        </w:tabs>
        <w:ind w:left="3370" w:hanging="490"/>
      </w:pPr>
      <w:rPr>
        <w:rFonts w:ascii="Times New Roman Bold" w:eastAsia="Times New Roman" w:hAnsi="Times New Roman Bold" w:cs="Times New Roman Bold"/>
        <w:position w:val="0"/>
        <w:sz w:val="28"/>
        <w:szCs w:val="28"/>
      </w:rPr>
    </w:lvl>
    <w:lvl w:ilvl="4">
      <w:start w:val="1"/>
      <w:numFmt w:val="lowerLetter"/>
      <w:lvlText w:val="%5."/>
      <w:lvlJc w:val="left"/>
      <w:pPr>
        <w:tabs>
          <w:tab w:val="num" w:pos="4090"/>
        </w:tabs>
        <w:ind w:left="4090" w:hanging="490"/>
      </w:pPr>
      <w:rPr>
        <w:rFonts w:ascii="Times New Roman Bold" w:eastAsia="Times New Roman" w:hAnsi="Times New Roman Bold" w:cs="Times New Roman Bold"/>
        <w:position w:val="0"/>
        <w:sz w:val="28"/>
        <w:szCs w:val="28"/>
      </w:rPr>
    </w:lvl>
    <w:lvl w:ilvl="5">
      <w:start w:val="1"/>
      <w:numFmt w:val="lowerRoman"/>
      <w:lvlText w:val="%6."/>
      <w:lvlJc w:val="left"/>
      <w:pPr>
        <w:tabs>
          <w:tab w:val="num" w:pos="4787"/>
        </w:tabs>
        <w:ind w:left="4787" w:hanging="403"/>
      </w:pPr>
      <w:rPr>
        <w:rFonts w:ascii="Times New Roman Bold" w:eastAsia="Times New Roman" w:hAnsi="Times New Roman Bold" w:cs="Times New Roman Bold"/>
        <w:position w:val="0"/>
        <w:sz w:val="28"/>
        <w:szCs w:val="28"/>
      </w:rPr>
    </w:lvl>
    <w:lvl w:ilvl="6">
      <w:start w:val="1"/>
      <w:numFmt w:val="decimal"/>
      <w:lvlText w:val="%7."/>
      <w:lvlJc w:val="left"/>
      <w:pPr>
        <w:tabs>
          <w:tab w:val="num" w:pos="5530"/>
        </w:tabs>
        <w:ind w:left="5530" w:hanging="490"/>
      </w:pPr>
      <w:rPr>
        <w:rFonts w:ascii="Times New Roman Bold" w:eastAsia="Times New Roman" w:hAnsi="Times New Roman Bold" w:cs="Times New Roman Bold"/>
        <w:position w:val="0"/>
        <w:sz w:val="28"/>
        <w:szCs w:val="28"/>
      </w:rPr>
    </w:lvl>
    <w:lvl w:ilvl="7">
      <w:start w:val="1"/>
      <w:numFmt w:val="lowerLetter"/>
      <w:lvlText w:val="%8."/>
      <w:lvlJc w:val="left"/>
      <w:pPr>
        <w:tabs>
          <w:tab w:val="num" w:pos="6250"/>
        </w:tabs>
        <w:ind w:left="6250" w:hanging="490"/>
      </w:pPr>
      <w:rPr>
        <w:rFonts w:ascii="Times New Roman Bold" w:eastAsia="Times New Roman" w:hAnsi="Times New Roman Bold" w:cs="Times New Roman Bold"/>
        <w:position w:val="0"/>
        <w:sz w:val="28"/>
        <w:szCs w:val="28"/>
      </w:rPr>
    </w:lvl>
    <w:lvl w:ilvl="8">
      <w:start w:val="1"/>
      <w:numFmt w:val="lowerRoman"/>
      <w:lvlText w:val="%9."/>
      <w:lvlJc w:val="left"/>
      <w:pPr>
        <w:tabs>
          <w:tab w:val="num" w:pos="6947"/>
        </w:tabs>
        <w:ind w:left="6947" w:hanging="403"/>
      </w:pPr>
      <w:rPr>
        <w:rFonts w:ascii="Times New Roman Bold" w:eastAsia="Times New Roman" w:hAnsi="Times New Roman Bold" w:cs="Times New Roman Bold"/>
        <w:position w:val="0"/>
        <w:sz w:val="28"/>
        <w:szCs w:val="28"/>
      </w:rPr>
    </w:lvl>
  </w:abstractNum>
  <w:abstractNum w:abstractNumId="13">
    <w:nsid w:val="6E8F30BB"/>
    <w:multiLevelType w:val="hybridMultilevel"/>
    <w:tmpl w:val="82740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F240A6"/>
    <w:multiLevelType w:val="hybridMultilevel"/>
    <w:tmpl w:val="AFE44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7C80AF2"/>
    <w:multiLevelType w:val="hybridMultilevel"/>
    <w:tmpl w:val="23501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9A92187"/>
    <w:multiLevelType w:val="hybridMultilevel"/>
    <w:tmpl w:val="E320064A"/>
    <w:lvl w:ilvl="0" w:tplc="586EDCB6">
      <w:start w:val="115"/>
      <w:numFmt w:val="decimal"/>
      <w:lvlText w:val="%1."/>
      <w:lvlJc w:val="left"/>
      <w:pPr>
        <w:ind w:left="885" w:hanging="52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7DA62D94"/>
    <w:multiLevelType w:val="multilevel"/>
    <w:tmpl w:val="95BCB222"/>
    <w:styleLink w:val="List0"/>
    <w:lvl w:ilvl="0">
      <w:start w:val="1"/>
      <w:numFmt w:val="decimal"/>
      <w:lvlText w:val="%1."/>
      <w:lvlJc w:val="left"/>
      <w:pPr>
        <w:tabs>
          <w:tab w:val="num" w:pos="933"/>
        </w:tabs>
        <w:ind w:left="933" w:hanging="366"/>
      </w:pPr>
      <w:rPr>
        <w:rFonts w:ascii="Times New Roman Bold" w:eastAsia="Times New Roman" w:hAnsi="Times New Roman Bold" w:cs="Times New Roman Bold"/>
        <w:position w:val="0"/>
        <w:sz w:val="28"/>
        <w:szCs w:val="28"/>
      </w:rPr>
    </w:lvl>
    <w:lvl w:ilvl="1">
      <w:start w:val="1"/>
      <w:numFmt w:val="lowerLetter"/>
      <w:lvlText w:val="%2."/>
      <w:lvlJc w:val="left"/>
      <w:pPr>
        <w:tabs>
          <w:tab w:val="num" w:pos="1930"/>
        </w:tabs>
        <w:ind w:left="1930" w:hanging="490"/>
      </w:pPr>
      <w:rPr>
        <w:rFonts w:ascii="Times New Roman Bold" w:eastAsia="Times New Roman" w:hAnsi="Times New Roman Bold" w:cs="Times New Roman Bold"/>
        <w:position w:val="0"/>
        <w:sz w:val="28"/>
        <w:szCs w:val="28"/>
      </w:rPr>
    </w:lvl>
    <w:lvl w:ilvl="2">
      <w:start w:val="1"/>
      <w:numFmt w:val="lowerRoman"/>
      <w:lvlText w:val="%3."/>
      <w:lvlJc w:val="left"/>
      <w:pPr>
        <w:tabs>
          <w:tab w:val="num" w:pos="2627"/>
        </w:tabs>
        <w:ind w:left="2627" w:hanging="403"/>
      </w:pPr>
      <w:rPr>
        <w:rFonts w:ascii="Times New Roman Bold" w:eastAsia="Times New Roman" w:hAnsi="Times New Roman Bold" w:cs="Times New Roman Bold"/>
        <w:position w:val="0"/>
        <w:sz w:val="28"/>
        <w:szCs w:val="28"/>
      </w:rPr>
    </w:lvl>
    <w:lvl w:ilvl="3">
      <w:start w:val="1"/>
      <w:numFmt w:val="decimal"/>
      <w:lvlText w:val="%4."/>
      <w:lvlJc w:val="left"/>
      <w:pPr>
        <w:tabs>
          <w:tab w:val="num" w:pos="3370"/>
        </w:tabs>
        <w:ind w:left="3370" w:hanging="490"/>
      </w:pPr>
      <w:rPr>
        <w:rFonts w:ascii="Times New Roman Bold" w:eastAsia="Times New Roman" w:hAnsi="Times New Roman Bold" w:cs="Times New Roman Bold"/>
        <w:position w:val="0"/>
        <w:sz w:val="28"/>
        <w:szCs w:val="28"/>
      </w:rPr>
    </w:lvl>
    <w:lvl w:ilvl="4">
      <w:start w:val="1"/>
      <w:numFmt w:val="lowerLetter"/>
      <w:lvlText w:val="%5."/>
      <w:lvlJc w:val="left"/>
      <w:pPr>
        <w:tabs>
          <w:tab w:val="num" w:pos="4090"/>
        </w:tabs>
        <w:ind w:left="4090" w:hanging="490"/>
      </w:pPr>
      <w:rPr>
        <w:rFonts w:ascii="Times New Roman Bold" w:eastAsia="Times New Roman" w:hAnsi="Times New Roman Bold" w:cs="Times New Roman Bold"/>
        <w:position w:val="0"/>
        <w:sz w:val="28"/>
        <w:szCs w:val="28"/>
      </w:rPr>
    </w:lvl>
    <w:lvl w:ilvl="5">
      <w:start w:val="1"/>
      <w:numFmt w:val="lowerRoman"/>
      <w:lvlText w:val="%6."/>
      <w:lvlJc w:val="left"/>
      <w:pPr>
        <w:tabs>
          <w:tab w:val="num" w:pos="4787"/>
        </w:tabs>
        <w:ind w:left="4787" w:hanging="403"/>
      </w:pPr>
      <w:rPr>
        <w:rFonts w:ascii="Times New Roman Bold" w:eastAsia="Times New Roman" w:hAnsi="Times New Roman Bold" w:cs="Times New Roman Bold"/>
        <w:position w:val="0"/>
        <w:sz w:val="28"/>
        <w:szCs w:val="28"/>
      </w:rPr>
    </w:lvl>
    <w:lvl w:ilvl="6">
      <w:start w:val="1"/>
      <w:numFmt w:val="decimal"/>
      <w:lvlText w:val="%7."/>
      <w:lvlJc w:val="left"/>
      <w:pPr>
        <w:tabs>
          <w:tab w:val="num" w:pos="5530"/>
        </w:tabs>
        <w:ind w:left="5530" w:hanging="490"/>
      </w:pPr>
      <w:rPr>
        <w:rFonts w:ascii="Times New Roman Bold" w:eastAsia="Times New Roman" w:hAnsi="Times New Roman Bold" w:cs="Times New Roman Bold"/>
        <w:position w:val="0"/>
        <w:sz w:val="28"/>
        <w:szCs w:val="28"/>
      </w:rPr>
    </w:lvl>
    <w:lvl w:ilvl="7">
      <w:start w:val="1"/>
      <w:numFmt w:val="lowerLetter"/>
      <w:lvlText w:val="%8."/>
      <w:lvlJc w:val="left"/>
      <w:pPr>
        <w:tabs>
          <w:tab w:val="num" w:pos="6250"/>
        </w:tabs>
        <w:ind w:left="6250" w:hanging="490"/>
      </w:pPr>
      <w:rPr>
        <w:rFonts w:ascii="Times New Roman Bold" w:eastAsia="Times New Roman" w:hAnsi="Times New Roman Bold" w:cs="Times New Roman Bold"/>
        <w:position w:val="0"/>
        <w:sz w:val="28"/>
        <w:szCs w:val="28"/>
      </w:rPr>
    </w:lvl>
    <w:lvl w:ilvl="8">
      <w:start w:val="1"/>
      <w:numFmt w:val="lowerRoman"/>
      <w:lvlText w:val="%9."/>
      <w:lvlJc w:val="left"/>
      <w:pPr>
        <w:tabs>
          <w:tab w:val="num" w:pos="6947"/>
        </w:tabs>
        <w:ind w:left="6947" w:hanging="403"/>
      </w:pPr>
      <w:rPr>
        <w:rFonts w:ascii="Times New Roman Bold" w:eastAsia="Times New Roman" w:hAnsi="Times New Roman Bold" w:cs="Times New Roman Bold"/>
        <w:position w:val="0"/>
        <w:sz w:val="28"/>
        <w:szCs w:val="28"/>
      </w:rPr>
    </w:lvl>
  </w:abstractNum>
  <w:abstractNum w:abstractNumId="18">
    <w:nsid w:val="7E53041E"/>
    <w:multiLevelType w:val="hybridMultilevel"/>
    <w:tmpl w:val="4968916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13"/>
  </w:num>
  <w:num w:numId="4">
    <w:abstractNumId w:val="1"/>
  </w:num>
  <w:num w:numId="5">
    <w:abstractNumId w:val="9"/>
  </w:num>
  <w:num w:numId="6">
    <w:abstractNumId w:val="14"/>
  </w:num>
  <w:num w:numId="7">
    <w:abstractNumId w:val="0"/>
  </w:num>
  <w:num w:numId="8">
    <w:abstractNumId w:val="16"/>
  </w:num>
  <w:num w:numId="9">
    <w:abstractNumId w:val="3"/>
  </w:num>
  <w:num w:numId="10">
    <w:abstractNumId w:val="7"/>
  </w:num>
  <w:num w:numId="11">
    <w:abstractNumId w:val="18"/>
  </w:num>
  <w:num w:numId="12">
    <w:abstractNumId w:val="4"/>
  </w:num>
  <w:num w:numId="13">
    <w:abstractNumId w:val="11"/>
  </w:num>
  <w:num w:numId="14">
    <w:abstractNumId w:val="15"/>
  </w:num>
  <w:num w:numId="15">
    <w:abstractNumId w:val="2"/>
  </w:num>
  <w:num w:numId="16">
    <w:abstractNumId w:val="8"/>
  </w:num>
  <w:num w:numId="17">
    <w:abstractNumId w:val="10"/>
  </w:num>
  <w:num w:numId="18">
    <w:abstractNumId w:val="5"/>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045C"/>
    <w:rsid w:val="00000491"/>
    <w:rsid w:val="00001354"/>
    <w:rsid w:val="000017C5"/>
    <w:rsid w:val="0000186E"/>
    <w:rsid w:val="000030ED"/>
    <w:rsid w:val="000036FE"/>
    <w:rsid w:val="00003B71"/>
    <w:rsid w:val="00003CC6"/>
    <w:rsid w:val="000040ED"/>
    <w:rsid w:val="0000420B"/>
    <w:rsid w:val="00004348"/>
    <w:rsid w:val="000045EE"/>
    <w:rsid w:val="00004764"/>
    <w:rsid w:val="00005505"/>
    <w:rsid w:val="000059F2"/>
    <w:rsid w:val="0000721D"/>
    <w:rsid w:val="00007A2C"/>
    <w:rsid w:val="00010198"/>
    <w:rsid w:val="0001042D"/>
    <w:rsid w:val="00010C10"/>
    <w:rsid w:val="00010DDB"/>
    <w:rsid w:val="00010E5D"/>
    <w:rsid w:val="00012714"/>
    <w:rsid w:val="00012A47"/>
    <w:rsid w:val="00012D72"/>
    <w:rsid w:val="00012FF5"/>
    <w:rsid w:val="000131AA"/>
    <w:rsid w:val="00013B0A"/>
    <w:rsid w:val="00013EBC"/>
    <w:rsid w:val="00014683"/>
    <w:rsid w:val="00014D5F"/>
    <w:rsid w:val="00014F17"/>
    <w:rsid w:val="000151DA"/>
    <w:rsid w:val="000153F5"/>
    <w:rsid w:val="0001578B"/>
    <w:rsid w:val="00015C07"/>
    <w:rsid w:val="00015DA8"/>
    <w:rsid w:val="000160A5"/>
    <w:rsid w:val="000169BD"/>
    <w:rsid w:val="00016A18"/>
    <w:rsid w:val="0001751B"/>
    <w:rsid w:val="00017533"/>
    <w:rsid w:val="000178CB"/>
    <w:rsid w:val="0002022F"/>
    <w:rsid w:val="00020A74"/>
    <w:rsid w:val="0002156D"/>
    <w:rsid w:val="0002193A"/>
    <w:rsid w:val="00022F3D"/>
    <w:rsid w:val="000234EF"/>
    <w:rsid w:val="00023529"/>
    <w:rsid w:val="00023934"/>
    <w:rsid w:val="00023A1D"/>
    <w:rsid w:val="000244D8"/>
    <w:rsid w:val="00024769"/>
    <w:rsid w:val="0002511F"/>
    <w:rsid w:val="000258DC"/>
    <w:rsid w:val="0002648A"/>
    <w:rsid w:val="00026F6A"/>
    <w:rsid w:val="00026F89"/>
    <w:rsid w:val="0002718C"/>
    <w:rsid w:val="000302B3"/>
    <w:rsid w:val="000312C5"/>
    <w:rsid w:val="0003149A"/>
    <w:rsid w:val="00031659"/>
    <w:rsid w:val="0003193D"/>
    <w:rsid w:val="000322A2"/>
    <w:rsid w:val="00032582"/>
    <w:rsid w:val="00032967"/>
    <w:rsid w:val="00032F77"/>
    <w:rsid w:val="000335AF"/>
    <w:rsid w:val="00033670"/>
    <w:rsid w:val="00033699"/>
    <w:rsid w:val="00033CAC"/>
    <w:rsid w:val="00033E64"/>
    <w:rsid w:val="00034182"/>
    <w:rsid w:val="00034664"/>
    <w:rsid w:val="00034D92"/>
    <w:rsid w:val="0003566D"/>
    <w:rsid w:val="00035DF7"/>
    <w:rsid w:val="0003606F"/>
    <w:rsid w:val="000400E4"/>
    <w:rsid w:val="000405CD"/>
    <w:rsid w:val="00040905"/>
    <w:rsid w:val="00040E4B"/>
    <w:rsid w:val="00041208"/>
    <w:rsid w:val="000434B2"/>
    <w:rsid w:val="00043CD9"/>
    <w:rsid w:val="0004553B"/>
    <w:rsid w:val="0004592A"/>
    <w:rsid w:val="00045AE5"/>
    <w:rsid w:val="0004601B"/>
    <w:rsid w:val="000460C3"/>
    <w:rsid w:val="000465EE"/>
    <w:rsid w:val="000473F0"/>
    <w:rsid w:val="00047954"/>
    <w:rsid w:val="00047D7C"/>
    <w:rsid w:val="00047FB0"/>
    <w:rsid w:val="0005003C"/>
    <w:rsid w:val="00050D5B"/>
    <w:rsid w:val="00050DB2"/>
    <w:rsid w:val="00050DD4"/>
    <w:rsid w:val="00052819"/>
    <w:rsid w:val="00052C0C"/>
    <w:rsid w:val="00052DEB"/>
    <w:rsid w:val="00053390"/>
    <w:rsid w:val="00054107"/>
    <w:rsid w:val="0005410A"/>
    <w:rsid w:val="000543D2"/>
    <w:rsid w:val="000544C3"/>
    <w:rsid w:val="00054679"/>
    <w:rsid w:val="0005562D"/>
    <w:rsid w:val="000563DD"/>
    <w:rsid w:val="000563E2"/>
    <w:rsid w:val="00056512"/>
    <w:rsid w:val="000576FC"/>
    <w:rsid w:val="00060BCE"/>
    <w:rsid w:val="00061AC8"/>
    <w:rsid w:val="000622ED"/>
    <w:rsid w:val="000624A3"/>
    <w:rsid w:val="00062775"/>
    <w:rsid w:val="00062A10"/>
    <w:rsid w:val="00063A01"/>
    <w:rsid w:val="000640BD"/>
    <w:rsid w:val="000643BE"/>
    <w:rsid w:val="00064AED"/>
    <w:rsid w:val="00064B6F"/>
    <w:rsid w:val="00064CDD"/>
    <w:rsid w:val="00064DF3"/>
    <w:rsid w:val="00065260"/>
    <w:rsid w:val="00066E53"/>
    <w:rsid w:val="000675C7"/>
    <w:rsid w:val="000700DE"/>
    <w:rsid w:val="0007027A"/>
    <w:rsid w:val="000709DB"/>
    <w:rsid w:val="00070D35"/>
    <w:rsid w:val="000712DB"/>
    <w:rsid w:val="0007162D"/>
    <w:rsid w:val="000718AF"/>
    <w:rsid w:val="00071D91"/>
    <w:rsid w:val="00072256"/>
    <w:rsid w:val="00073686"/>
    <w:rsid w:val="00073A99"/>
    <w:rsid w:val="00073D66"/>
    <w:rsid w:val="000743A6"/>
    <w:rsid w:val="000754C8"/>
    <w:rsid w:val="000764CC"/>
    <w:rsid w:val="000765DA"/>
    <w:rsid w:val="00077E41"/>
    <w:rsid w:val="00080031"/>
    <w:rsid w:val="0008069B"/>
    <w:rsid w:val="00080D15"/>
    <w:rsid w:val="00080F6E"/>
    <w:rsid w:val="0008167B"/>
    <w:rsid w:val="000819AB"/>
    <w:rsid w:val="0008237C"/>
    <w:rsid w:val="00082590"/>
    <w:rsid w:val="000829D0"/>
    <w:rsid w:val="0008304C"/>
    <w:rsid w:val="000832DA"/>
    <w:rsid w:val="0008403C"/>
    <w:rsid w:val="00084A06"/>
    <w:rsid w:val="000854C7"/>
    <w:rsid w:val="00085F45"/>
    <w:rsid w:val="000863B8"/>
    <w:rsid w:val="0008698E"/>
    <w:rsid w:val="00087457"/>
    <w:rsid w:val="0008779B"/>
    <w:rsid w:val="00091DBA"/>
    <w:rsid w:val="000920DC"/>
    <w:rsid w:val="00092283"/>
    <w:rsid w:val="00092E6E"/>
    <w:rsid w:val="00092E7B"/>
    <w:rsid w:val="00093946"/>
    <w:rsid w:val="0009412C"/>
    <w:rsid w:val="00094814"/>
    <w:rsid w:val="00094D1B"/>
    <w:rsid w:val="0009532B"/>
    <w:rsid w:val="00095813"/>
    <w:rsid w:val="00095CD3"/>
    <w:rsid w:val="00097C77"/>
    <w:rsid w:val="000A02EF"/>
    <w:rsid w:val="000A0DC6"/>
    <w:rsid w:val="000A0E09"/>
    <w:rsid w:val="000A108C"/>
    <w:rsid w:val="000A16CC"/>
    <w:rsid w:val="000A239B"/>
    <w:rsid w:val="000A376E"/>
    <w:rsid w:val="000A3A76"/>
    <w:rsid w:val="000A4231"/>
    <w:rsid w:val="000A4DE8"/>
    <w:rsid w:val="000A522A"/>
    <w:rsid w:val="000A65B3"/>
    <w:rsid w:val="000A6739"/>
    <w:rsid w:val="000A6DEF"/>
    <w:rsid w:val="000A7D08"/>
    <w:rsid w:val="000A7E21"/>
    <w:rsid w:val="000B0B66"/>
    <w:rsid w:val="000B1843"/>
    <w:rsid w:val="000B2270"/>
    <w:rsid w:val="000B42F2"/>
    <w:rsid w:val="000B461E"/>
    <w:rsid w:val="000B5381"/>
    <w:rsid w:val="000B5645"/>
    <w:rsid w:val="000B6398"/>
    <w:rsid w:val="000B65B9"/>
    <w:rsid w:val="000B66DA"/>
    <w:rsid w:val="000B6B61"/>
    <w:rsid w:val="000B6C33"/>
    <w:rsid w:val="000B7705"/>
    <w:rsid w:val="000B77E1"/>
    <w:rsid w:val="000C04D1"/>
    <w:rsid w:val="000C10DF"/>
    <w:rsid w:val="000C206A"/>
    <w:rsid w:val="000C223C"/>
    <w:rsid w:val="000C225A"/>
    <w:rsid w:val="000C2DE7"/>
    <w:rsid w:val="000C2F1E"/>
    <w:rsid w:val="000C2F2A"/>
    <w:rsid w:val="000C38E8"/>
    <w:rsid w:val="000C3B55"/>
    <w:rsid w:val="000C40B5"/>
    <w:rsid w:val="000C4AAE"/>
    <w:rsid w:val="000C4D68"/>
    <w:rsid w:val="000C5E17"/>
    <w:rsid w:val="000C5F19"/>
    <w:rsid w:val="000C6B6F"/>
    <w:rsid w:val="000C7578"/>
    <w:rsid w:val="000C78CB"/>
    <w:rsid w:val="000C7980"/>
    <w:rsid w:val="000C7CDB"/>
    <w:rsid w:val="000D054A"/>
    <w:rsid w:val="000D0C01"/>
    <w:rsid w:val="000D0FC4"/>
    <w:rsid w:val="000D1226"/>
    <w:rsid w:val="000D154B"/>
    <w:rsid w:val="000D1E19"/>
    <w:rsid w:val="000D28E0"/>
    <w:rsid w:val="000D2A4D"/>
    <w:rsid w:val="000D3117"/>
    <w:rsid w:val="000D3196"/>
    <w:rsid w:val="000D31B9"/>
    <w:rsid w:val="000D37A3"/>
    <w:rsid w:val="000D413F"/>
    <w:rsid w:val="000D51AA"/>
    <w:rsid w:val="000D5D40"/>
    <w:rsid w:val="000D69A9"/>
    <w:rsid w:val="000D6C3B"/>
    <w:rsid w:val="000D726B"/>
    <w:rsid w:val="000D7D6D"/>
    <w:rsid w:val="000E1827"/>
    <w:rsid w:val="000E1BA3"/>
    <w:rsid w:val="000E3149"/>
    <w:rsid w:val="000E3389"/>
    <w:rsid w:val="000E3B09"/>
    <w:rsid w:val="000E3DEE"/>
    <w:rsid w:val="000E4137"/>
    <w:rsid w:val="000E43FB"/>
    <w:rsid w:val="000E4970"/>
    <w:rsid w:val="000E5619"/>
    <w:rsid w:val="000E58AC"/>
    <w:rsid w:val="000E59B8"/>
    <w:rsid w:val="000E5BE6"/>
    <w:rsid w:val="000E5CDF"/>
    <w:rsid w:val="000E6E7F"/>
    <w:rsid w:val="000E7071"/>
    <w:rsid w:val="000E756F"/>
    <w:rsid w:val="000F050B"/>
    <w:rsid w:val="000F05FE"/>
    <w:rsid w:val="000F06A5"/>
    <w:rsid w:val="000F07C7"/>
    <w:rsid w:val="000F1326"/>
    <w:rsid w:val="000F2221"/>
    <w:rsid w:val="000F3766"/>
    <w:rsid w:val="000F39B2"/>
    <w:rsid w:val="000F3AC9"/>
    <w:rsid w:val="000F3E35"/>
    <w:rsid w:val="000F45EA"/>
    <w:rsid w:val="000F4D69"/>
    <w:rsid w:val="000F5530"/>
    <w:rsid w:val="000F641B"/>
    <w:rsid w:val="000F6C07"/>
    <w:rsid w:val="000F7C39"/>
    <w:rsid w:val="0010008C"/>
    <w:rsid w:val="00100F4A"/>
    <w:rsid w:val="00101454"/>
    <w:rsid w:val="00101850"/>
    <w:rsid w:val="00101B57"/>
    <w:rsid w:val="00101C18"/>
    <w:rsid w:val="00102782"/>
    <w:rsid w:val="00102BE7"/>
    <w:rsid w:val="00103995"/>
    <w:rsid w:val="001043B6"/>
    <w:rsid w:val="001046D6"/>
    <w:rsid w:val="00104C2D"/>
    <w:rsid w:val="001050FD"/>
    <w:rsid w:val="0010618E"/>
    <w:rsid w:val="0010625E"/>
    <w:rsid w:val="0010644B"/>
    <w:rsid w:val="001068D1"/>
    <w:rsid w:val="00107B65"/>
    <w:rsid w:val="00110338"/>
    <w:rsid w:val="00110454"/>
    <w:rsid w:val="00110833"/>
    <w:rsid w:val="00112073"/>
    <w:rsid w:val="001120EF"/>
    <w:rsid w:val="0011243D"/>
    <w:rsid w:val="001129D5"/>
    <w:rsid w:val="001135EC"/>
    <w:rsid w:val="00113F9C"/>
    <w:rsid w:val="001141DA"/>
    <w:rsid w:val="00115156"/>
    <w:rsid w:val="0011651B"/>
    <w:rsid w:val="00117129"/>
    <w:rsid w:val="001178B9"/>
    <w:rsid w:val="0011792D"/>
    <w:rsid w:val="001209D4"/>
    <w:rsid w:val="0012156C"/>
    <w:rsid w:val="001218F0"/>
    <w:rsid w:val="00121DDB"/>
    <w:rsid w:val="0012227D"/>
    <w:rsid w:val="00122957"/>
    <w:rsid w:val="00123287"/>
    <w:rsid w:val="00123EFB"/>
    <w:rsid w:val="00123F3E"/>
    <w:rsid w:val="00123FD4"/>
    <w:rsid w:val="0012438E"/>
    <w:rsid w:val="00124395"/>
    <w:rsid w:val="00124646"/>
    <w:rsid w:val="00125122"/>
    <w:rsid w:val="001256E6"/>
    <w:rsid w:val="00125FC9"/>
    <w:rsid w:val="00126335"/>
    <w:rsid w:val="00127C7D"/>
    <w:rsid w:val="001303D7"/>
    <w:rsid w:val="00130A8A"/>
    <w:rsid w:val="001313DD"/>
    <w:rsid w:val="001314EF"/>
    <w:rsid w:val="001319F5"/>
    <w:rsid w:val="001327C0"/>
    <w:rsid w:val="001331EF"/>
    <w:rsid w:val="001332F0"/>
    <w:rsid w:val="001333C2"/>
    <w:rsid w:val="00134098"/>
    <w:rsid w:val="00134621"/>
    <w:rsid w:val="001349AA"/>
    <w:rsid w:val="001349B7"/>
    <w:rsid w:val="00134EDF"/>
    <w:rsid w:val="00134FB3"/>
    <w:rsid w:val="0013506B"/>
    <w:rsid w:val="00135CE3"/>
    <w:rsid w:val="001362AE"/>
    <w:rsid w:val="00136406"/>
    <w:rsid w:val="00136498"/>
    <w:rsid w:val="0013656B"/>
    <w:rsid w:val="001365F9"/>
    <w:rsid w:val="001369BE"/>
    <w:rsid w:val="00137DF3"/>
    <w:rsid w:val="00137EBB"/>
    <w:rsid w:val="00140630"/>
    <w:rsid w:val="00140BA4"/>
    <w:rsid w:val="00140D27"/>
    <w:rsid w:val="00141B17"/>
    <w:rsid w:val="00141C22"/>
    <w:rsid w:val="00141D95"/>
    <w:rsid w:val="00141FCC"/>
    <w:rsid w:val="00143593"/>
    <w:rsid w:val="00143684"/>
    <w:rsid w:val="001436C9"/>
    <w:rsid w:val="001438D9"/>
    <w:rsid w:val="001451BB"/>
    <w:rsid w:val="00145395"/>
    <w:rsid w:val="00145B26"/>
    <w:rsid w:val="00145FB1"/>
    <w:rsid w:val="00146131"/>
    <w:rsid w:val="00147514"/>
    <w:rsid w:val="0014769A"/>
    <w:rsid w:val="00151074"/>
    <w:rsid w:val="00151CB9"/>
    <w:rsid w:val="00152BA7"/>
    <w:rsid w:val="001533CC"/>
    <w:rsid w:val="00153436"/>
    <w:rsid w:val="001534D4"/>
    <w:rsid w:val="001534D9"/>
    <w:rsid w:val="00153FF4"/>
    <w:rsid w:val="00154EF1"/>
    <w:rsid w:val="0015522A"/>
    <w:rsid w:val="0015589D"/>
    <w:rsid w:val="00156320"/>
    <w:rsid w:val="0015642B"/>
    <w:rsid w:val="00157671"/>
    <w:rsid w:val="001576EE"/>
    <w:rsid w:val="0015793E"/>
    <w:rsid w:val="00157975"/>
    <w:rsid w:val="00157B2A"/>
    <w:rsid w:val="00157F27"/>
    <w:rsid w:val="0016023B"/>
    <w:rsid w:val="001602B9"/>
    <w:rsid w:val="00160CB1"/>
    <w:rsid w:val="00160D2B"/>
    <w:rsid w:val="00160EA6"/>
    <w:rsid w:val="0016108C"/>
    <w:rsid w:val="00161732"/>
    <w:rsid w:val="00161FAE"/>
    <w:rsid w:val="0016232E"/>
    <w:rsid w:val="00162527"/>
    <w:rsid w:val="001635E3"/>
    <w:rsid w:val="001636A5"/>
    <w:rsid w:val="001643C4"/>
    <w:rsid w:val="00164BAE"/>
    <w:rsid w:val="00164D30"/>
    <w:rsid w:val="001653BC"/>
    <w:rsid w:val="001665EB"/>
    <w:rsid w:val="0016676C"/>
    <w:rsid w:val="001674C9"/>
    <w:rsid w:val="00167F68"/>
    <w:rsid w:val="00170438"/>
    <w:rsid w:val="001704AE"/>
    <w:rsid w:val="0017103F"/>
    <w:rsid w:val="00172043"/>
    <w:rsid w:val="0017212B"/>
    <w:rsid w:val="001726C8"/>
    <w:rsid w:val="00172AB4"/>
    <w:rsid w:val="00172D57"/>
    <w:rsid w:val="00173867"/>
    <w:rsid w:val="00173D75"/>
    <w:rsid w:val="00173F5B"/>
    <w:rsid w:val="00173FBC"/>
    <w:rsid w:val="00174D5D"/>
    <w:rsid w:val="001756E4"/>
    <w:rsid w:val="00175E90"/>
    <w:rsid w:val="00175FB1"/>
    <w:rsid w:val="00176090"/>
    <w:rsid w:val="00176BBF"/>
    <w:rsid w:val="00177A5D"/>
    <w:rsid w:val="00177B16"/>
    <w:rsid w:val="001801A0"/>
    <w:rsid w:val="00180419"/>
    <w:rsid w:val="00181156"/>
    <w:rsid w:val="00181198"/>
    <w:rsid w:val="0018163E"/>
    <w:rsid w:val="00181EDB"/>
    <w:rsid w:val="00181F96"/>
    <w:rsid w:val="001829D0"/>
    <w:rsid w:val="00183973"/>
    <w:rsid w:val="00183CBE"/>
    <w:rsid w:val="00183D52"/>
    <w:rsid w:val="00183DDE"/>
    <w:rsid w:val="00184BA1"/>
    <w:rsid w:val="001854AD"/>
    <w:rsid w:val="001855B7"/>
    <w:rsid w:val="0018576A"/>
    <w:rsid w:val="00185EE8"/>
    <w:rsid w:val="00187002"/>
    <w:rsid w:val="00191470"/>
    <w:rsid w:val="00191FBC"/>
    <w:rsid w:val="00192916"/>
    <w:rsid w:val="001934D9"/>
    <w:rsid w:val="00194690"/>
    <w:rsid w:val="00195CA1"/>
    <w:rsid w:val="00196ECD"/>
    <w:rsid w:val="0019794F"/>
    <w:rsid w:val="001979D7"/>
    <w:rsid w:val="001A05C1"/>
    <w:rsid w:val="001A0FC2"/>
    <w:rsid w:val="001A1139"/>
    <w:rsid w:val="001A116E"/>
    <w:rsid w:val="001A2785"/>
    <w:rsid w:val="001A2E2C"/>
    <w:rsid w:val="001A3BCF"/>
    <w:rsid w:val="001A3E3D"/>
    <w:rsid w:val="001A4392"/>
    <w:rsid w:val="001A4769"/>
    <w:rsid w:val="001A4CC8"/>
    <w:rsid w:val="001A4D84"/>
    <w:rsid w:val="001A5019"/>
    <w:rsid w:val="001A539C"/>
    <w:rsid w:val="001A547C"/>
    <w:rsid w:val="001A5480"/>
    <w:rsid w:val="001A69B2"/>
    <w:rsid w:val="001A69F4"/>
    <w:rsid w:val="001A72BD"/>
    <w:rsid w:val="001A7950"/>
    <w:rsid w:val="001B071D"/>
    <w:rsid w:val="001B0AA3"/>
    <w:rsid w:val="001B0C4C"/>
    <w:rsid w:val="001B0FBF"/>
    <w:rsid w:val="001B5B3C"/>
    <w:rsid w:val="001B5CFE"/>
    <w:rsid w:val="001B5F09"/>
    <w:rsid w:val="001B6357"/>
    <w:rsid w:val="001B6916"/>
    <w:rsid w:val="001B74F8"/>
    <w:rsid w:val="001B7CD5"/>
    <w:rsid w:val="001C02B6"/>
    <w:rsid w:val="001C02DA"/>
    <w:rsid w:val="001C0CB9"/>
    <w:rsid w:val="001C15F3"/>
    <w:rsid w:val="001C1C84"/>
    <w:rsid w:val="001C26D9"/>
    <w:rsid w:val="001C275E"/>
    <w:rsid w:val="001C347F"/>
    <w:rsid w:val="001C3B54"/>
    <w:rsid w:val="001C3FAE"/>
    <w:rsid w:val="001C49C5"/>
    <w:rsid w:val="001C77F7"/>
    <w:rsid w:val="001C7894"/>
    <w:rsid w:val="001D09E1"/>
    <w:rsid w:val="001D0C2A"/>
    <w:rsid w:val="001D1005"/>
    <w:rsid w:val="001D19F9"/>
    <w:rsid w:val="001D1DCA"/>
    <w:rsid w:val="001D25B2"/>
    <w:rsid w:val="001D2B65"/>
    <w:rsid w:val="001D2C89"/>
    <w:rsid w:val="001D4062"/>
    <w:rsid w:val="001D45DB"/>
    <w:rsid w:val="001D4647"/>
    <w:rsid w:val="001D4D4C"/>
    <w:rsid w:val="001D52EC"/>
    <w:rsid w:val="001D5387"/>
    <w:rsid w:val="001E0051"/>
    <w:rsid w:val="001E04B6"/>
    <w:rsid w:val="001E06CF"/>
    <w:rsid w:val="001E1279"/>
    <w:rsid w:val="001E165F"/>
    <w:rsid w:val="001E1705"/>
    <w:rsid w:val="001E1A0C"/>
    <w:rsid w:val="001E2569"/>
    <w:rsid w:val="001E2973"/>
    <w:rsid w:val="001E36D3"/>
    <w:rsid w:val="001E4BFD"/>
    <w:rsid w:val="001E4F71"/>
    <w:rsid w:val="001E5245"/>
    <w:rsid w:val="001E5ED8"/>
    <w:rsid w:val="001E6433"/>
    <w:rsid w:val="001E6CB7"/>
    <w:rsid w:val="001E6D1B"/>
    <w:rsid w:val="001E749A"/>
    <w:rsid w:val="001E77BC"/>
    <w:rsid w:val="001E78B5"/>
    <w:rsid w:val="001F0719"/>
    <w:rsid w:val="001F086C"/>
    <w:rsid w:val="001F13F0"/>
    <w:rsid w:val="001F15E6"/>
    <w:rsid w:val="001F1A7D"/>
    <w:rsid w:val="001F1F22"/>
    <w:rsid w:val="001F2C0E"/>
    <w:rsid w:val="001F326D"/>
    <w:rsid w:val="001F3421"/>
    <w:rsid w:val="001F3AE9"/>
    <w:rsid w:val="001F3CE4"/>
    <w:rsid w:val="001F3D8F"/>
    <w:rsid w:val="001F43C0"/>
    <w:rsid w:val="001F45F0"/>
    <w:rsid w:val="001F46C9"/>
    <w:rsid w:val="001F482E"/>
    <w:rsid w:val="001F5F90"/>
    <w:rsid w:val="001F750D"/>
    <w:rsid w:val="001F75D0"/>
    <w:rsid w:val="001F7BC4"/>
    <w:rsid w:val="001F7D5E"/>
    <w:rsid w:val="001F7FDA"/>
    <w:rsid w:val="0020023A"/>
    <w:rsid w:val="002004A7"/>
    <w:rsid w:val="002021DA"/>
    <w:rsid w:val="00202948"/>
    <w:rsid w:val="00202D66"/>
    <w:rsid w:val="002039DE"/>
    <w:rsid w:val="00203C32"/>
    <w:rsid w:val="002042BE"/>
    <w:rsid w:val="00205150"/>
    <w:rsid w:val="0020521B"/>
    <w:rsid w:val="002054A1"/>
    <w:rsid w:val="00205621"/>
    <w:rsid w:val="00207999"/>
    <w:rsid w:val="0021067E"/>
    <w:rsid w:val="00210944"/>
    <w:rsid w:val="00210D07"/>
    <w:rsid w:val="00211579"/>
    <w:rsid w:val="00211A1A"/>
    <w:rsid w:val="00211CB6"/>
    <w:rsid w:val="002125F3"/>
    <w:rsid w:val="00212C2C"/>
    <w:rsid w:val="00213259"/>
    <w:rsid w:val="00214D8E"/>
    <w:rsid w:val="002154D3"/>
    <w:rsid w:val="00215D6A"/>
    <w:rsid w:val="0021615C"/>
    <w:rsid w:val="002177E5"/>
    <w:rsid w:val="002179C7"/>
    <w:rsid w:val="00217C1B"/>
    <w:rsid w:val="00220D26"/>
    <w:rsid w:val="00221D06"/>
    <w:rsid w:val="00222F36"/>
    <w:rsid w:val="002235B7"/>
    <w:rsid w:val="0022397A"/>
    <w:rsid w:val="00224899"/>
    <w:rsid w:val="002257CF"/>
    <w:rsid w:val="002257EA"/>
    <w:rsid w:val="00226FB4"/>
    <w:rsid w:val="0022742C"/>
    <w:rsid w:val="00227740"/>
    <w:rsid w:val="002279DE"/>
    <w:rsid w:val="00227CE6"/>
    <w:rsid w:val="00230368"/>
    <w:rsid w:val="00231374"/>
    <w:rsid w:val="00231BC0"/>
    <w:rsid w:val="0023214A"/>
    <w:rsid w:val="0023224B"/>
    <w:rsid w:val="00232815"/>
    <w:rsid w:val="00233686"/>
    <w:rsid w:val="00233EAA"/>
    <w:rsid w:val="00234762"/>
    <w:rsid w:val="002355F2"/>
    <w:rsid w:val="00235D8C"/>
    <w:rsid w:val="00235EF1"/>
    <w:rsid w:val="00236349"/>
    <w:rsid w:val="002366E6"/>
    <w:rsid w:val="00236832"/>
    <w:rsid w:val="00236CEE"/>
    <w:rsid w:val="00236FD5"/>
    <w:rsid w:val="00237136"/>
    <w:rsid w:val="00237691"/>
    <w:rsid w:val="002379FA"/>
    <w:rsid w:val="002405CF"/>
    <w:rsid w:val="002414AE"/>
    <w:rsid w:val="002416F7"/>
    <w:rsid w:val="00241C7E"/>
    <w:rsid w:val="002421DE"/>
    <w:rsid w:val="00242AA5"/>
    <w:rsid w:val="00243172"/>
    <w:rsid w:val="00243AF4"/>
    <w:rsid w:val="00243F65"/>
    <w:rsid w:val="00244E67"/>
    <w:rsid w:val="0024522D"/>
    <w:rsid w:val="00245F66"/>
    <w:rsid w:val="002468FB"/>
    <w:rsid w:val="002504F7"/>
    <w:rsid w:val="00250A2F"/>
    <w:rsid w:val="0025129E"/>
    <w:rsid w:val="00251CC7"/>
    <w:rsid w:val="002525FC"/>
    <w:rsid w:val="002527FA"/>
    <w:rsid w:val="0025431E"/>
    <w:rsid w:val="0025491F"/>
    <w:rsid w:val="00257604"/>
    <w:rsid w:val="00257788"/>
    <w:rsid w:val="002600B0"/>
    <w:rsid w:val="00260221"/>
    <w:rsid w:val="00260EA9"/>
    <w:rsid w:val="002616DD"/>
    <w:rsid w:val="002619FE"/>
    <w:rsid w:val="00261C08"/>
    <w:rsid w:val="002620B3"/>
    <w:rsid w:val="00263671"/>
    <w:rsid w:val="00263779"/>
    <w:rsid w:val="00263CBE"/>
    <w:rsid w:val="00265021"/>
    <w:rsid w:val="002650C4"/>
    <w:rsid w:val="002656A9"/>
    <w:rsid w:val="002674EC"/>
    <w:rsid w:val="002701C3"/>
    <w:rsid w:val="0027030B"/>
    <w:rsid w:val="002707FE"/>
    <w:rsid w:val="00270FE7"/>
    <w:rsid w:val="00271DF6"/>
    <w:rsid w:val="00271E98"/>
    <w:rsid w:val="002720FC"/>
    <w:rsid w:val="00272D1D"/>
    <w:rsid w:val="0027390B"/>
    <w:rsid w:val="00273C14"/>
    <w:rsid w:val="002745EF"/>
    <w:rsid w:val="0027490C"/>
    <w:rsid w:val="002752A2"/>
    <w:rsid w:val="00276320"/>
    <w:rsid w:val="00276690"/>
    <w:rsid w:val="002767B6"/>
    <w:rsid w:val="00276D22"/>
    <w:rsid w:val="00276EEA"/>
    <w:rsid w:val="002778FA"/>
    <w:rsid w:val="0028081E"/>
    <w:rsid w:val="002809DC"/>
    <w:rsid w:val="00280C05"/>
    <w:rsid w:val="00280F61"/>
    <w:rsid w:val="00280F7E"/>
    <w:rsid w:val="0028120A"/>
    <w:rsid w:val="002814B8"/>
    <w:rsid w:val="00281E10"/>
    <w:rsid w:val="00282629"/>
    <w:rsid w:val="0028368E"/>
    <w:rsid w:val="00285759"/>
    <w:rsid w:val="00286CC9"/>
    <w:rsid w:val="00286EB1"/>
    <w:rsid w:val="00286F6C"/>
    <w:rsid w:val="00287567"/>
    <w:rsid w:val="002877D9"/>
    <w:rsid w:val="00287C09"/>
    <w:rsid w:val="00290BA0"/>
    <w:rsid w:val="00290C0B"/>
    <w:rsid w:val="00290EA3"/>
    <w:rsid w:val="002912DE"/>
    <w:rsid w:val="0029132B"/>
    <w:rsid w:val="0029144A"/>
    <w:rsid w:val="00291458"/>
    <w:rsid w:val="002934BC"/>
    <w:rsid w:val="0029362F"/>
    <w:rsid w:val="00293C04"/>
    <w:rsid w:val="002940CC"/>
    <w:rsid w:val="00294CDE"/>
    <w:rsid w:val="00294EA4"/>
    <w:rsid w:val="00294EBC"/>
    <w:rsid w:val="0029552A"/>
    <w:rsid w:val="002957A7"/>
    <w:rsid w:val="00295DFF"/>
    <w:rsid w:val="0029603B"/>
    <w:rsid w:val="00296503"/>
    <w:rsid w:val="002973DA"/>
    <w:rsid w:val="00297AE1"/>
    <w:rsid w:val="002A0118"/>
    <w:rsid w:val="002A033D"/>
    <w:rsid w:val="002A0443"/>
    <w:rsid w:val="002A11B5"/>
    <w:rsid w:val="002A1550"/>
    <w:rsid w:val="002A1798"/>
    <w:rsid w:val="002A2E1D"/>
    <w:rsid w:val="002A2F36"/>
    <w:rsid w:val="002A3262"/>
    <w:rsid w:val="002A3AB5"/>
    <w:rsid w:val="002A42DB"/>
    <w:rsid w:val="002A4463"/>
    <w:rsid w:val="002A5D2F"/>
    <w:rsid w:val="002A5F98"/>
    <w:rsid w:val="002A6520"/>
    <w:rsid w:val="002A6B87"/>
    <w:rsid w:val="002A6D01"/>
    <w:rsid w:val="002A7784"/>
    <w:rsid w:val="002B0537"/>
    <w:rsid w:val="002B0AA5"/>
    <w:rsid w:val="002B1A90"/>
    <w:rsid w:val="002B231E"/>
    <w:rsid w:val="002B247F"/>
    <w:rsid w:val="002B2838"/>
    <w:rsid w:val="002B2D0A"/>
    <w:rsid w:val="002B2F4A"/>
    <w:rsid w:val="002B2F5F"/>
    <w:rsid w:val="002B2FCC"/>
    <w:rsid w:val="002B40DA"/>
    <w:rsid w:val="002B4795"/>
    <w:rsid w:val="002B4FDD"/>
    <w:rsid w:val="002B5ADF"/>
    <w:rsid w:val="002B5C70"/>
    <w:rsid w:val="002B5F44"/>
    <w:rsid w:val="002B79D8"/>
    <w:rsid w:val="002B7B39"/>
    <w:rsid w:val="002C0094"/>
    <w:rsid w:val="002C027A"/>
    <w:rsid w:val="002C070A"/>
    <w:rsid w:val="002C19A2"/>
    <w:rsid w:val="002C1FAB"/>
    <w:rsid w:val="002C244F"/>
    <w:rsid w:val="002C2D06"/>
    <w:rsid w:val="002C4E59"/>
    <w:rsid w:val="002C4FEB"/>
    <w:rsid w:val="002C53EF"/>
    <w:rsid w:val="002C53F9"/>
    <w:rsid w:val="002C5858"/>
    <w:rsid w:val="002C59D2"/>
    <w:rsid w:val="002C638B"/>
    <w:rsid w:val="002C64A4"/>
    <w:rsid w:val="002C657C"/>
    <w:rsid w:val="002C6644"/>
    <w:rsid w:val="002C6687"/>
    <w:rsid w:val="002C67C2"/>
    <w:rsid w:val="002C6AF4"/>
    <w:rsid w:val="002C6B85"/>
    <w:rsid w:val="002C70E2"/>
    <w:rsid w:val="002C7740"/>
    <w:rsid w:val="002D06BE"/>
    <w:rsid w:val="002D2599"/>
    <w:rsid w:val="002D27EF"/>
    <w:rsid w:val="002D2911"/>
    <w:rsid w:val="002D30D2"/>
    <w:rsid w:val="002D3567"/>
    <w:rsid w:val="002D4840"/>
    <w:rsid w:val="002D4D15"/>
    <w:rsid w:val="002D564E"/>
    <w:rsid w:val="002D56EE"/>
    <w:rsid w:val="002D5A4E"/>
    <w:rsid w:val="002D6A2A"/>
    <w:rsid w:val="002D6BC6"/>
    <w:rsid w:val="002D6F2C"/>
    <w:rsid w:val="002D7DCD"/>
    <w:rsid w:val="002D7E7A"/>
    <w:rsid w:val="002D7FD8"/>
    <w:rsid w:val="002E0080"/>
    <w:rsid w:val="002E1FFA"/>
    <w:rsid w:val="002E245F"/>
    <w:rsid w:val="002E24C7"/>
    <w:rsid w:val="002E3E31"/>
    <w:rsid w:val="002E489B"/>
    <w:rsid w:val="002E5105"/>
    <w:rsid w:val="002E5AC7"/>
    <w:rsid w:val="002E63FE"/>
    <w:rsid w:val="002E6874"/>
    <w:rsid w:val="002E69B1"/>
    <w:rsid w:val="002E6F82"/>
    <w:rsid w:val="002E6F92"/>
    <w:rsid w:val="002F0408"/>
    <w:rsid w:val="002F09CA"/>
    <w:rsid w:val="002F1122"/>
    <w:rsid w:val="002F16B1"/>
    <w:rsid w:val="002F1A0F"/>
    <w:rsid w:val="002F2148"/>
    <w:rsid w:val="002F2631"/>
    <w:rsid w:val="002F2651"/>
    <w:rsid w:val="002F2FCC"/>
    <w:rsid w:val="002F35F4"/>
    <w:rsid w:val="002F369F"/>
    <w:rsid w:val="002F36C4"/>
    <w:rsid w:val="002F46F8"/>
    <w:rsid w:val="002F4C9E"/>
    <w:rsid w:val="002F5087"/>
    <w:rsid w:val="002F5AD5"/>
    <w:rsid w:val="002F6399"/>
    <w:rsid w:val="002F6C36"/>
    <w:rsid w:val="002F7049"/>
    <w:rsid w:val="002F7541"/>
    <w:rsid w:val="0030033A"/>
    <w:rsid w:val="00300375"/>
    <w:rsid w:val="0030056A"/>
    <w:rsid w:val="00300911"/>
    <w:rsid w:val="00301D91"/>
    <w:rsid w:val="003020EC"/>
    <w:rsid w:val="0030257B"/>
    <w:rsid w:val="00302A66"/>
    <w:rsid w:val="00302CC1"/>
    <w:rsid w:val="00303302"/>
    <w:rsid w:val="0030443C"/>
    <w:rsid w:val="003052FE"/>
    <w:rsid w:val="0030552F"/>
    <w:rsid w:val="00305F0D"/>
    <w:rsid w:val="00306326"/>
    <w:rsid w:val="00306451"/>
    <w:rsid w:val="0030648F"/>
    <w:rsid w:val="003064C7"/>
    <w:rsid w:val="00306500"/>
    <w:rsid w:val="00306855"/>
    <w:rsid w:val="00307348"/>
    <w:rsid w:val="00307613"/>
    <w:rsid w:val="00307763"/>
    <w:rsid w:val="003100D3"/>
    <w:rsid w:val="003100F3"/>
    <w:rsid w:val="00311529"/>
    <w:rsid w:val="00312010"/>
    <w:rsid w:val="00312DEF"/>
    <w:rsid w:val="003131A3"/>
    <w:rsid w:val="00313880"/>
    <w:rsid w:val="00314AA3"/>
    <w:rsid w:val="00314B31"/>
    <w:rsid w:val="00315448"/>
    <w:rsid w:val="00315563"/>
    <w:rsid w:val="00315ECC"/>
    <w:rsid w:val="003173D1"/>
    <w:rsid w:val="00320C38"/>
    <w:rsid w:val="00321A47"/>
    <w:rsid w:val="00321E8B"/>
    <w:rsid w:val="00322A23"/>
    <w:rsid w:val="00322F50"/>
    <w:rsid w:val="003233BE"/>
    <w:rsid w:val="0032351E"/>
    <w:rsid w:val="00324102"/>
    <w:rsid w:val="00324392"/>
    <w:rsid w:val="003249D5"/>
    <w:rsid w:val="00324BB6"/>
    <w:rsid w:val="00324E4B"/>
    <w:rsid w:val="00325FD5"/>
    <w:rsid w:val="003262A9"/>
    <w:rsid w:val="0032784A"/>
    <w:rsid w:val="00327B9E"/>
    <w:rsid w:val="00330202"/>
    <w:rsid w:val="003303C3"/>
    <w:rsid w:val="00330534"/>
    <w:rsid w:val="00330B56"/>
    <w:rsid w:val="003311B3"/>
    <w:rsid w:val="0033152D"/>
    <w:rsid w:val="003315B4"/>
    <w:rsid w:val="00331C0B"/>
    <w:rsid w:val="00332369"/>
    <w:rsid w:val="00333738"/>
    <w:rsid w:val="003339F0"/>
    <w:rsid w:val="00333A48"/>
    <w:rsid w:val="00333ABA"/>
    <w:rsid w:val="003348B1"/>
    <w:rsid w:val="00334E62"/>
    <w:rsid w:val="0033589E"/>
    <w:rsid w:val="003367A9"/>
    <w:rsid w:val="00336833"/>
    <w:rsid w:val="00336F9D"/>
    <w:rsid w:val="003377CC"/>
    <w:rsid w:val="00337CEA"/>
    <w:rsid w:val="003402A8"/>
    <w:rsid w:val="00340A7B"/>
    <w:rsid w:val="00341158"/>
    <w:rsid w:val="00341918"/>
    <w:rsid w:val="00343F90"/>
    <w:rsid w:val="003440FA"/>
    <w:rsid w:val="003444A9"/>
    <w:rsid w:val="0034488E"/>
    <w:rsid w:val="00344997"/>
    <w:rsid w:val="00344C3C"/>
    <w:rsid w:val="0034684E"/>
    <w:rsid w:val="00347ED9"/>
    <w:rsid w:val="00347F72"/>
    <w:rsid w:val="0035038A"/>
    <w:rsid w:val="00350C5C"/>
    <w:rsid w:val="00350C93"/>
    <w:rsid w:val="00351421"/>
    <w:rsid w:val="00351F89"/>
    <w:rsid w:val="003527F8"/>
    <w:rsid w:val="00352D51"/>
    <w:rsid w:val="003535C4"/>
    <w:rsid w:val="00353AFE"/>
    <w:rsid w:val="00354013"/>
    <w:rsid w:val="00354098"/>
    <w:rsid w:val="003545B6"/>
    <w:rsid w:val="00356AC0"/>
    <w:rsid w:val="00360733"/>
    <w:rsid w:val="0036091F"/>
    <w:rsid w:val="003610FA"/>
    <w:rsid w:val="003614CF"/>
    <w:rsid w:val="00361F6D"/>
    <w:rsid w:val="003622C4"/>
    <w:rsid w:val="00362464"/>
    <w:rsid w:val="00362922"/>
    <w:rsid w:val="003633CC"/>
    <w:rsid w:val="00363592"/>
    <w:rsid w:val="003636A7"/>
    <w:rsid w:val="0036390C"/>
    <w:rsid w:val="00363977"/>
    <w:rsid w:val="00364FC2"/>
    <w:rsid w:val="00365527"/>
    <w:rsid w:val="00365AAB"/>
    <w:rsid w:val="00365B85"/>
    <w:rsid w:val="0036715E"/>
    <w:rsid w:val="0037022A"/>
    <w:rsid w:val="00370280"/>
    <w:rsid w:val="003706DF"/>
    <w:rsid w:val="00370B5A"/>
    <w:rsid w:val="003714A6"/>
    <w:rsid w:val="003715BD"/>
    <w:rsid w:val="00371768"/>
    <w:rsid w:val="00371B26"/>
    <w:rsid w:val="0037211B"/>
    <w:rsid w:val="003723D9"/>
    <w:rsid w:val="0037279A"/>
    <w:rsid w:val="00372BD3"/>
    <w:rsid w:val="0037358E"/>
    <w:rsid w:val="003741CA"/>
    <w:rsid w:val="00374429"/>
    <w:rsid w:val="003755DE"/>
    <w:rsid w:val="00375FA1"/>
    <w:rsid w:val="00376904"/>
    <w:rsid w:val="00376C13"/>
    <w:rsid w:val="003770AD"/>
    <w:rsid w:val="003810E0"/>
    <w:rsid w:val="00381450"/>
    <w:rsid w:val="00381F2C"/>
    <w:rsid w:val="003826C1"/>
    <w:rsid w:val="0038270F"/>
    <w:rsid w:val="00382FAE"/>
    <w:rsid w:val="003831BC"/>
    <w:rsid w:val="003849DB"/>
    <w:rsid w:val="00384E10"/>
    <w:rsid w:val="00385847"/>
    <w:rsid w:val="00385AFB"/>
    <w:rsid w:val="003860CA"/>
    <w:rsid w:val="003869A3"/>
    <w:rsid w:val="00386C1E"/>
    <w:rsid w:val="00386DCB"/>
    <w:rsid w:val="003873D4"/>
    <w:rsid w:val="00387C40"/>
    <w:rsid w:val="00390C69"/>
    <w:rsid w:val="00390F89"/>
    <w:rsid w:val="003914AB"/>
    <w:rsid w:val="003916A1"/>
    <w:rsid w:val="00391AA2"/>
    <w:rsid w:val="00391F80"/>
    <w:rsid w:val="00391FFC"/>
    <w:rsid w:val="003920B2"/>
    <w:rsid w:val="00392496"/>
    <w:rsid w:val="00392D38"/>
    <w:rsid w:val="00393642"/>
    <w:rsid w:val="00393813"/>
    <w:rsid w:val="00393843"/>
    <w:rsid w:val="00393C1D"/>
    <w:rsid w:val="00394456"/>
    <w:rsid w:val="0039514A"/>
    <w:rsid w:val="00395474"/>
    <w:rsid w:val="00395569"/>
    <w:rsid w:val="00395747"/>
    <w:rsid w:val="003966D1"/>
    <w:rsid w:val="00396B74"/>
    <w:rsid w:val="003973A3"/>
    <w:rsid w:val="00397587"/>
    <w:rsid w:val="00397758"/>
    <w:rsid w:val="00397803"/>
    <w:rsid w:val="003A0D10"/>
    <w:rsid w:val="003A13B6"/>
    <w:rsid w:val="003A186D"/>
    <w:rsid w:val="003A3155"/>
    <w:rsid w:val="003A4887"/>
    <w:rsid w:val="003A5098"/>
    <w:rsid w:val="003A561E"/>
    <w:rsid w:val="003A56D0"/>
    <w:rsid w:val="003A57EB"/>
    <w:rsid w:val="003A5FD5"/>
    <w:rsid w:val="003A61EB"/>
    <w:rsid w:val="003A6905"/>
    <w:rsid w:val="003A6E59"/>
    <w:rsid w:val="003A70A5"/>
    <w:rsid w:val="003A715D"/>
    <w:rsid w:val="003A74A2"/>
    <w:rsid w:val="003A7FB0"/>
    <w:rsid w:val="003B009A"/>
    <w:rsid w:val="003B00CB"/>
    <w:rsid w:val="003B05D1"/>
    <w:rsid w:val="003B09D5"/>
    <w:rsid w:val="003B0F80"/>
    <w:rsid w:val="003B127B"/>
    <w:rsid w:val="003B1965"/>
    <w:rsid w:val="003B2793"/>
    <w:rsid w:val="003B3004"/>
    <w:rsid w:val="003B37C2"/>
    <w:rsid w:val="003B4132"/>
    <w:rsid w:val="003B4550"/>
    <w:rsid w:val="003B57B8"/>
    <w:rsid w:val="003B69FA"/>
    <w:rsid w:val="003B69FF"/>
    <w:rsid w:val="003B7B94"/>
    <w:rsid w:val="003C0081"/>
    <w:rsid w:val="003C056C"/>
    <w:rsid w:val="003C0F1C"/>
    <w:rsid w:val="003C20F2"/>
    <w:rsid w:val="003C23EE"/>
    <w:rsid w:val="003C2574"/>
    <w:rsid w:val="003C32EB"/>
    <w:rsid w:val="003C3536"/>
    <w:rsid w:val="003C3C01"/>
    <w:rsid w:val="003C4704"/>
    <w:rsid w:val="003C4E38"/>
    <w:rsid w:val="003C5411"/>
    <w:rsid w:val="003C56ED"/>
    <w:rsid w:val="003C5B3B"/>
    <w:rsid w:val="003C6645"/>
    <w:rsid w:val="003C66E7"/>
    <w:rsid w:val="003C781B"/>
    <w:rsid w:val="003C791B"/>
    <w:rsid w:val="003D09AD"/>
    <w:rsid w:val="003D16DF"/>
    <w:rsid w:val="003D17A4"/>
    <w:rsid w:val="003D1879"/>
    <w:rsid w:val="003D1B51"/>
    <w:rsid w:val="003D1E49"/>
    <w:rsid w:val="003D22EF"/>
    <w:rsid w:val="003D23DE"/>
    <w:rsid w:val="003D2443"/>
    <w:rsid w:val="003D3548"/>
    <w:rsid w:val="003D3A94"/>
    <w:rsid w:val="003D3B14"/>
    <w:rsid w:val="003D3B88"/>
    <w:rsid w:val="003D422F"/>
    <w:rsid w:val="003D5644"/>
    <w:rsid w:val="003D57E3"/>
    <w:rsid w:val="003D62B5"/>
    <w:rsid w:val="003D6EB3"/>
    <w:rsid w:val="003D7B95"/>
    <w:rsid w:val="003D7E00"/>
    <w:rsid w:val="003D7E68"/>
    <w:rsid w:val="003E02CB"/>
    <w:rsid w:val="003E038A"/>
    <w:rsid w:val="003E0E24"/>
    <w:rsid w:val="003E0F6D"/>
    <w:rsid w:val="003E11B2"/>
    <w:rsid w:val="003E169E"/>
    <w:rsid w:val="003E39E9"/>
    <w:rsid w:val="003E3FB5"/>
    <w:rsid w:val="003E4456"/>
    <w:rsid w:val="003E53B9"/>
    <w:rsid w:val="003E5436"/>
    <w:rsid w:val="003E660E"/>
    <w:rsid w:val="003E6D8F"/>
    <w:rsid w:val="003E7406"/>
    <w:rsid w:val="003E7ADF"/>
    <w:rsid w:val="003F0079"/>
    <w:rsid w:val="003F0B6C"/>
    <w:rsid w:val="003F0E3D"/>
    <w:rsid w:val="003F14D9"/>
    <w:rsid w:val="003F1650"/>
    <w:rsid w:val="003F3D8E"/>
    <w:rsid w:val="003F3DA0"/>
    <w:rsid w:val="003F4159"/>
    <w:rsid w:val="003F556F"/>
    <w:rsid w:val="003F5BE4"/>
    <w:rsid w:val="003F68F6"/>
    <w:rsid w:val="003F739F"/>
    <w:rsid w:val="003F76A7"/>
    <w:rsid w:val="003F76DB"/>
    <w:rsid w:val="003F7CD2"/>
    <w:rsid w:val="003F7EA3"/>
    <w:rsid w:val="00400138"/>
    <w:rsid w:val="00400CAE"/>
    <w:rsid w:val="00401B96"/>
    <w:rsid w:val="00402168"/>
    <w:rsid w:val="00402692"/>
    <w:rsid w:val="00402EE0"/>
    <w:rsid w:val="00403C5B"/>
    <w:rsid w:val="004041D4"/>
    <w:rsid w:val="0040454B"/>
    <w:rsid w:val="00404AF2"/>
    <w:rsid w:val="00404E03"/>
    <w:rsid w:val="00405107"/>
    <w:rsid w:val="00405153"/>
    <w:rsid w:val="00405769"/>
    <w:rsid w:val="0041009E"/>
    <w:rsid w:val="00410387"/>
    <w:rsid w:val="0041068C"/>
    <w:rsid w:val="00410897"/>
    <w:rsid w:val="00410F6C"/>
    <w:rsid w:val="00410FAB"/>
    <w:rsid w:val="0041129B"/>
    <w:rsid w:val="004115A7"/>
    <w:rsid w:val="00411EDE"/>
    <w:rsid w:val="00412096"/>
    <w:rsid w:val="004123DE"/>
    <w:rsid w:val="00412BAA"/>
    <w:rsid w:val="00413564"/>
    <w:rsid w:val="00413E59"/>
    <w:rsid w:val="0041402D"/>
    <w:rsid w:val="00414A18"/>
    <w:rsid w:val="00415FC3"/>
    <w:rsid w:val="0041604A"/>
    <w:rsid w:val="00416417"/>
    <w:rsid w:val="00416E34"/>
    <w:rsid w:val="004173E2"/>
    <w:rsid w:val="00417753"/>
    <w:rsid w:val="004179CA"/>
    <w:rsid w:val="00417F4D"/>
    <w:rsid w:val="0042066D"/>
    <w:rsid w:val="00420E4B"/>
    <w:rsid w:val="00421157"/>
    <w:rsid w:val="00421496"/>
    <w:rsid w:val="00422221"/>
    <w:rsid w:val="00422760"/>
    <w:rsid w:val="00422B4E"/>
    <w:rsid w:val="00422E23"/>
    <w:rsid w:val="0042335A"/>
    <w:rsid w:val="00423A07"/>
    <w:rsid w:val="00423BD0"/>
    <w:rsid w:val="00423C6E"/>
    <w:rsid w:val="00423F2F"/>
    <w:rsid w:val="00424930"/>
    <w:rsid w:val="004259CB"/>
    <w:rsid w:val="004265DD"/>
    <w:rsid w:val="00426C71"/>
    <w:rsid w:val="004273CE"/>
    <w:rsid w:val="00427D47"/>
    <w:rsid w:val="00427EA7"/>
    <w:rsid w:val="00431199"/>
    <w:rsid w:val="00431307"/>
    <w:rsid w:val="0043171F"/>
    <w:rsid w:val="00431FE1"/>
    <w:rsid w:val="004325E3"/>
    <w:rsid w:val="00432891"/>
    <w:rsid w:val="00432E9A"/>
    <w:rsid w:val="004330DC"/>
    <w:rsid w:val="00433977"/>
    <w:rsid w:val="00433E71"/>
    <w:rsid w:val="0043401D"/>
    <w:rsid w:val="00434325"/>
    <w:rsid w:val="00436DD3"/>
    <w:rsid w:val="00437D46"/>
    <w:rsid w:val="0044097A"/>
    <w:rsid w:val="00441317"/>
    <w:rsid w:val="00441D0F"/>
    <w:rsid w:val="004434AA"/>
    <w:rsid w:val="004435D7"/>
    <w:rsid w:val="00443BBF"/>
    <w:rsid w:val="00443FBB"/>
    <w:rsid w:val="00444A0E"/>
    <w:rsid w:val="00444F3D"/>
    <w:rsid w:val="004455E4"/>
    <w:rsid w:val="0044583F"/>
    <w:rsid w:val="00445AEC"/>
    <w:rsid w:val="00445FA7"/>
    <w:rsid w:val="00446370"/>
    <w:rsid w:val="00446747"/>
    <w:rsid w:val="0044686A"/>
    <w:rsid w:val="0044693A"/>
    <w:rsid w:val="00446EB5"/>
    <w:rsid w:val="00447946"/>
    <w:rsid w:val="00447D86"/>
    <w:rsid w:val="004501CE"/>
    <w:rsid w:val="0045021D"/>
    <w:rsid w:val="00451251"/>
    <w:rsid w:val="00452575"/>
    <w:rsid w:val="004530DB"/>
    <w:rsid w:val="00453821"/>
    <w:rsid w:val="004538AC"/>
    <w:rsid w:val="00453C51"/>
    <w:rsid w:val="00453E92"/>
    <w:rsid w:val="00455050"/>
    <w:rsid w:val="004563A3"/>
    <w:rsid w:val="004567C0"/>
    <w:rsid w:val="00456AEA"/>
    <w:rsid w:val="00456CDC"/>
    <w:rsid w:val="004574E1"/>
    <w:rsid w:val="004579FF"/>
    <w:rsid w:val="00457D36"/>
    <w:rsid w:val="00460592"/>
    <w:rsid w:val="00460AC0"/>
    <w:rsid w:val="00460C74"/>
    <w:rsid w:val="004619BD"/>
    <w:rsid w:val="00461CC6"/>
    <w:rsid w:val="004624AA"/>
    <w:rsid w:val="00462F83"/>
    <w:rsid w:val="00463360"/>
    <w:rsid w:val="00463557"/>
    <w:rsid w:val="004638C1"/>
    <w:rsid w:val="00464191"/>
    <w:rsid w:val="00464408"/>
    <w:rsid w:val="004649C9"/>
    <w:rsid w:val="00464F73"/>
    <w:rsid w:val="004658C9"/>
    <w:rsid w:val="004661C7"/>
    <w:rsid w:val="00466568"/>
    <w:rsid w:val="00466602"/>
    <w:rsid w:val="00467C76"/>
    <w:rsid w:val="00470042"/>
    <w:rsid w:val="00471D53"/>
    <w:rsid w:val="00471F28"/>
    <w:rsid w:val="00472DE7"/>
    <w:rsid w:val="004732E7"/>
    <w:rsid w:val="00474AC0"/>
    <w:rsid w:val="00474CB6"/>
    <w:rsid w:val="00474F18"/>
    <w:rsid w:val="00475773"/>
    <w:rsid w:val="00476148"/>
    <w:rsid w:val="00476555"/>
    <w:rsid w:val="00476D74"/>
    <w:rsid w:val="004771F5"/>
    <w:rsid w:val="00477372"/>
    <w:rsid w:val="00477424"/>
    <w:rsid w:val="0047750A"/>
    <w:rsid w:val="0047783D"/>
    <w:rsid w:val="004802BC"/>
    <w:rsid w:val="00480338"/>
    <w:rsid w:val="00480AB0"/>
    <w:rsid w:val="0048214E"/>
    <w:rsid w:val="004829E6"/>
    <w:rsid w:val="00482A51"/>
    <w:rsid w:val="00482B0E"/>
    <w:rsid w:val="00483920"/>
    <w:rsid w:val="00483B3D"/>
    <w:rsid w:val="00483FA7"/>
    <w:rsid w:val="0048401B"/>
    <w:rsid w:val="004840E9"/>
    <w:rsid w:val="00484186"/>
    <w:rsid w:val="004841EC"/>
    <w:rsid w:val="00484C0A"/>
    <w:rsid w:val="00484FC5"/>
    <w:rsid w:val="00485B4A"/>
    <w:rsid w:val="00485DB7"/>
    <w:rsid w:val="00486DB4"/>
    <w:rsid w:val="00486EDA"/>
    <w:rsid w:val="0048749A"/>
    <w:rsid w:val="00487987"/>
    <w:rsid w:val="00487BDE"/>
    <w:rsid w:val="00490B94"/>
    <w:rsid w:val="00492355"/>
    <w:rsid w:val="00492385"/>
    <w:rsid w:val="00493118"/>
    <w:rsid w:val="00493CA0"/>
    <w:rsid w:val="00493EA6"/>
    <w:rsid w:val="00494175"/>
    <w:rsid w:val="00494683"/>
    <w:rsid w:val="00494BC7"/>
    <w:rsid w:val="004955C8"/>
    <w:rsid w:val="00495976"/>
    <w:rsid w:val="00496511"/>
    <w:rsid w:val="00496D63"/>
    <w:rsid w:val="00496F45"/>
    <w:rsid w:val="00496F77"/>
    <w:rsid w:val="004972B8"/>
    <w:rsid w:val="004972D3"/>
    <w:rsid w:val="0049799F"/>
    <w:rsid w:val="004A00BF"/>
    <w:rsid w:val="004A02D6"/>
    <w:rsid w:val="004A1675"/>
    <w:rsid w:val="004A170B"/>
    <w:rsid w:val="004A1787"/>
    <w:rsid w:val="004A22F8"/>
    <w:rsid w:val="004A34BE"/>
    <w:rsid w:val="004A353B"/>
    <w:rsid w:val="004A497E"/>
    <w:rsid w:val="004A4D4A"/>
    <w:rsid w:val="004A4E48"/>
    <w:rsid w:val="004A520E"/>
    <w:rsid w:val="004A5F64"/>
    <w:rsid w:val="004A6344"/>
    <w:rsid w:val="004A642D"/>
    <w:rsid w:val="004A65B1"/>
    <w:rsid w:val="004A73A4"/>
    <w:rsid w:val="004A77B8"/>
    <w:rsid w:val="004B038B"/>
    <w:rsid w:val="004B07E0"/>
    <w:rsid w:val="004B097B"/>
    <w:rsid w:val="004B144B"/>
    <w:rsid w:val="004B146C"/>
    <w:rsid w:val="004B1C1D"/>
    <w:rsid w:val="004B36A0"/>
    <w:rsid w:val="004B4385"/>
    <w:rsid w:val="004B4692"/>
    <w:rsid w:val="004B4F98"/>
    <w:rsid w:val="004B4FAC"/>
    <w:rsid w:val="004B55BD"/>
    <w:rsid w:val="004B595A"/>
    <w:rsid w:val="004B6010"/>
    <w:rsid w:val="004B6127"/>
    <w:rsid w:val="004B63C8"/>
    <w:rsid w:val="004B6E3B"/>
    <w:rsid w:val="004B6EC0"/>
    <w:rsid w:val="004C02B8"/>
    <w:rsid w:val="004C034D"/>
    <w:rsid w:val="004C0643"/>
    <w:rsid w:val="004C07EA"/>
    <w:rsid w:val="004C0E77"/>
    <w:rsid w:val="004C1138"/>
    <w:rsid w:val="004C1522"/>
    <w:rsid w:val="004C17E3"/>
    <w:rsid w:val="004C1A76"/>
    <w:rsid w:val="004C1AFD"/>
    <w:rsid w:val="004C1B68"/>
    <w:rsid w:val="004C1BB9"/>
    <w:rsid w:val="004C2619"/>
    <w:rsid w:val="004C2C91"/>
    <w:rsid w:val="004C30A1"/>
    <w:rsid w:val="004C3699"/>
    <w:rsid w:val="004C37C3"/>
    <w:rsid w:val="004C3AA5"/>
    <w:rsid w:val="004C4E8F"/>
    <w:rsid w:val="004C5290"/>
    <w:rsid w:val="004C696B"/>
    <w:rsid w:val="004C745C"/>
    <w:rsid w:val="004C7657"/>
    <w:rsid w:val="004D0550"/>
    <w:rsid w:val="004D0A02"/>
    <w:rsid w:val="004D0D2E"/>
    <w:rsid w:val="004D1634"/>
    <w:rsid w:val="004D1E37"/>
    <w:rsid w:val="004D2941"/>
    <w:rsid w:val="004D3BB8"/>
    <w:rsid w:val="004D3E81"/>
    <w:rsid w:val="004D414A"/>
    <w:rsid w:val="004D4218"/>
    <w:rsid w:val="004D4CF7"/>
    <w:rsid w:val="004D4D36"/>
    <w:rsid w:val="004D6146"/>
    <w:rsid w:val="004D714C"/>
    <w:rsid w:val="004D745C"/>
    <w:rsid w:val="004E0932"/>
    <w:rsid w:val="004E0F88"/>
    <w:rsid w:val="004E1351"/>
    <w:rsid w:val="004E1928"/>
    <w:rsid w:val="004E2613"/>
    <w:rsid w:val="004E2634"/>
    <w:rsid w:val="004E2B1E"/>
    <w:rsid w:val="004E3830"/>
    <w:rsid w:val="004E43DF"/>
    <w:rsid w:val="004E4536"/>
    <w:rsid w:val="004E5328"/>
    <w:rsid w:val="004E5C54"/>
    <w:rsid w:val="004E6B66"/>
    <w:rsid w:val="004E7533"/>
    <w:rsid w:val="004E77F5"/>
    <w:rsid w:val="004E7848"/>
    <w:rsid w:val="004F0815"/>
    <w:rsid w:val="004F08B7"/>
    <w:rsid w:val="004F0A96"/>
    <w:rsid w:val="004F0F02"/>
    <w:rsid w:val="004F2CA0"/>
    <w:rsid w:val="004F2F19"/>
    <w:rsid w:val="004F3D40"/>
    <w:rsid w:val="004F5000"/>
    <w:rsid w:val="004F523C"/>
    <w:rsid w:val="004F650E"/>
    <w:rsid w:val="004F6910"/>
    <w:rsid w:val="004F6EFC"/>
    <w:rsid w:val="005002C0"/>
    <w:rsid w:val="00500ED6"/>
    <w:rsid w:val="00500EF2"/>
    <w:rsid w:val="005014AF"/>
    <w:rsid w:val="00501FCE"/>
    <w:rsid w:val="0050208A"/>
    <w:rsid w:val="005020A0"/>
    <w:rsid w:val="00504747"/>
    <w:rsid w:val="005052B9"/>
    <w:rsid w:val="005057EF"/>
    <w:rsid w:val="0050644E"/>
    <w:rsid w:val="005069C4"/>
    <w:rsid w:val="00506CBC"/>
    <w:rsid w:val="0050784F"/>
    <w:rsid w:val="00507D3F"/>
    <w:rsid w:val="005103C1"/>
    <w:rsid w:val="005109EB"/>
    <w:rsid w:val="00511580"/>
    <w:rsid w:val="0051199E"/>
    <w:rsid w:val="00512378"/>
    <w:rsid w:val="005129B9"/>
    <w:rsid w:val="00513B2F"/>
    <w:rsid w:val="00513F63"/>
    <w:rsid w:val="00515816"/>
    <w:rsid w:val="0051753B"/>
    <w:rsid w:val="005179B2"/>
    <w:rsid w:val="00521467"/>
    <w:rsid w:val="00521FDC"/>
    <w:rsid w:val="00522CAB"/>
    <w:rsid w:val="005232BC"/>
    <w:rsid w:val="0052333F"/>
    <w:rsid w:val="00523E6A"/>
    <w:rsid w:val="00524442"/>
    <w:rsid w:val="00524791"/>
    <w:rsid w:val="0052540E"/>
    <w:rsid w:val="005263FF"/>
    <w:rsid w:val="005269A9"/>
    <w:rsid w:val="00527056"/>
    <w:rsid w:val="00527814"/>
    <w:rsid w:val="00527842"/>
    <w:rsid w:val="00527F97"/>
    <w:rsid w:val="00530178"/>
    <w:rsid w:val="00530ACB"/>
    <w:rsid w:val="00530F0F"/>
    <w:rsid w:val="00531085"/>
    <w:rsid w:val="005312C9"/>
    <w:rsid w:val="005317D5"/>
    <w:rsid w:val="00531A94"/>
    <w:rsid w:val="00532147"/>
    <w:rsid w:val="00532222"/>
    <w:rsid w:val="005323C5"/>
    <w:rsid w:val="0053344B"/>
    <w:rsid w:val="005357B1"/>
    <w:rsid w:val="00536222"/>
    <w:rsid w:val="00536615"/>
    <w:rsid w:val="00536FBD"/>
    <w:rsid w:val="005372AE"/>
    <w:rsid w:val="00537885"/>
    <w:rsid w:val="00537E51"/>
    <w:rsid w:val="00537EB1"/>
    <w:rsid w:val="00540189"/>
    <w:rsid w:val="005402FD"/>
    <w:rsid w:val="00541068"/>
    <w:rsid w:val="0054117E"/>
    <w:rsid w:val="0054126B"/>
    <w:rsid w:val="005415EF"/>
    <w:rsid w:val="0054172D"/>
    <w:rsid w:val="00541E3D"/>
    <w:rsid w:val="00541FEE"/>
    <w:rsid w:val="0054242A"/>
    <w:rsid w:val="00543058"/>
    <w:rsid w:val="00543A22"/>
    <w:rsid w:val="005445E0"/>
    <w:rsid w:val="00546850"/>
    <w:rsid w:val="00546B25"/>
    <w:rsid w:val="00547281"/>
    <w:rsid w:val="00547578"/>
    <w:rsid w:val="0054761E"/>
    <w:rsid w:val="00547827"/>
    <w:rsid w:val="0054798D"/>
    <w:rsid w:val="00547C2D"/>
    <w:rsid w:val="00547E5A"/>
    <w:rsid w:val="00550DDA"/>
    <w:rsid w:val="005517C5"/>
    <w:rsid w:val="0055279D"/>
    <w:rsid w:val="00552CFC"/>
    <w:rsid w:val="00553CFC"/>
    <w:rsid w:val="005551D7"/>
    <w:rsid w:val="005555FA"/>
    <w:rsid w:val="00555B04"/>
    <w:rsid w:val="00556826"/>
    <w:rsid w:val="00557174"/>
    <w:rsid w:val="00557706"/>
    <w:rsid w:val="00557C7A"/>
    <w:rsid w:val="005606DA"/>
    <w:rsid w:val="005637C5"/>
    <w:rsid w:val="0056546C"/>
    <w:rsid w:val="005656E4"/>
    <w:rsid w:val="00565C6D"/>
    <w:rsid w:val="00566E5F"/>
    <w:rsid w:val="00567394"/>
    <w:rsid w:val="00567411"/>
    <w:rsid w:val="005675C2"/>
    <w:rsid w:val="00567DEA"/>
    <w:rsid w:val="005704D9"/>
    <w:rsid w:val="005714B9"/>
    <w:rsid w:val="00571E0F"/>
    <w:rsid w:val="005721A9"/>
    <w:rsid w:val="005721FD"/>
    <w:rsid w:val="0057336C"/>
    <w:rsid w:val="0057421B"/>
    <w:rsid w:val="005747FF"/>
    <w:rsid w:val="00574B40"/>
    <w:rsid w:val="005751A3"/>
    <w:rsid w:val="00575B00"/>
    <w:rsid w:val="00576D10"/>
    <w:rsid w:val="00576DE7"/>
    <w:rsid w:val="00577080"/>
    <w:rsid w:val="00577CAB"/>
    <w:rsid w:val="005806A4"/>
    <w:rsid w:val="00580716"/>
    <w:rsid w:val="00580AAB"/>
    <w:rsid w:val="00582345"/>
    <w:rsid w:val="0058370D"/>
    <w:rsid w:val="005838F3"/>
    <w:rsid w:val="00583E74"/>
    <w:rsid w:val="0058441A"/>
    <w:rsid w:val="00584E4F"/>
    <w:rsid w:val="00585C52"/>
    <w:rsid w:val="00585F62"/>
    <w:rsid w:val="00586248"/>
    <w:rsid w:val="005864BE"/>
    <w:rsid w:val="00586D2B"/>
    <w:rsid w:val="00586FC5"/>
    <w:rsid w:val="005872B8"/>
    <w:rsid w:val="00587B27"/>
    <w:rsid w:val="005902DF"/>
    <w:rsid w:val="00590D3E"/>
    <w:rsid w:val="005917DC"/>
    <w:rsid w:val="00591EC3"/>
    <w:rsid w:val="005926B3"/>
    <w:rsid w:val="00592CA9"/>
    <w:rsid w:val="00592F52"/>
    <w:rsid w:val="005932D6"/>
    <w:rsid w:val="00593C93"/>
    <w:rsid w:val="00593E68"/>
    <w:rsid w:val="005948B2"/>
    <w:rsid w:val="005948FB"/>
    <w:rsid w:val="00594D4B"/>
    <w:rsid w:val="00595269"/>
    <w:rsid w:val="005959B3"/>
    <w:rsid w:val="00596084"/>
    <w:rsid w:val="005960BF"/>
    <w:rsid w:val="0059622F"/>
    <w:rsid w:val="0059643A"/>
    <w:rsid w:val="0059646C"/>
    <w:rsid w:val="0059654D"/>
    <w:rsid w:val="00596C4C"/>
    <w:rsid w:val="00597379"/>
    <w:rsid w:val="005974AF"/>
    <w:rsid w:val="00597A02"/>
    <w:rsid w:val="00597F31"/>
    <w:rsid w:val="005A0F31"/>
    <w:rsid w:val="005A111D"/>
    <w:rsid w:val="005A2120"/>
    <w:rsid w:val="005A3732"/>
    <w:rsid w:val="005A4323"/>
    <w:rsid w:val="005A65F6"/>
    <w:rsid w:val="005A6E1A"/>
    <w:rsid w:val="005A70FF"/>
    <w:rsid w:val="005A7121"/>
    <w:rsid w:val="005A7E7B"/>
    <w:rsid w:val="005A7FFD"/>
    <w:rsid w:val="005B11FA"/>
    <w:rsid w:val="005B21AB"/>
    <w:rsid w:val="005B23B0"/>
    <w:rsid w:val="005B365B"/>
    <w:rsid w:val="005B36D9"/>
    <w:rsid w:val="005B3AE7"/>
    <w:rsid w:val="005B42FC"/>
    <w:rsid w:val="005B46BE"/>
    <w:rsid w:val="005B4C50"/>
    <w:rsid w:val="005B4C99"/>
    <w:rsid w:val="005B54AD"/>
    <w:rsid w:val="005B60AB"/>
    <w:rsid w:val="005B6729"/>
    <w:rsid w:val="005B68A5"/>
    <w:rsid w:val="005B6D6F"/>
    <w:rsid w:val="005B7A4A"/>
    <w:rsid w:val="005C01DD"/>
    <w:rsid w:val="005C0D34"/>
    <w:rsid w:val="005C0E33"/>
    <w:rsid w:val="005C183F"/>
    <w:rsid w:val="005C1CCF"/>
    <w:rsid w:val="005C2034"/>
    <w:rsid w:val="005C297C"/>
    <w:rsid w:val="005C2CA6"/>
    <w:rsid w:val="005C3BBD"/>
    <w:rsid w:val="005C4D02"/>
    <w:rsid w:val="005C55B0"/>
    <w:rsid w:val="005C6E7B"/>
    <w:rsid w:val="005C6FCE"/>
    <w:rsid w:val="005C700B"/>
    <w:rsid w:val="005C7A9D"/>
    <w:rsid w:val="005D034A"/>
    <w:rsid w:val="005D0EA3"/>
    <w:rsid w:val="005D10E4"/>
    <w:rsid w:val="005D1397"/>
    <w:rsid w:val="005D1D1C"/>
    <w:rsid w:val="005D22DC"/>
    <w:rsid w:val="005D2581"/>
    <w:rsid w:val="005D25AB"/>
    <w:rsid w:val="005D2AFF"/>
    <w:rsid w:val="005D3293"/>
    <w:rsid w:val="005D4BAF"/>
    <w:rsid w:val="005D4D96"/>
    <w:rsid w:val="005D50D2"/>
    <w:rsid w:val="005D5888"/>
    <w:rsid w:val="005D6054"/>
    <w:rsid w:val="005D69A8"/>
    <w:rsid w:val="005D6E87"/>
    <w:rsid w:val="005D77A6"/>
    <w:rsid w:val="005D77B3"/>
    <w:rsid w:val="005E02C4"/>
    <w:rsid w:val="005E0873"/>
    <w:rsid w:val="005E0C23"/>
    <w:rsid w:val="005E0F53"/>
    <w:rsid w:val="005E14EC"/>
    <w:rsid w:val="005E3D92"/>
    <w:rsid w:val="005E429B"/>
    <w:rsid w:val="005E48FA"/>
    <w:rsid w:val="005E4976"/>
    <w:rsid w:val="005E4EFB"/>
    <w:rsid w:val="005E5A70"/>
    <w:rsid w:val="005E696D"/>
    <w:rsid w:val="005E7044"/>
    <w:rsid w:val="005E78BA"/>
    <w:rsid w:val="005E7C8B"/>
    <w:rsid w:val="005F1F8C"/>
    <w:rsid w:val="005F2258"/>
    <w:rsid w:val="005F256B"/>
    <w:rsid w:val="005F25BD"/>
    <w:rsid w:val="005F3838"/>
    <w:rsid w:val="005F4186"/>
    <w:rsid w:val="005F45A6"/>
    <w:rsid w:val="005F58A8"/>
    <w:rsid w:val="005F5A63"/>
    <w:rsid w:val="005F5F05"/>
    <w:rsid w:val="005F6285"/>
    <w:rsid w:val="005F6B1F"/>
    <w:rsid w:val="005F7E94"/>
    <w:rsid w:val="005F7F55"/>
    <w:rsid w:val="00600B8A"/>
    <w:rsid w:val="00600D27"/>
    <w:rsid w:val="00600F60"/>
    <w:rsid w:val="0060157C"/>
    <w:rsid w:val="006019D6"/>
    <w:rsid w:val="00601D32"/>
    <w:rsid w:val="00601FB5"/>
    <w:rsid w:val="00602240"/>
    <w:rsid w:val="0060248E"/>
    <w:rsid w:val="00602B08"/>
    <w:rsid w:val="006034AB"/>
    <w:rsid w:val="006039B3"/>
    <w:rsid w:val="00604CF2"/>
    <w:rsid w:val="00605176"/>
    <w:rsid w:val="0060571B"/>
    <w:rsid w:val="00605F63"/>
    <w:rsid w:val="0060654A"/>
    <w:rsid w:val="00606559"/>
    <w:rsid w:val="00606A3B"/>
    <w:rsid w:val="006100AE"/>
    <w:rsid w:val="0061063B"/>
    <w:rsid w:val="006108D2"/>
    <w:rsid w:val="006118A2"/>
    <w:rsid w:val="00612033"/>
    <w:rsid w:val="0061203A"/>
    <w:rsid w:val="00612C9A"/>
    <w:rsid w:val="006138B4"/>
    <w:rsid w:val="00613E42"/>
    <w:rsid w:val="0061463A"/>
    <w:rsid w:val="00615240"/>
    <w:rsid w:val="00615F79"/>
    <w:rsid w:val="00616913"/>
    <w:rsid w:val="006200DF"/>
    <w:rsid w:val="00620EEE"/>
    <w:rsid w:val="00620F17"/>
    <w:rsid w:val="00621FC3"/>
    <w:rsid w:val="00622523"/>
    <w:rsid w:val="0062263F"/>
    <w:rsid w:val="0062292C"/>
    <w:rsid w:val="00623013"/>
    <w:rsid w:val="00623DB7"/>
    <w:rsid w:val="00623EE0"/>
    <w:rsid w:val="00624F60"/>
    <w:rsid w:val="00625117"/>
    <w:rsid w:val="006256B8"/>
    <w:rsid w:val="00625A5B"/>
    <w:rsid w:val="0062678A"/>
    <w:rsid w:val="00627022"/>
    <w:rsid w:val="006277F5"/>
    <w:rsid w:val="00627A0A"/>
    <w:rsid w:val="00630788"/>
    <w:rsid w:val="0063216F"/>
    <w:rsid w:val="00632883"/>
    <w:rsid w:val="00632CA9"/>
    <w:rsid w:val="00633122"/>
    <w:rsid w:val="006337F0"/>
    <w:rsid w:val="006338EB"/>
    <w:rsid w:val="00633BE9"/>
    <w:rsid w:val="0063404C"/>
    <w:rsid w:val="00634278"/>
    <w:rsid w:val="00634BFB"/>
    <w:rsid w:val="00636244"/>
    <w:rsid w:val="00636393"/>
    <w:rsid w:val="00636643"/>
    <w:rsid w:val="006366BE"/>
    <w:rsid w:val="006369F5"/>
    <w:rsid w:val="00636F51"/>
    <w:rsid w:val="006378EB"/>
    <w:rsid w:val="00640313"/>
    <w:rsid w:val="00641535"/>
    <w:rsid w:val="00641A0E"/>
    <w:rsid w:val="00642A38"/>
    <w:rsid w:val="006432A2"/>
    <w:rsid w:val="00643342"/>
    <w:rsid w:val="00643950"/>
    <w:rsid w:val="006441B3"/>
    <w:rsid w:val="0064490F"/>
    <w:rsid w:val="00644AAA"/>
    <w:rsid w:val="00644DF6"/>
    <w:rsid w:val="00645325"/>
    <w:rsid w:val="0064561B"/>
    <w:rsid w:val="00645D6F"/>
    <w:rsid w:val="0064611C"/>
    <w:rsid w:val="00646982"/>
    <w:rsid w:val="00646B5D"/>
    <w:rsid w:val="00646D06"/>
    <w:rsid w:val="0064743C"/>
    <w:rsid w:val="00650292"/>
    <w:rsid w:val="00650818"/>
    <w:rsid w:val="00650EB0"/>
    <w:rsid w:val="006511AC"/>
    <w:rsid w:val="00651314"/>
    <w:rsid w:val="00651BD0"/>
    <w:rsid w:val="00651EF6"/>
    <w:rsid w:val="00651F7D"/>
    <w:rsid w:val="00652413"/>
    <w:rsid w:val="006524C8"/>
    <w:rsid w:val="006525A2"/>
    <w:rsid w:val="006526FD"/>
    <w:rsid w:val="00652F06"/>
    <w:rsid w:val="00652F07"/>
    <w:rsid w:val="00652F57"/>
    <w:rsid w:val="00653FB0"/>
    <w:rsid w:val="00654D29"/>
    <w:rsid w:val="0065522D"/>
    <w:rsid w:val="006560AE"/>
    <w:rsid w:val="006565BB"/>
    <w:rsid w:val="00662377"/>
    <w:rsid w:val="0066374E"/>
    <w:rsid w:val="00664771"/>
    <w:rsid w:val="00664B0D"/>
    <w:rsid w:val="00664C9E"/>
    <w:rsid w:val="00664D0D"/>
    <w:rsid w:val="006656EE"/>
    <w:rsid w:val="00665CB7"/>
    <w:rsid w:val="00666F2B"/>
    <w:rsid w:val="00670171"/>
    <w:rsid w:val="00670360"/>
    <w:rsid w:val="00670374"/>
    <w:rsid w:val="00670F54"/>
    <w:rsid w:val="006717E9"/>
    <w:rsid w:val="00672072"/>
    <w:rsid w:val="00672947"/>
    <w:rsid w:val="00673FCA"/>
    <w:rsid w:val="006750F2"/>
    <w:rsid w:val="00676B4D"/>
    <w:rsid w:val="00676E4D"/>
    <w:rsid w:val="00676FF4"/>
    <w:rsid w:val="00680992"/>
    <w:rsid w:val="00680E3A"/>
    <w:rsid w:val="00681047"/>
    <w:rsid w:val="006811AF"/>
    <w:rsid w:val="0068218A"/>
    <w:rsid w:val="0068283B"/>
    <w:rsid w:val="00682E1D"/>
    <w:rsid w:val="006832A2"/>
    <w:rsid w:val="00683AC2"/>
    <w:rsid w:val="00684A39"/>
    <w:rsid w:val="00685CE2"/>
    <w:rsid w:val="00685EBD"/>
    <w:rsid w:val="00686DBC"/>
    <w:rsid w:val="00687F17"/>
    <w:rsid w:val="006902E3"/>
    <w:rsid w:val="006907CC"/>
    <w:rsid w:val="00690CE1"/>
    <w:rsid w:val="00691462"/>
    <w:rsid w:val="00693A57"/>
    <w:rsid w:val="00694D67"/>
    <w:rsid w:val="00694DB8"/>
    <w:rsid w:val="00695278"/>
    <w:rsid w:val="00695CE9"/>
    <w:rsid w:val="00696805"/>
    <w:rsid w:val="00697356"/>
    <w:rsid w:val="00697A4E"/>
    <w:rsid w:val="006A00CD"/>
    <w:rsid w:val="006A024B"/>
    <w:rsid w:val="006A039A"/>
    <w:rsid w:val="006A0509"/>
    <w:rsid w:val="006A0B38"/>
    <w:rsid w:val="006A0DE5"/>
    <w:rsid w:val="006A1204"/>
    <w:rsid w:val="006A1622"/>
    <w:rsid w:val="006A1E05"/>
    <w:rsid w:val="006A272D"/>
    <w:rsid w:val="006A28F9"/>
    <w:rsid w:val="006A307D"/>
    <w:rsid w:val="006A36D2"/>
    <w:rsid w:val="006A3D77"/>
    <w:rsid w:val="006A487A"/>
    <w:rsid w:val="006A4A04"/>
    <w:rsid w:val="006A51F1"/>
    <w:rsid w:val="006A5DB8"/>
    <w:rsid w:val="006A5DBB"/>
    <w:rsid w:val="006A5E5E"/>
    <w:rsid w:val="006A5ED0"/>
    <w:rsid w:val="006A6003"/>
    <w:rsid w:val="006A6747"/>
    <w:rsid w:val="006A6BCC"/>
    <w:rsid w:val="006A7457"/>
    <w:rsid w:val="006A7898"/>
    <w:rsid w:val="006A7BC3"/>
    <w:rsid w:val="006B0461"/>
    <w:rsid w:val="006B0E4E"/>
    <w:rsid w:val="006B0E6C"/>
    <w:rsid w:val="006B15C8"/>
    <w:rsid w:val="006B1C40"/>
    <w:rsid w:val="006B2742"/>
    <w:rsid w:val="006B28F8"/>
    <w:rsid w:val="006B2E2D"/>
    <w:rsid w:val="006B3A3F"/>
    <w:rsid w:val="006B47D9"/>
    <w:rsid w:val="006B4D5A"/>
    <w:rsid w:val="006B550A"/>
    <w:rsid w:val="006B59A3"/>
    <w:rsid w:val="006B5ABB"/>
    <w:rsid w:val="006B5BA9"/>
    <w:rsid w:val="006B5F93"/>
    <w:rsid w:val="006B60E6"/>
    <w:rsid w:val="006B66B5"/>
    <w:rsid w:val="006B727C"/>
    <w:rsid w:val="006C0D8E"/>
    <w:rsid w:val="006C15BE"/>
    <w:rsid w:val="006C1711"/>
    <w:rsid w:val="006C1E7F"/>
    <w:rsid w:val="006C2056"/>
    <w:rsid w:val="006C2499"/>
    <w:rsid w:val="006C3EFD"/>
    <w:rsid w:val="006C48C8"/>
    <w:rsid w:val="006C4931"/>
    <w:rsid w:val="006C4EB4"/>
    <w:rsid w:val="006C5412"/>
    <w:rsid w:val="006C5CDF"/>
    <w:rsid w:val="006C6159"/>
    <w:rsid w:val="006C72A3"/>
    <w:rsid w:val="006C7358"/>
    <w:rsid w:val="006C74EC"/>
    <w:rsid w:val="006C79C7"/>
    <w:rsid w:val="006C7FAE"/>
    <w:rsid w:val="006D03A8"/>
    <w:rsid w:val="006D0DC7"/>
    <w:rsid w:val="006D16B3"/>
    <w:rsid w:val="006D18F2"/>
    <w:rsid w:val="006D1F2D"/>
    <w:rsid w:val="006D303A"/>
    <w:rsid w:val="006D3BB0"/>
    <w:rsid w:val="006D4D4A"/>
    <w:rsid w:val="006D4DFA"/>
    <w:rsid w:val="006D4F38"/>
    <w:rsid w:val="006D593D"/>
    <w:rsid w:val="006D6480"/>
    <w:rsid w:val="006D6599"/>
    <w:rsid w:val="006D7055"/>
    <w:rsid w:val="006D7327"/>
    <w:rsid w:val="006E095B"/>
    <w:rsid w:val="006E1088"/>
    <w:rsid w:val="006E126C"/>
    <w:rsid w:val="006E1D2E"/>
    <w:rsid w:val="006E22B2"/>
    <w:rsid w:val="006E22EE"/>
    <w:rsid w:val="006E33C1"/>
    <w:rsid w:val="006E3C54"/>
    <w:rsid w:val="006E5F4B"/>
    <w:rsid w:val="006E6CBD"/>
    <w:rsid w:val="006E6DEB"/>
    <w:rsid w:val="006E7B17"/>
    <w:rsid w:val="006F004D"/>
    <w:rsid w:val="006F0227"/>
    <w:rsid w:val="006F0A30"/>
    <w:rsid w:val="006F1A71"/>
    <w:rsid w:val="006F1D9E"/>
    <w:rsid w:val="006F1FAA"/>
    <w:rsid w:val="006F2737"/>
    <w:rsid w:val="006F2814"/>
    <w:rsid w:val="006F3213"/>
    <w:rsid w:val="006F32D2"/>
    <w:rsid w:val="006F3EF0"/>
    <w:rsid w:val="006F45B1"/>
    <w:rsid w:val="006F4E11"/>
    <w:rsid w:val="006F5322"/>
    <w:rsid w:val="006F56CB"/>
    <w:rsid w:val="006F5D34"/>
    <w:rsid w:val="006F5DB4"/>
    <w:rsid w:val="006F61A7"/>
    <w:rsid w:val="006F6204"/>
    <w:rsid w:val="006F6CC9"/>
    <w:rsid w:val="006F7A67"/>
    <w:rsid w:val="00700513"/>
    <w:rsid w:val="0070099C"/>
    <w:rsid w:val="00700ED1"/>
    <w:rsid w:val="0070107D"/>
    <w:rsid w:val="00701CA8"/>
    <w:rsid w:val="00702958"/>
    <w:rsid w:val="00702BF5"/>
    <w:rsid w:val="00702F89"/>
    <w:rsid w:val="007030BA"/>
    <w:rsid w:val="00703631"/>
    <w:rsid w:val="00703E46"/>
    <w:rsid w:val="007043D0"/>
    <w:rsid w:val="00704C21"/>
    <w:rsid w:val="007053BA"/>
    <w:rsid w:val="0070558D"/>
    <w:rsid w:val="00705813"/>
    <w:rsid w:val="00705C27"/>
    <w:rsid w:val="00705DA5"/>
    <w:rsid w:val="00705DCC"/>
    <w:rsid w:val="00706256"/>
    <w:rsid w:val="007063A4"/>
    <w:rsid w:val="00706F0A"/>
    <w:rsid w:val="007072B3"/>
    <w:rsid w:val="0070789A"/>
    <w:rsid w:val="00707A28"/>
    <w:rsid w:val="00707E4B"/>
    <w:rsid w:val="00710A0F"/>
    <w:rsid w:val="00710AAB"/>
    <w:rsid w:val="00710BD5"/>
    <w:rsid w:val="00711AF5"/>
    <w:rsid w:val="00711BB1"/>
    <w:rsid w:val="00712F44"/>
    <w:rsid w:val="0071323A"/>
    <w:rsid w:val="00713AEF"/>
    <w:rsid w:val="0071468C"/>
    <w:rsid w:val="007155F7"/>
    <w:rsid w:val="00715803"/>
    <w:rsid w:val="00715CC4"/>
    <w:rsid w:val="00716134"/>
    <w:rsid w:val="00716418"/>
    <w:rsid w:val="00720188"/>
    <w:rsid w:val="007203B0"/>
    <w:rsid w:val="007203FC"/>
    <w:rsid w:val="0072043A"/>
    <w:rsid w:val="00720593"/>
    <w:rsid w:val="00720B75"/>
    <w:rsid w:val="007211E9"/>
    <w:rsid w:val="00721662"/>
    <w:rsid w:val="007217B7"/>
    <w:rsid w:val="00723606"/>
    <w:rsid w:val="00724B41"/>
    <w:rsid w:val="00724CBB"/>
    <w:rsid w:val="00724F9C"/>
    <w:rsid w:val="00725004"/>
    <w:rsid w:val="0072536C"/>
    <w:rsid w:val="00726212"/>
    <w:rsid w:val="0072688A"/>
    <w:rsid w:val="007276BD"/>
    <w:rsid w:val="007279FD"/>
    <w:rsid w:val="0073073C"/>
    <w:rsid w:val="00730A08"/>
    <w:rsid w:val="007311AE"/>
    <w:rsid w:val="007317F3"/>
    <w:rsid w:val="007319EE"/>
    <w:rsid w:val="00731A26"/>
    <w:rsid w:val="007324AD"/>
    <w:rsid w:val="0073256F"/>
    <w:rsid w:val="0073262D"/>
    <w:rsid w:val="00732B1D"/>
    <w:rsid w:val="00733E33"/>
    <w:rsid w:val="007343B7"/>
    <w:rsid w:val="00735180"/>
    <w:rsid w:val="007354CC"/>
    <w:rsid w:val="007354D5"/>
    <w:rsid w:val="00735640"/>
    <w:rsid w:val="0073615B"/>
    <w:rsid w:val="007361E2"/>
    <w:rsid w:val="00736451"/>
    <w:rsid w:val="00736558"/>
    <w:rsid w:val="007376FE"/>
    <w:rsid w:val="00737823"/>
    <w:rsid w:val="00737A27"/>
    <w:rsid w:val="00737BE4"/>
    <w:rsid w:val="007400B9"/>
    <w:rsid w:val="00740289"/>
    <w:rsid w:val="00740AFA"/>
    <w:rsid w:val="00740FD0"/>
    <w:rsid w:val="00741FAA"/>
    <w:rsid w:val="007431AB"/>
    <w:rsid w:val="00743EF8"/>
    <w:rsid w:val="00744318"/>
    <w:rsid w:val="00744F2B"/>
    <w:rsid w:val="007452E8"/>
    <w:rsid w:val="00745657"/>
    <w:rsid w:val="007465D6"/>
    <w:rsid w:val="00746967"/>
    <w:rsid w:val="007469A4"/>
    <w:rsid w:val="00747A3D"/>
    <w:rsid w:val="00750938"/>
    <w:rsid w:val="00751D3B"/>
    <w:rsid w:val="00752908"/>
    <w:rsid w:val="0075296B"/>
    <w:rsid w:val="00753011"/>
    <w:rsid w:val="007537E4"/>
    <w:rsid w:val="00753B67"/>
    <w:rsid w:val="00753C3C"/>
    <w:rsid w:val="007543A3"/>
    <w:rsid w:val="00754749"/>
    <w:rsid w:val="007547BA"/>
    <w:rsid w:val="00754D37"/>
    <w:rsid w:val="00754D8B"/>
    <w:rsid w:val="007551BA"/>
    <w:rsid w:val="00756207"/>
    <w:rsid w:val="007567B3"/>
    <w:rsid w:val="00757020"/>
    <w:rsid w:val="00757319"/>
    <w:rsid w:val="00757742"/>
    <w:rsid w:val="0075785D"/>
    <w:rsid w:val="00757873"/>
    <w:rsid w:val="00757957"/>
    <w:rsid w:val="00757D03"/>
    <w:rsid w:val="00760AFC"/>
    <w:rsid w:val="00761060"/>
    <w:rsid w:val="00761CBF"/>
    <w:rsid w:val="00762374"/>
    <w:rsid w:val="00762B34"/>
    <w:rsid w:val="00763599"/>
    <w:rsid w:val="007643E5"/>
    <w:rsid w:val="007650EC"/>
    <w:rsid w:val="00765449"/>
    <w:rsid w:val="007656FB"/>
    <w:rsid w:val="0076616B"/>
    <w:rsid w:val="00766AE9"/>
    <w:rsid w:val="0076717D"/>
    <w:rsid w:val="00767CDD"/>
    <w:rsid w:val="007704B7"/>
    <w:rsid w:val="007705D5"/>
    <w:rsid w:val="007707BE"/>
    <w:rsid w:val="0077157B"/>
    <w:rsid w:val="00772176"/>
    <w:rsid w:val="0077241E"/>
    <w:rsid w:val="007724E8"/>
    <w:rsid w:val="00773D06"/>
    <w:rsid w:val="00773EFE"/>
    <w:rsid w:val="00773F90"/>
    <w:rsid w:val="0077434F"/>
    <w:rsid w:val="00774EB5"/>
    <w:rsid w:val="0077517A"/>
    <w:rsid w:val="00775226"/>
    <w:rsid w:val="00775A87"/>
    <w:rsid w:val="0077714F"/>
    <w:rsid w:val="007772CE"/>
    <w:rsid w:val="00777FB2"/>
    <w:rsid w:val="007802D5"/>
    <w:rsid w:val="00780398"/>
    <w:rsid w:val="0078076A"/>
    <w:rsid w:val="00781545"/>
    <w:rsid w:val="00781AD5"/>
    <w:rsid w:val="0078221C"/>
    <w:rsid w:val="00782352"/>
    <w:rsid w:val="007825CA"/>
    <w:rsid w:val="00782647"/>
    <w:rsid w:val="00782801"/>
    <w:rsid w:val="0078289D"/>
    <w:rsid w:val="00782B8D"/>
    <w:rsid w:val="007838B5"/>
    <w:rsid w:val="00784AA1"/>
    <w:rsid w:val="00784E06"/>
    <w:rsid w:val="00785187"/>
    <w:rsid w:val="00785F3E"/>
    <w:rsid w:val="00786FBE"/>
    <w:rsid w:val="00790E04"/>
    <w:rsid w:val="00790F60"/>
    <w:rsid w:val="0079117C"/>
    <w:rsid w:val="007935D5"/>
    <w:rsid w:val="00793F31"/>
    <w:rsid w:val="00794EF2"/>
    <w:rsid w:val="007956F3"/>
    <w:rsid w:val="007969CA"/>
    <w:rsid w:val="00797662"/>
    <w:rsid w:val="0079793C"/>
    <w:rsid w:val="00797A81"/>
    <w:rsid w:val="007A03D1"/>
    <w:rsid w:val="007A0ACD"/>
    <w:rsid w:val="007A0CAE"/>
    <w:rsid w:val="007A0CCD"/>
    <w:rsid w:val="007A212E"/>
    <w:rsid w:val="007A2583"/>
    <w:rsid w:val="007A2898"/>
    <w:rsid w:val="007A2998"/>
    <w:rsid w:val="007A2B72"/>
    <w:rsid w:val="007A3177"/>
    <w:rsid w:val="007A320A"/>
    <w:rsid w:val="007A40E9"/>
    <w:rsid w:val="007A50DC"/>
    <w:rsid w:val="007A5555"/>
    <w:rsid w:val="007A566C"/>
    <w:rsid w:val="007A5EE1"/>
    <w:rsid w:val="007A5FB3"/>
    <w:rsid w:val="007A65C9"/>
    <w:rsid w:val="007A696C"/>
    <w:rsid w:val="007A6CDC"/>
    <w:rsid w:val="007A70AF"/>
    <w:rsid w:val="007A7CD3"/>
    <w:rsid w:val="007B06DA"/>
    <w:rsid w:val="007B0788"/>
    <w:rsid w:val="007B0DFA"/>
    <w:rsid w:val="007B0F88"/>
    <w:rsid w:val="007B2D58"/>
    <w:rsid w:val="007B3B6D"/>
    <w:rsid w:val="007B3BCB"/>
    <w:rsid w:val="007B3F28"/>
    <w:rsid w:val="007B442B"/>
    <w:rsid w:val="007B5E8A"/>
    <w:rsid w:val="007B62B3"/>
    <w:rsid w:val="007B6682"/>
    <w:rsid w:val="007B6BCD"/>
    <w:rsid w:val="007B7417"/>
    <w:rsid w:val="007C028D"/>
    <w:rsid w:val="007C0ACC"/>
    <w:rsid w:val="007C18B7"/>
    <w:rsid w:val="007C1958"/>
    <w:rsid w:val="007C2594"/>
    <w:rsid w:val="007C283E"/>
    <w:rsid w:val="007C2C34"/>
    <w:rsid w:val="007C2DC2"/>
    <w:rsid w:val="007C3447"/>
    <w:rsid w:val="007C3AEE"/>
    <w:rsid w:val="007C4478"/>
    <w:rsid w:val="007C4B6C"/>
    <w:rsid w:val="007C5991"/>
    <w:rsid w:val="007C5CCA"/>
    <w:rsid w:val="007C605C"/>
    <w:rsid w:val="007C6140"/>
    <w:rsid w:val="007C6C97"/>
    <w:rsid w:val="007C74C8"/>
    <w:rsid w:val="007C7893"/>
    <w:rsid w:val="007D04C2"/>
    <w:rsid w:val="007D172E"/>
    <w:rsid w:val="007D2101"/>
    <w:rsid w:val="007D229A"/>
    <w:rsid w:val="007D25E8"/>
    <w:rsid w:val="007D36E6"/>
    <w:rsid w:val="007D396A"/>
    <w:rsid w:val="007D3AEE"/>
    <w:rsid w:val="007D4957"/>
    <w:rsid w:val="007D4CCF"/>
    <w:rsid w:val="007D4FCA"/>
    <w:rsid w:val="007D5D45"/>
    <w:rsid w:val="007D6278"/>
    <w:rsid w:val="007D66C2"/>
    <w:rsid w:val="007D6FC5"/>
    <w:rsid w:val="007D720B"/>
    <w:rsid w:val="007D7FEE"/>
    <w:rsid w:val="007E16F6"/>
    <w:rsid w:val="007E1B74"/>
    <w:rsid w:val="007E1E33"/>
    <w:rsid w:val="007E2212"/>
    <w:rsid w:val="007E29AD"/>
    <w:rsid w:val="007E3BF0"/>
    <w:rsid w:val="007E5BA9"/>
    <w:rsid w:val="007E684F"/>
    <w:rsid w:val="007E6992"/>
    <w:rsid w:val="007E6D52"/>
    <w:rsid w:val="007E6E61"/>
    <w:rsid w:val="007E725C"/>
    <w:rsid w:val="007E74D5"/>
    <w:rsid w:val="007E7D2A"/>
    <w:rsid w:val="007F07D2"/>
    <w:rsid w:val="007F15F0"/>
    <w:rsid w:val="007F169A"/>
    <w:rsid w:val="007F1965"/>
    <w:rsid w:val="007F1B26"/>
    <w:rsid w:val="007F1D72"/>
    <w:rsid w:val="007F28F4"/>
    <w:rsid w:val="007F2BB9"/>
    <w:rsid w:val="007F365A"/>
    <w:rsid w:val="007F37AB"/>
    <w:rsid w:val="007F3BDD"/>
    <w:rsid w:val="007F50C0"/>
    <w:rsid w:val="007F5DD7"/>
    <w:rsid w:val="007F60FF"/>
    <w:rsid w:val="007F6230"/>
    <w:rsid w:val="007F7372"/>
    <w:rsid w:val="00800743"/>
    <w:rsid w:val="00800CB3"/>
    <w:rsid w:val="00800E10"/>
    <w:rsid w:val="00801A08"/>
    <w:rsid w:val="0080272C"/>
    <w:rsid w:val="00802D72"/>
    <w:rsid w:val="008032B2"/>
    <w:rsid w:val="00803606"/>
    <w:rsid w:val="00804813"/>
    <w:rsid w:val="00804F2D"/>
    <w:rsid w:val="00805A05"/>
    <w:rsid w:val="00806765"/>
    <w:rsid w:val="00806ECD"/>
    <w:rsid w:val="00807015"/>
    <w:rsid w:val="0081072F"/>
    <w:rsid w:val="00811109"/>
    <w:rsid w:val="00811BEE"/>
    <w:rsid w:val="008125ED"/>
    <w:rsid w:val="00812D94"/>
    <w:rsid w:val="00813157"/>
    <w:rsid w:val="00813B20"/>
    <w:rsid w:val="008144AB"/>
    <w:rsid w:val="008144B3"/>
    <w:rsid w:val="008151CB"/>
    <w:rsid w:val="0082013E"/>
    <w:rsid w:val="0082037C"/>
    <w:rsid w:val="00820CFC"/>
    <w:rsid w:val="008215F7"/>
    <w:rsid w:val="008216C7"/>
    <w:rsid w:val="00822467"/>
    <w:rsid w:val="008226F1"/>
    <w:rsid w:val="008227CD"/>
    <w:rsid w:val="00823172"/>
    <w:rsid w:val="00823C12"/>
    <w:rsid w:val="00823CD8"/>
    <w:rsid w:val="00824157"/>
    <w:rsid w:val="008265E4"/>
    <w:rsid w:val="00826AF7"/>
    <w:rsid w:val="00826C80"/>
    <w:rsid w:val="00827828"/>
    <w:rsid w:val="0082791B"/>
    <w:rsid w:val="00827EAE"/>
    <w:rsid w:val="00830880"/>
    <w:rsid w:val="008309E0"/>
    <w:rsid w:val="00832809"/>
    <w:rsid w:val="00832C6D"/>
    <w:rsid w:val="00832CA9"/>
    <w:rsid w:val="00833C0C"/>
    <w:rsid w:val="00834180"/>
    <w:rsid w:val="0083422F"/>
    <w:rsid w:val="00834339"/>
    <w:rsid w:val="0083471B"/>
    <w:rsid w:val="008354AC"/>
    <w:rsid w:val="008355AE"/>
    <w:rsid w:val="008356AA"/>
    <w:rsid w:val="00835E86"/>
    <w:rsid w:val="00837AB3"/>
    <w:rsid w:val="00837BAB"/>
    <w:rsid w:val="00840465"/>
    <w:rsid w:val="00842444"/>
    <w:rsid w:val="00842767"/>
    <w:rsid w:val="00842C0D"/>
    <w:rsid w:val="00842CD2"/>
    <w:rsid w:val="00843596"/>
    <w:rsid w:val="00844C5B"/>
    <w:rsid w:val="00845164"/>
    <w:rsid w:val="008461D2"/>
    <w:rsid w:val="00846562"/>
    <w:rsid w:val="008466DE"/>
    <w:rsid w:val="00846BBA"/>
    <w:rsid w:val="00846E2C"/>
    <w:rsid w:val="00846FD6"/>
    <w:rsid w:val="0084736A"/>
    <w:rsid w:val="00847499"/>
    <w:rsid w:val="00847C85"/>
    <w:rsid w:val="0085006D"/>
    <w:rsid w:val="00850DD5"/>
    <w:rsid w:val="008517EB"/>
    <w:rsid w:val="00851C43"/>
    <w:rsid w:val="00852619"/>
    <w:rsid w:val="008537FD"/>
    <w:rsid w:val="00853E9F"/>
    <w:rsid w:val="00854220"/>
    <w:rsid w:val="008557D1"/>
    <w:rsid w:val="00857B78"/>
    <w:rsid w:val="00857E51"/>
    <w:rsid w:val="00861786"/>
    <w:rsid w:val="00861C4A"/>
    <w:rsid w:val="00861F17"/>
    <w:rsid w:val="00861F5B"/>
    <w:rsid w:val="0086241E"/>
    <w:rsid w:val="00863529"/>
    <w:rsid w:val="00863563"/>
    <w:rsid w:val="008636C0"/>
    <w:rsid w:val="008637CC"/>
    <w:rsid w:val="0086397D"/>
    <w:rsid w:val="00863C69"/>
    <w:rsid w:val="00864BB9"/>
    <w:rsid w:val="00864FA5"/>
    <w:rsid w:val="0086545C"/>
    <w:rsid w:val="00865912"/>
    <w:rsid w:val="00865CC1"/>
    <w:rsid w:val="00866A06"/>
    <w:rsid w:val="008677B1"/>
    <w:rsid w:val="00867B14"/>
    <w:rsid w:val="008701C4"/>
    <w:rsid w:val="00870205"/>
    <w:rsid w:val="008709F3"/>
    <w:rsid w:val="00871211"/>
    <w:rsid w:val="00871DC3"/>
    <w:rsid w:val="0087228B"/>
    <w:rsid w:val="00873981"/>
    <w:rsid w:val="008739CE"/>
    <w:rsid w:val="008754E7"/>
    <w:rsid w:val="00876776"/>
    <w:rsid w:val="00876972"/>
    <w:rsid w:val="00877343"/>
    <w:rsid w:val="00880597"/>
    <w:rsid w:val="008812FA"/>
    <w:rsid w:val="00881319"/>
    <w:rsid w:val="0088144E"/>
    <w:rsid w:val="00881C31"/>
    <w:rsid w:val="0088245D"/>
    <w:rsid w:val="008826C2"/>
    <w:rsid w:val="008835A3"/>
    <w:rsid w:val="00883895"/>
    <w:rsid w:val="00883C5A"/>
    <w:rsid w:val="00883DAF"/>
    <w:rsid w:val="0088447F"/>
    <w:rsid w:val="008847E8"/>
    <w:rsid w:val="00884BA8"/>
    <w:rsid w:val="008857AC"/>
    <w:rsid w:val="00886175"/>
    <w:rsid w:val="00886453"/>
    <w:rsid w:val="00886E2C"/>
    <w:rsid w:val="0088754B"/>
    <w:rsid w:val="008903E0"/>
    <w:rsid w:val="0089134A"/>
    <w:rsid w:val="0089185F"/>
    <w:rsid w:val="00891B56"/>
    <w:rsid w:val="008926B3"/>
    <w:rsid w:val="0089389C"/>
    <w:rsid w:val="00893A3B"/>
    <w:rsid w:val="00893DC7"/>
    <w:rsid w:val="00895390"/>
    <w:rsid w:val="008954D3"/>
    <w:rsid w:val="00896611"/>
    <w:rsid w:val="008969E7"/>
    <w:rsid w:val="008A0769"/>
    <w:rsid w:val="008A0B45"/>
    <w:rsid w:val="008A0E06"/>
    <w:rsid w:val="008A1227"/>
    <w:rsid w:val="008A15C5"/>
    <w:rsid w:val="008A2AF1"/>
    <w:rsid w:val="008A2B89"/>
    <w:rsid w:val="008A4813"/>
    <w:rsid w:val="008A4DF2"/>
    <w:rsid w:val="008A5E28"/>
    <w:rsid w:val="008A68FA"/>
    <w:rsid w:val="008A750B"/>
    <w:rsid w:val="008B0671"/>
    <w:rsid w:val="008B0CA0"/>
    <w:rsid w:val="008B1091"/>
    <w:rsid w:val="008B147D"/>
    <w:rsid w:val="008B1582"/>
    <w:rsid w:val="008B2407"/>
    <w:rsid w:val="008B255E"/>
    <w:rsid w:val="008B2D23"/>
    <w:rsid w:val="008B3C5B"/>
    <w:rsid w:val="008B409A"/>
    <w:rsid w:val="008B4345"/>
    <w:rsid w:val="008B492F"/>
    <w:rsid w:val="008B5143"/>
    <w:rsid w:val="008B521B"/>
    <w:rsid w:val="008B5552"/>
    <w:rsid w:val="008B6B72"/>
    <w:rsid w:val="008B7B73"/>
    <w:rsid w:val="008B7BCD"/>
    <w:rsid w:val="008C03AF"/>
    <w:rsid w:val="008C0906"/>
    <w:rsid w:val="008C1B26"/>
    <w:rsid w:val="008C4057"/>
    <w:rsid w:val="008C4245"/>
    <w:rsid w:val="008C4860"/>
    <w:rsid w:val="008C4ED0"/>
    <w:rsid w:val="008C4F8B"/>
    <w:rsid w:val="008C55EE"/>
    <w:rsid w:val="008C5F8C"/>
    <w:rsid w:val="008C61FD"/>
    <w:rsid w:val="008C7262"/>
    <w:rsid w:val="008C7430"/>
    <w:rsid w:val="008C75DF"/>
    <w:rsid w:val="008C7AAB"/>
    <w:rsid w:val="008D0002"/>
    <w:rsid w:val="008D06C5"/>
    <w:rsid w:val="008D1783"/>
    <w:rsid w:val="008D1EDB"/>
    <w:rsid w:val="008D22C1"/>
    <w:rsid w:val="008D2565"/>
    <w:rsid w:val="008D30DF"/>
    <w:rsid w:val="008D3157"/>
    <w:rsid w:val="008D3CC3"/>
    <w:rsid w:val="008D3FAB"/>
    <w:rsid w:val="008D4AAD"/>
    <w:rsid w:val="008D50FA"/>
    <w:rsid w:val="008D527D"/>
    <w:rsid w:val="008D536D"/>
    <w:rsid w:val="008D5832"/>
    <w:rsid w:val="008D6565"/>
    <w:rsid w:val="008D7A81"/>
    <w:rsid w:val="008D7C2C"/>
    <w:rsid w:val="008E013C"/>
    <w:rsid w:val="008E0544"/>
    <w:rsid w:val="008E1AEA"/>
    <w:rsid w:val="008E2114"/>
    <w:rsid w:val="008E31A7"/>
    <w:rsid w:val="008E3AE6"/>
    <w:rsid w:val="008E3C53"/>
    <w:rsid w:val="008E4183"/>
    <w:rsid w:val="008E4705"/>
    <w:rsid w:val="008E478D"/>
    <w:rsid w:val="008E4841"/>
    <w:rsid w:val="008E488E"/>
    <w:rsid w:val="008E4FFE"/>
    <w:rsid w:val="008E5386"/>
    <w:rsid w:val="008E56E0"/>
    <w:rsid w:val="008E580B"/>
    <w:rsid w:val="008E5F89"/>
    <w:rsid w:val="008E6174"/>
    <w:rsid w:val="008E6C24"/>
    <w:rsid w:val="008E6CE5"/>
    <w:rsid w:val="008E6CE6"/>
    <w:rsid w:val="008F0E5C"/>
    <w:rsid w:val="008F0E76"/>
    <w:rsid w:val="008F11FC"/>
    <w:rsid w:val="008F1A90"/>
    <w:rsid w:val="008F1BCE"/>
    <w:rsid w:val="008F1F23"/>
    <w:rsid w:val="008F2110"/>
    <w:rsid w:val="008F2A39"/>
    <w:rsid w:val="008F3278"/>
    <w:rsid w:val="008F36FD"/>
    <w:rsid w:val="008F43D1"/>
    <w:rsid w:val="008F5D4C"/>
    <w:rsid w:val="008F6864"/>
    <w:rsid w:val="008F6954"/>
    <w:rsid w:val="008F697D"/>
    <w:rsid w:val="008F7CAE"/>
    <w:rsid w:val="008F7D62"/>
    <w:rsid w:val="00900C0E"/>
    <w:rsid w:val="00900C61"/>
    <w:rsid w:val="00901253"/>
    <w:rsid w:val="009013CA"/>
    <w:rsid w:val="00901AA4"/>
    <w:rsid w:val="00901BDB"/>
    <w:rsid w:val="009020BE"/>
    <w:rsid w:val="009035CA"/>
    <w:rsid w:val="00903841"/>
    <w:rsid w:val="009039BA"/>
    <w:rsid w:val="0090470A"/>
    <w:rsid w:val="00904B20"/>
    <w:rsid w:val="009064E2"/>
    <w:rsid w:val="0090667B"/>
    <w:rsid w:val="00906686"/>
    <w:rsid w:val="00907A29"/>
    <w:rsid w:val="00907D9B"/>
    <w:rsid w:val="00907EAA"/>
    <w:rsid w:val="009106CE"/>
    <w:rsid w:val="00910BD9"/>
    <w:rsid w:val="0091115A"/>
    <w:rsid w:val="0091279E"/>
    <w:rsid w:val="00912F2F"/>
    <w:rsid w:val="00913610"/>
    <w:rsid w:val="00913E6B"/>
    <w:rsid w:val="009155B2"/>
    <w:rsid w:val="00915D29"/>
    <w:rsid w:val="009160F8"/>
    <w:rsid w:val="00916DA8"/>
    <w:rsid w:val="0091761D"/>
    <w:rsid w:val="009176B2"/>
    <w:rsid w:val="00917E0F"/>
    <w:rsid w:val="00917FD0"/>
    <w:rsid w:val="00921726"/>
    <w:rsid w:val="00922029"/>
    <w:rsid w:val="00922467"/>
    <w:rsid w:val="00922589"/>
    <w:rsid w:val="009225E0"/>
    <w:rsid w:val="00923197"/>
    <w:rsid w:val="0092349F"/>
    <w:rsid w:val="009236ED"/>
    <w:rsid w:val="00924102"/>
    <w:rsid w:val="0092428D"/>
    <w:rsid w:val="00924683"/>
    <w:rsid w:val="009249DE"/>
    <w:rsid w:val="00924C7A"/>
    <w:rsid w:val="009252E3"/>
    <w:rsid w:val="00925A10"/>
    <w:rsid w:val="00925C84"/>
    <w:rsid w:val="009260BF"/>
    <w:rsid w:val="0092617D"/>
    <w:rsid w:val="00926E61"/>
    <w:rsid w:val="00926EA6"/>
    <w:rsid w:val="00926F8C"/>
    <w:rsid w:val="009304F2"/>
    <w:rsid w:val="00931CF9"/>
    <w:rsid w:val="0093214C"/>
    <w:rsid w:val="00932409"/>
    <w:rsid w:val="00932B95"/>
    <w:rsid w:val="00932CB9"/>
    <w:rsid w:val="00933914"/>
    <w:rsid w:val="00933AB3"/>
    <w:rsid w:val="00933E54"/>
    <w:rsid w:val="00933EBE"/>
    <w:rsid w:val="00933FD8"/>
    <w:rsid w:val="00934339"/>
    <w:rsid w:val="00934B82"/>
    <w:rsid w:val="00935166"/>
    <w:rsid w:val="00937135"/>
    <w:rsid w:val="009373AF"/>
    <w:rsid w:val="009378DD"/>
    <w:rsid w:val="00937BB5"/>
    <w:rsid w:val="00937C94"/>
    <w:rsid w:val="00940D70"/>
    <w:rsid w:val="00942308"/>
    <w:rsid w:val="009428D9"/>
    <w:rsid w:val="00942E7C"/>
    <w:rsid w:val="00942EFE"/>
    <w:rsid w:val="00943E6E"/>
    <w:rsid w:val="009444CC"/>
    <w:rsid w:val="00946069"/>
    <w:rsid w:val="00946A73"/>
    <w:rsid w:val="00947902"/>
    <w:rsid w:val="00947DE4"/>
    <w:rsid w:val="00947EF7"/>
    <w:rsid w:val="00950CD4"/>
    <w:rsid w:val="00950E4A"/>
    <w:rsid w:val="00951505"/>
    <w:rsid w:val="00952364"/>
    <w:rsid w:val="0095260B"/>
    <w:rsid w:val="009538E6"/>
    <w:rsid w:val="0095443E"/>
    <w:rsid w:val="00954EDB"/>
    <w:rsid w:val="009551DA"/>
    <w:rsid w:val="0095648E"/>
    <w:rsid w:val="00956DD5"/>
    <w:rsid w:val="00957499"/>
    <w:rsid w:val="009577C5"/>
    <w:rsid w:val="0095792B"/>
    <w:rsid w:val="009579BF"/>
    <w:rsid w:val="009579D5"/>
    <w:rsid w:val="00957F2B"/>
    <w:rsid w:val="00957F8C"/>
    <w:rsid w:val="00960464"/>
    <w:rsid w:val="00960EC0"/>
    <w:rsid w:val="00961BB2"/>
    <w:rsid w:val="00961C67"/>
    <w:rsid w:val="0096234C"/>
    <w:rsid w:val="00962D65"/>
    <w:rsid w:val="009631E0"/>
    <w:rsid w:val="009636DE"/>
    <w:rsid w:val="00963856"/>
    <w:rsid w:val="00963989"/>
    <w:rsid w:val="00965430"/>
    <w:rsid w:val="00966274"/>
    <w:rsid w:val="00966645"/>
    <w:rsid w:val="00966A01"/>
    <w:rsid w:val="00966C0F"/>
    <w:rsid w:val="009671A7"/>
    <w:rsid w:val="00967521"/>
    <w:rsid w:val="009709D3"/>
    <w:rsid w:val="00971CB7"/>
    <w:rsid w:val="00972A1A"/>
    <w:rsid w:val="00972D16"/>
    <w:rsid w:val="00973F62"/>
    <w:rsid w:val="00974424"/>
    <w:rsid w:val="009748FA"/>
    <w:rsid w:val="00974EA4"/>
    <w:rsid w:val="00975617"/>
    <w:rsid w:val="009764DE"/>
    <w:rsid w:val="00976B0B"/>
    <w:rsid w:val="00976B3D"/>
    <w:rsid w:val="00976CF4"/>
    <w:rsid w:val="00976E5A"/>
    <w:rsid w:val="00977B9E"/>
    <w:rsid w:val="0098015F"/>
    <w:rsid w:val="00980320"/>
    <w:rsid w:val="009817AA"/>
    <w:rsid w:val="0098182A"/>
    <w:rsid w:val="00981868"/>
    <w:rsid w:val="00982CF6"/>
    <w:rsid w:val="00983177"/>
    <w:rsid w:val="00983743"/>
    <w:rsid w:val="00983786"/>
    <w:rsid w:val="009839FB"/>
    <w:rsid w:val="00983BDD"/>
    <w:rsid w:val="0098444A"/>
    <w:rsid w:val="009852D6"/>
    <w:rsid w:val="009859DA"/>
    <w:rsid w:val="00987636"/>
    <w:rsid w:val="00987E03"/>
    <w:rsid w:val="009909A7"/>
    <w:rsid w:val="00990BD9"/>
    <w:rsid w:val="0099187E"/>
    <w:rsid w:val="00991C23"/>
    <w:rsid w:val="00992507"/>
    <w:rsid w:val="00992605"/>
    <w:rsid w:val="00993DA8"/>
    <w:rsid w:val="00994EEC"/>
    <w:rsid w:val="00995349"/>
    <w:rsid w:val="009954E2"/>
    <w:rsid w:val="00996224"/>
    <w:rsid w:val="0099650A"/>
    <w:rsid w:val="00996AF9"/>
    <w:rsid w:val="00996DE3"/>
    <w:rsid w:val="009A19AE"/>
    <w:rsid w:val="009A1CE3"/>
    <w:rsid w:val="009A2182"/>
    <w:rsid w:val="009A2356"/>
    <w:rsid w:val="009A24AB"/>
    <w:rsid w:val="009A2A4D"/>
    <w:rsid w:val="009A2B29"/>
    <w:rsid w:val="009A2DBB"/>
    <w:rsid w:val="009A2E1A"/>
    <w:rsid w:val="009A335F"/>
    <w:rsid w:val="009A4F6E"/>
    <w:rsid w:val="009A5472"/>
    <w:rsid w:val="009A60CC"/>
    <w:rsid w:val="009A68E3"/>
    <w:rsid w:val="009A6EFD"/>
    <w:rsid w:val="009A71AD"/>
    <w:rsid w:val="009A759B"/>
    <w:rsid w:val="009B04DD"/>
    <w:rsid w:val="009B0656"/>
    <w:rsid w:val="009B1172"/>
    <w:rsid w:val="009B1453"/>
    <w:rsid w:val="009B180D"/>
    <w:rsid w:val="009B18B7"/>
    <w:rsid w:val="009B1D61"/>
    <w:rsid w:val="009B3AC4"/>
    <w:rsid w:val="009B3EAB"/>
    <w:rsid w:val="009B40FA"/>
    <w:rsid w:val="009B4C88"/>
    <w:rsid w:val="009B4CD9"/>
    <w:rsid w:val="009B4D30"/>
    <w:rsid w:val="009B57DE"/>
    <w:rsid w:val="009B588D"/>
    <w:rsid w:val="009B5AD8"/>
    <w:rsid w:val="009B60EC"/>
    <w:rsid w:val="009B6431"/>
    <w:rsid w:val="009B76A1"/>
    <w:rsid w:val="009C22AD"/>
    <w:rsid w:val="009C2C1F"/>
    <w:rsid w:val="009C331E"/>
    <w:rsid w:val="009C3474"/>
    <w:rsid w:val="009C42EE"/>
    <w:rsid w:val="009C44A6"/>
    <w:rsid w:val="009C5842"/>
    <w:rsid w:val="009C7427"/>
    <w:rsid w:val="009C7E53"/>
    <w:rsid w:val="009C7EB4"/>
    <w:rsid w:val="009D0515"/>
    <w:rsid w:val="009D180D"/>
    <w:rsid w:val="009D1BB3"/>
    <w:rsid w:val="009D244D"/>
    <w:rsid w:val="009D2FF1"/>
    <w:rsid w:val="009D3C78"/>
    <w:rsid w:val="009D4C3E"/>
    <w:rsid w:val="009D4C50"/>
    <w:rsid w:val="009D5462"/>
    <w:rsid w:val="009D59C9"/>
    <w:rsid w:val="009D5A5D"/>
    <w:rsid w:val="009D6A97"/>
    <w:rsid w:val="009D71BB"/>
    <w:rsid w:val="009D738D"/>
    <w:rsid w:val="009D75BD"/>
    <w:rsid w:val="009D76AE"/>
    <w:rsid w:val="009D7954"/>
    <w:rsid w:val="009E054D"/>
    <w:rsid w:val="009E06AF"/>
    <w:rsid w:val="009E1B63"/>
    <w:rsid w:val="009E2766"/>
    <w:rsid w:val="009E30C9"/>
    <w:rsid w:val="009E34BC"/>
    <w:rsid w:val="009E34E7"/>
    <w:rsid w:val="009E3B66"/>
    <w:rsid w:val="009E516E"/>
    <w:rsid w:val="009E53C1"/>
    <w:rsid w:val="009E5507"/>
    <w:rsid w:val="009E5683"/>
    <w:rsid w:val="009E631A"/>
    <w:rsid w:val="009E7C15"/>
    <w:rsid w:val="009F011B"/>
    <w:rsid w:val="009F28ED"/>
    <w:rsid w:val="009F2FD4"/>
    <w:rsid w:val="009F3530"/>
    <w:rsid w:val="009F3A4A"/>
    <w:rsid w:val="009F46EF"/>
    <w:rsid w:val="009F49B3"/>
    <w:rsid w:val="009F665B"/>
    <w:rsid w:val="009F72D9"/>
    <w:rsid w:val="009F76EA"/>
    <w:rsid w:val="00A009BA"/>
    <w:rsid w:val="00A01087"/>
    <w:rsid w:val="00A012E1"/>
    <w:rsid w:val="00A0195C"/>
    <w:rsid w:val="00A01B2A"/>
    <w:rsid w:val="00A01D81"/>
    <w:rsid w:val="00A0276A"/>
    <w:rsid w:val="00A033FC"/>
    <w:rsid w:val="00A04340"/>
    <w:rsid w:val="00A048E1"/>
    <w:rsid w:val="00A04F4A"/>
    <w:rsid w:val="00A05FDE"/>
    <w:rsid w:val="00A061B9"/>
    <w:rsid w:val="00A061F7"/>
    <w:rsid w:val="00A06512"/>
    <w:rsid w:val="00A07BF7"/>
    <w:rsid w:val="00A11590"/>
    <w:rsid w:val="00A1172A"/>
    <w:rsid w:val="00A125BE"/>
    <w:rsid w:val="00A1318C"/>
    <w:rsid w:val="00A13247"/>
    <w:rsid w:val="00A132B8"/>
    <w:rsid w:val="00A13FC1"/>
    <w:rsid w:val="00A14665"/>
    <w:rsid w:val="00A14D2F"/>
    <w:rsid w:val="00A14F9F"/>
    <w:rsid w:val="00A15328"/>
    <w:rsid w:val="00A159C4"/>
    <w:rsid w:val="00A16224"/>
    <w:rsid w:val="00A166DE"/>
    <w:rsid w:val="00A16AB4"/>
    <w:rsid w:val="00A20C4C"/>
    <w:rsid w:val="00A20F6F"/>
    <w:rsid w:val="00A2124D"/>
    <w:rsid w:val="00A21432"/>
    <w:rsid w:val="00A21B95"/>
    <w:rsid w:val="00A21D46"/>
    <w:rsid w:val="00A22ED9"/>
    <w:rsid w:val="00A234DA"/>
    <w:rsid w:val="00A23BB3"/>
    <w:rsid w:val="00A24EE5"/>
    <w:rsid w:val="00A25223"/>
    <w:rsid w:val="00A2561E"/>
    <w:rsid w:val="00A258FB"/>
    <w:rsid w:val="00A26258"/>
    <w:rsid w:val="00A267A4"/>
    <w:rsid w:val="00A27020"/>
    <w:rsid w:val="00A30118"/>
    <w:rsid w:val="00A303E2"/>
    <w:rsid w:val="00A31971"/>
    <w:rsid w:val="00A31A5B"/>
    <w:rsid w:val="00A325ED"/>
    <w:rsid w:val="00A3276D"/>
    <w:rsid w:val="00A3331D"/>
    <w:rsid w:val="00A33D76"/>
    <w:rsid w:val="00A34624"/>
    <w:rsid w:val="00A34D57"/>
    <w:rsid w:val="00A35036"/>
    <w:rsid w:val="00A35492"/>
    <w:rsid w:val="00A36B22"/>
    <w:rsid w:val="00A37961"/>
    <w:rsid w:val="00A37A41"/>
    <w:rsid w:val="00A37DBD"/>
    <w:rsid w:val="00A37F2A"/>
    <w:rsid w:val="00A4049B"/>
    <w:rsid w:val="00A41A8E"/>
    <w:rsid w:val="00A42710"/>
    <w:rsid w:val="00A42C06"/>
    <w:rsid w:val="00A42D0D"/>
    <w:rsid w:val="00A432BC"/>
    <w:rsid w:val="00A43892"/>
    <w:rsid w:val="00A4411B"/>
    <w:rsid w:val="00A44A60"/>
    <w:rsid w:val="00A469DB"/>
    <w:rsid w:val="00A476D8"/>
    <w:rsid w:val="00A47B22"/>
    <w:rsid w:val="00A50C42"/>
    <w:rsid w:val="00A51149"/>
    <w:rsid w:val="00A5183D"/>
    <w:rsid w:val="00A51856"/>
    <w:rsid w:val="00A52802"/>
    <w:rsid w:val="00A52864"/>
    <w:rsid w:val="00A53624"/>
    <w:rsid w:val="00A54358"/>
    <w:rsid w:val="00A54C11"/>
    <w:rsid w:val="00A55AA7"/>
    <w:rsid w:val="00A561D8"/>
    <w:rsid w:val="00A564C7"/>
    <w:rsid w:val="00A56DB3"/>
    <w:rsid w:val="00A5766D"/>
    <w:rsid w:val="00A578F5"/>
    <w:rsid w:val="00A5790A"/>
    <w:rsid w:val="00A57AD5"/>
    <w:rsid w:val="00A602EC"/>
    <w:rsid w:val="00A60947"/>
    <w:rsid w:val="00A60A99"/>
    <w:rsid w:val="00A60AAF"/>
    <w:rsid w:val="00A60E73"/>
    <w:rsid w:val="00A61109"/>
    <w:rsid w:val="00A613B3"/>
    <w:rsid w:val="00A618C8"/>
    <w:rsid w:val="00A61BAA"/>
    <w:rsid w:val="00A63014"/>
    <w:rsid w:val="00A63054"/>
    <w:rsid w:val="00A63B38"/>
    <w:rsid w:val="00A643C1"/>
    <w:rsid w:val="00A649D8"/>
    <w:rsid w:val="00A6550D"/>
    <w:rsid w:val="00A65933"/>
    <w:rsid w:val="00A65FA8"/>
    <w:rsid w:val="00A67119"/>
    <w:rsid w:val="00A673FD"/>
    <w:rsid w:val="00A67BFD"/>
    <w:rsid w:val="00A67EEB"/>
    <w:rsid w:val="00A67F68"/>
    <w:rsid w:val="00A700BA"/>
    <w:rsid w:val="00A713BA"/>
    <w:rsid w:val="00A7233F"/>
    <w:rsid w:val="00A7244E"/>
    <w:rsid w:val="00A73BD9"/>
    <w:rsid w:val="00A749A2"/>
    <w:rsid w:val="00A74BE7"/>
    <w:rsid w:val="00A753D2"/>
    <w:rsid w:val="00A75C63"/>
    <w:rsid w:val="00A75DBE"/>
    <w:rsid w:val="00A76B7C"/>
    <w:rsid w:val="00A76E12"/>
    <w:rsid w:val="00A8045C"/>
    <w:rsid w:val="00A8086E"/>
    <w:rsid w:val="00A811BE"/>
    <w:rsid w:val="00A8168C"/>
    <w:rsid w:val="00A81998"/>
    <w:rsid w:val="00A81E43"/>
    <w:rsid w:val="00A81F74"/>
    <w:rsid w:val="00A825B7"/>
    <w:rsid w:val="00A82FB4"/>
    <w:rsid w:val="00A838EC"/>
    <w:rsid w:val="00A848AB"/>
    <w:rsid w:val="00A85B94"/>
    <w:rsid w:val="00A871C2"/>
    <w:rsid w:val="00A87DB0"/>
    <w:rsid w:val="00A87FA0"/>
    <w:rsid w:val="00A90185"/>
    <w:rsid w:val="00A90892"/>
    <w:rsid w:val="00A92EFC"/>
    <w:rsid w:val="00A9314F"/>
    <w:rsid w:val="00A932F8"/>
    <w:rsid w:val="00A93334"/>
    <w:rsid w:val="00A93487"/>
    <w:rsid w:val="00A937FD"/>
    <w:rsid w:val="00A93841"/>
    <w:rsid w:val="00A93D85"/>
    <w:rsid w:val="00A94385"/>
    <w:rsid w:val="00A94AFD"/>
    <w:rsid w:val="00A95650"/>
    <w:rsid w:val="00A956F9"/>
    <w:rsid w:val="00A958CF"/>
    <w:rsid w:val="00A95A00"/>
    <w:rsid w:val="00A95B46"/>
    <w:rsid w:val="00A9691E"/>
    <w:rsid w:val="00A96DD1"/>
    <w:rsid w:val="00A9749F"/>
    <w:rsid w:val="00A97DD1"/>
    <w:rsid w:val="00AA0D55"/>
    <w:rsid w:val="00AA14D3"/>
    <w:rsid w:val="00AA165D"/>
    <w:rsid w:val="00AA1F6E"/>
    <w:rsid w:val="00AA276E"/>
    <w:rsid w:val="00AA297E"/>
    <w:rsid w:val="00AA2D14"/>
    <w:rsid w:val="00AA374A"/>
    <w:rsid w:val="00AA3DC2"/>
    <w:rsid w:val="00AA49C4"/>
    <w:rsid w:val="00AA4DBD"/>
    <w:rsid w:val="00AA523D"/>
    <w:rsid w:val="00AA5C0A"/>
    <w:rsid w:val="00AA5C3E"/>
    <w:rsid w:val="00AA5F0E"/>
    <w:rsid w:val="00AA5F18"/>
    <w:rsid w:val="00AA69DF"/>
    <w:rsid w:val="00AA7491"/>
    <w:rsid w:val="00AA76C5"/>
    <w:rsid w:val="00AB0105"/>
    <w:rsid w:val="00AB09E0"/>
    <w:rsid w:val="00AB0D90"/>
    <w:rsid w:val="00AB13A3"/>
    <w:rsid w:val="00AB1F44"/>
    <w:rsid w:val="00AB2820"/>
    <w:rsid w:val="00AB2ADE"/>
    <w:rsid w:val="00AB2C40"/>
    <w:rsid w:val="00AB41AF"/>
    <w:rsid w:val="00AB4B17"/>
    <w:rsid w:val="00AB5930"/>
    <w:rsid w:val="00AB605B"/>
    <w:rsid w:val="00AB66B6"/>
    <w:rsid w:val="00AB6886"/>
    <w:rsid w:val="00AB6FFA"/>
    <w:rsid w:val="00AB7219"/>
    <w:rsid w:val="00AB725B"/>
    <w:rsid w:val="00AB7BDE"/>
    <w:rsid w:val="00AB7DB5"/>
    <w:rsid w:val="00AC008C"/>
    <w:rsid w:val="00AC1758"/>
    <w:rsid w:val="00AC1CC8"/>
    <w:rsid w:val="00AC1DC7"/>
    <w:rsid w:val="00AC2A34"/>
    <w:rsid w:val="00AC3A2E"/>
    <w:rsid w:val="00AC46E5"/>
    <w:rsid w:val="00AC4AD1"/>
    <w:rsid w:val="00AC4B67"/>
    <w:rsid w:val="00AC526A"/>
    <w:rsid w:val="00AC537F"/>
    <w:rsid w:val="00AC5689"/>
    <w:rsid w:val="00AC5F62"/>
    <w:rsid w:val="00AC740A"/>
    <w:rsid w:val="00AC77F2"/>
    <w:rsid w:val="00AC78A7"/>
    <w:rsid w:val="00AD02C8"/>
    <w:rsid w:val="00AD0436"/>
    <w:rsid w:val="00AD0C01"/>
    <w:rsid w:val="00AD0D8E"/>
    <w:rsid w:val="00AD392E"/>
    <w:rsid w:val="00AD4DA8"/>
    <w:rsid w:val="00AD608D"/>
    <w:rsid w:val="00AD6F6E"/>
    <w:rsid w:val="00AD7953"/>
    <w:rsid w:val="00AE10D7"/>
    <w:rsid w:val="00AE1CC6"/>
    <w:rsid w:val="00AE217D"/>
    <w:rsid w:val="00AE299B"/>
    <w:rsid w:val="00AE3299"/>
    <w:rsid w:val="00AE4963"/>
    <w:rsid w:val="00AE4BF8"/>
    <w:rsid w:val="00AE4E76"/>
    <w:rsid w:val="00AE4FFB"/>
    <w:rsid w:val="00AE510D"/>
    <w:rsid w:val="00AE52A3"/>
    <w:rsid w:val="00AE5706"/>
    <w:rsid w:val="00AE5E64"/>
    <w:rsid w:val="00AE6AAE"/>
    <w:rsid w:val="00AE7032"/>
    <w:rsid w:val="00AE78D5"/>
    <w:rsid w:val="00AF070E"/>
    <w:rsid w:val="00AF09CE"/>
    <w:rsid w:val="00AF0C03"/>
    <w:rsid w:val="00AF177E"/>
    <w:rsid w:val="00AF4C09"/>
    <w:rsid w:val="00AF54BD"/>
    <w:rsid w:val="00AF5635"/>
    <w:rsid w:val="00AF5D81"/>
    <w:rsid w:val="00AF6949"/>
    <w:rsid w:val="00AF7324"/>
    <w:rsid w:val="00AF7443"/>
    <w:rsid w:val="00AF756B"/>
    <w:rsid w:val="00AF7D33"/>
    <w:rsid w:val="00AF7DBA"/>
    <w:rsid w:val="00AF7DD3"/>
    <w:rsid w:val="00B009BA"/>
    <w:rsid w:val="00B00F67"/>
    <w:rsid w:val="00B01062"/>
    <w:rsid w:val="00B0145A"/>
    <w:rsid w:val="00B01A76"/>
    <w:rsid w:val="00B03F89"/>
    <w:rsid w:val="00B0403A"/>
    <w:rsid w:val="00B044AF"/>
    <w:rsid w:val="00B044CD"/>
    <w:rsid w:val="00B04C75"/>
    <w:rsid w:val="00B059EA"/>
    <w:rsid w:val="00B0635E"/>
    <w:rsid w:val="00B064A1"/>
    <w:rsid w:val="00B076DF"/>
    <w:rsid w:val="00B1007F"/>
    <w:rsid w:val="00B100C1"/>
    <w:rsid w:val="00B1068E"/>
    <w:rsid w:val="00B11201"/>
    <w:rsid w:val="00B11B65"/>
    <w:rsid w:val="00B11F81"/>
    <w:rsid w:val="00B120BC"/>
    <w:rsid w:val="00B12D22"/>
    <w:rsid w:val="00B13D04"/>
    <w:rsid w:val="00B141E2"/>
    <w:rsid w:val="00B14AF7"/>
    <w:rsid w:val="00B171AA"/>
    <w:rsid w:val="00B172CE"/>
    <w:rsid w:val="00B173FA"/>
    <w:rsid w:val="00B1765C"/>
    <w:rsid w:val="00B17D2B"/>
    <w:rsid w:val="00B17E77"/>
    <w:rsid w:val="00B20265"/>
    <w:rsid w:val="00B20288"/>
    <w:rsid w:val="00B2096B"/>
    <w:rsid w:val="00B20C49"/>
    <w:rsid w:val="00B2134E"/>
    <w:rsid w:val="00B21990"/>
    <w:rsid w:val="00B21E1F"/>
    <w:rsid w:val="00B233A3"/>
    <w:rsid w:val="00B24DB6"/>
    <w:rsid w:val="00B257AF"/>
    <w:rsid w:val="00B2629E"/>
    <w:rsid w:val="00B2634A"/>
    <w:rsid w:val="00B2770B"/>
    <w:rsid w:val="00B27D9E"/>
    <w:rsid w:val="00B31542"/>
    <w:rsid w:val="00B316A1"/>
    <w:rsid w:val="00B3183C"/>
    <w:rsid w:val="00B31D60"/>
    <w:rsid w:val="00B31E13"/>
    <w:rsid w:val="00B333A1"/>
    <w:rsid w:val="00B33FC0"/>
    <w:rsid w:val="00B343E8"/>
    <w:rsid w:val="00B345EF"/>
    <w:rsid w:val="00B347FD"/>
    <w:rsid w:val="00B34D60"/>
    <w:rsid w:val="00B35467"/>
    <w:rsid w:val="00B354E4"/>
    <w:rsid w:val="00B35526"/>
    <w:rsid w:val="00B35AEA"/>
    <w:rsid w:val="00B35BD2"/>
    <w:rsid w:val="00B36063"/>
    <w:rsid w:val="00B3611F"/>
    <w:rsid w:val="00B36358"/>
    <w:rsid w:val="00B36C96"/>
    <w:rsid w:val="00B370AA"/>
    <w:rsid w:val="00B37413"/>
    <w:rsid w:val="00B378D6"/>
    <w:rsid w:val="00B37F21"/>
    <w:rsid w:val="00B40DF7"/>
    <w:rsid w:val="00B412C3"/>
    <w:rsid w:val="00B41713"/>
    <w:rsid w:val="00B41973"/>
    <w:rsid w:val="00B41A1D"/>
    <w:rsid w:val="00B41A30"/>
    <w:rsid w:val="00B41F73"/>
    <w:rsid w:val="00B41FE9"/>
    <w:rsid w:val="00B4209B"/>
    <w:rsid w:val="00B423F5"/>
    <w:rsid w:val="00B42725"/>
    <w:rsid w:val="00B437D1"/>
    <w:rsid w:val="00B43A29"/>
    <w:rsid w:val="00B45C6E"/>
    <w:rsid w:val="00B461AE"/>
    <w:rsid w:val="00B46AA3"/>
    <w:rsid w:val="00B46AB1"/>
    <w:rsid w:val="00B46C94"/>
    <w:rsid w:val="00B46ED1"/>
    <w:rsid w:val="00B47FA6"/>
    <w:rsid w:val="00B50B95"/>
    <w:rsid w:val="00B510F3"/>
    <w:rsid w:val="00B517AF"/>
    <w:rsid w:val="00B52A5D"/>
    <w:rsid w:val="00B53441"/>
    <w:rsid w:val="00B53BEF"/>
    <w:rsid w:val="00B55001"/>
    <w:rsid w:val="00B55467"/>
    <w:rsid w:val="00B55468"/>
    <w:rsid w:val="00B55EAE"/>
    <w:rsid w:val="00B56015"/>
    <w:rsid w:val="00B56266"/>
    <w:rsid w:val="00B56A09"/>
    <w:rsid w:val="00B56D30"/>
    <w:rsid w:val="00B56E97"/>
    <w:rsid w:val="00B57551"/>
    <w:rsid w:val="00B5758C"/>
    <w:rsid w:val="00B57B9F"/>
    <w:rsid w:val="00B57D09"/>
    <w:rsid w:val="00B60489"/>
    <w:rsid w:val="00B604FB"/>
    <w:rsid w:val="00B607B6"/>
    <w:rsid w:val="00B61DE8"/>
    <w:rsid w:val="00B61E7B"/>
    <w:rsid w:val="00B61F9E"/>
    <w:rsid w:val="00B62482"/>
    <w:rsid w:val="00B62919"/>
    <w:rsid w:val="00B62B2A"/>
    <w:rsid w:val="00B62C56"/>
    <w:rsid w:val="00B62CF2"/>
    <w:rsid w:val="00B63082"/>
    <w:rsid w:val="00B643DC"/>
    <w:rsid w:val="00B64637"/>
    <w:rsid w:val="00B64E45"/>
    <w:rsid w:val="00B658D1"/>
    <w:rsid w:val="00B66934"/>
    <w:rsid w:val="00B66BA2"/>
    <w:rsid w:val="00B67694"/>
    <w:rsid w:val="00B67A3E"/>
    <w:rsid w:val="00B70F70"/>
    <w:rsid w:val="00B71473"/>
    <w:rsid w:val="00B71511"/>
    <w:rsid w:val="00B71C7A"/>
    <w:rsid w:val="00B71DFC"/>
    <w:rsid w:val="00B72E2D"/>
    <w:rsid w:val="00B72FF0"/>
    <w:rsid w:val="00B73860"/>
    <w:rsid w:val="00B73E1E"/>
    <w:rsid w:val="00B7472C"/>
    <w:rsid w:val="00B74F76"/>
    <w:rsid w:val="00B75013"/>
    <w:rsid w:val="00B7536E"/>
    <w:rsid w:val="00B7537E"/>
    <w:rsid w:val="00B766ED"/>
    <w:rsid w:val="00B766F2"/>
    <w:rsid w:val="00B7690E"/>
    <w:rsid w:val="00B76C07"/>
    <w:rsid w:val="00B76C9C"/>
    <w:rsid w:val="00B77E38"/>
    <w:rsid w:val="00B77E74"/>
    <w:rsid w:val="00B8013C"/>
    <w:rsid w:val="00B80435"/>
    <w:rsid w:val="00B8049E"/>
    <w:rsid w:val="00B80ABE"/>
    <w:rsid w:val="00B818F5"/>
    <w:rsid w:val="00B81D29"/>
    <w:rsid w:val="00B81F96"/>
    <w:rsid w:val="00B8262D"/>
    <w:rsid w:val="00B82E65"/>
    <w:rsid w:val="00B83985"/>
    <w:rsid w:val="00B8435A"/>
    <w:rsid w:val="00B84FAD"/>
    <w:rsid w:val="00B8516C"/>
    <w:rsid w:val="00B853EE"/>
    <w:rsid w:val="00B855AE"/>
    <w:rsid w:val="00B86945"/>
    <w:rsid w:val="00B87FF4"/>
    <w:rsid w:val="00B907BB"/>
    <w:rsid w:val="00B92BDF"/>
    <w:rsid w:val="00B937F0"/>
    <w:rsid w:val="00B93D3F"/>
    <w:rsid w:val="00B94300"/>
    <w:rsid w:val="00B95085"/>
    <w:rsid w:val="00B95D1D"/>
    <w:rsid w:val="00B95D69"/>
    <w:rsid w:val="00B96558"/>
    <w:rsid w:val="00B97043"/>
    <w:rsid w:val="00BA0621"/>
    <w:rsid w:val="00BA1021"/>
    <w:rsid w:val="00BA145A"/>
    <w:rsid w:val="00BA2124"/>
    <w:rsid w:val="00BA2FFC"/>
    <w:rsid w:val="00BA35EC"/>
    <w:rsid w:val="00BA3858"/>
    <w:rsid w:val="00BA490B"/>
    <w:rsid w:val="00BA4939"/>
    <w:rsid w:val="00BA70A0"/>
    <w:rsid w:val="00BA745D"/>
    <w:rsid w:val="00BA7CDF"/>
    <w:rsid w:val="00BB04BA"/>
    <w:rsid w:val="00BB052D"/>
    <w:rsid w:val="00BB05F6"/>
    <w:rsid w:val="00BB0FC1"/>
    <w:rsid w:val="00BB13CB"/>
    <w:rsid w:val="00BB1BE6"/>
    <w:rsid w:val="00BB2458"/>
    <w:rsid w:val="00BB2BF9"/>
    <w:rsid w:val="00BB43FB"/>
    <w:rsid w:val="00BB4C36"/>
    <w:rsid w:val="00BB6A4C"/>
    <w:rsid w:val="00BB70AD"/>
    <w:rsid w:val="00BB70B0"/>
    <w:rsid w:val="00BB74F3"/>
    <w:rsid w:val="00BB7B57"/>
    <w:rsid w:val="00BC1150"/>
    <w:rsid w:val="00BC131F"/>
    <w:rsid w:val="00BC1D19"/>
    <w:rsid w:val="00BC1E3F"/>
    <w:rsid w:val="00BC2305"/>
    <w:rsid w:val="00BC23DC"/>
    <w:rsid w:val="00BC5179"/>
    <w:rsid w:val="00BC53D1"/>
    <w:rsid w:val="00BC62D5"/>
    <w:rsid w:val="00BC6C28"/>
    <w:rsid w:val="00BC6E7D"/>
    <w:rsid w:val="00BC7AC6"/>
    <w:rsid w:val="00BC7B32"/>
    <w:rsid w:val="00BD0566"/>
    <w:rsid w:val="00BD0887"/>
    <w:rsid w:val="00BD0EA7"/>
    <w:rsid w:val="00BD25CE"/>
    <w:rsid w:val="00BD27F9"/>
    <w:rsid w:val="00BD292B"/>
    <w:rsid w:val="00BD32EA"/>
    <w:rsid w:val="00BD3991"/>
    <w:rsid w:val="00BD3E3B"/>
    <w:rsid w:val="00BD4376"/>
    <w:rsid w:val="00BD45C3"/>
    <w:rsid w:val="00BD4958"/>
    <w:rsid w:val="00BD4D6D"/>
    <w:rsid w:val="00BD68D1"/>
    <w:rsid w:val="00BD6958"/>
    <w:rsid w:val="00BD69B7"/>
    <w:rsid w:val="00BD6A07"/>
    <w:rsid w:val="00BD6CEE"/>
    <w:rsid w:val="00BD75B1"/>
    <w:rsid w:val="00BE0556"/>
    <w:rsid w:val="00BE166B"/>
    <w:rsid w:val="00BE2114"/>
    <w:rsid w:val="00BE23B9"/>
    <w:rsid w:val="00BE2965"/>
    <w:rsid w:val="00BE2A97"/>
    <w:rsid w:val="00BE3340"/>
    <w:rsid w:val="00BE337E"/>
    <w:rsid w:val="00BE4186"/>
    <w:rsid w:val="00BE4E8F"/>
    <w:rsid w:val="00BE4EF3"/>
    <w:rsid w:val="00BE56E3"/>
    <w:rsid w:val="00BE5711"/>
    <w:rsid w:val="00BE602E"/>
    <w:rsid w:val="00BE6546"/>
    <w:rsid w:val="00BE657E"/>
    <w:rsid w:val="00BE69DB"/>
    <w:rsid w:val="00BF03F5"/>
    <w:rsid w:val="00BF0B42"/>
    <w:rsid w:val="00BF0B91"/>
    <w:rsid w:val="00BF0F26"/>
    <w:rsid w:val="00BF135A"/>
    <w:rsid w:val="00BF21C1"/>
    <w:rsid w:val="00BF2AD7"/>
    <w:rsid w:val="00BF35AF"/>
    <w:rsid w:val="00BF44CD"/>
    <w:rsid w:val="00BF4921"/>
    <w:rsid w:val="00BF4A4C"/>
    <w:rsid w:val="00BF56D4"/>
    <w:rsid w:val="00BF58A9"/>
    <w:rsid w:val="00BF59EA"/>
    <w:rsid w:val="00BF64FD"/>
    <w:rsid w:val="00BF6622"/>
    <w:rsid w:val="00BF69D7"/>
    <w:rsid w:val="00BF7BB0"/>
    <w:rsid w:val="00C0086A"/>
    <w:rsid w:val="00C01689"/>
    <w:rsid w:val="00C0197D"/>
    <w:rsid w:val="00C0233C"/>
    <w:rsid w:val="00C0327E"/>
    <w:rsid w:val="00C034E4"/>
    <w:rsid w:val="00C052EB"/>
    <w:rsid w:val="00C05AE4"/>
    <w:rsid w:val="00C05E36"/>
    <w:rsid w:val="00C06AB1"/>
    <w:rsid w:val="00C06BC0"/>
    <w:rsid w:val="00C07539"/>
    <w:rsid w:val="00C07B1E"/>
    <w:rsid w:val="00C07B32"/>
    <w:rsid w:val="00C10418"/>
    <w:rsid w:val="00C1062F"/>
    <w:rsid w:val="00C10F1A"/>
    <w:rsid w:val="00C11A13"/>
    <w:rsid w:val="00C11CDD"/>
    <w:rsid w:val="00C12195"/>
    <w:rsid w:val="00C125AC"/>
    <w:rsid w:val="00C12B88"/>
    <w:rsid w:val="00C12FD8"/>
    <w:rsid w:val="00C13347"/>
    <w:rsid w:val="00C138D0"/>
    <w:rsid w:val="00C148CB"/>
    <w:rsid w:val="00C149E3"/>
    <w:rsid w:val="00C151D8"/>
    <w:rsid w:val="00C158D0"/>
    <w:rsid w:val="00C167DD"/>
    <w:rsid w:val="00C16C29"/>
    <w:rsid w:val="00C16C2D"/>
    <w:rsid w:val="00C174CC"/>
    <w:rsid w:val="00C20615"/>
    <w:rsid w:val="00C207B1"/>
    <w:rsid w:val="00C207BA"/>
    <w:rsid w:val="00C20AFB"/>
    <w:rsid w:val="00C20F22"/>
    <w:rsid w:val="00C212C5"/>
    <w:rsid w:val="00C21C6E"/>
    <w:rsid w:val="00C220CC"/>
    <w:rsid w:val="00C22EE6"/>
    <w:rsid w:val="00C22F10"/>
    <w:rsid w:val="00C234EC"/>
    <w:rsid w:val="00C23CEA"/>
    <w:rsid w:val="00C24048"/>
    <w:rsid w:val="00C244FC"/>
    <w:rsid w:val="00C24DC8"/>
    <w:rsid w:val="00C252FD"/>
    <w:rsid w:val="00C256E0"/>
    <w:rsid w:val="00C25AEA"/>
    <w:rsid w:val="00C2648E"/>
    <w:rsid w:val="00C26AD4"/>
    <w:rsid w:val="00C27DD1"/>
    <w:rsid w:val="00C30169"/>
    <w:rsid w:val="00C30CD2"/>
    <w:rsid w:val="00C31752"/>
    <w:rsid w:val="00C31BBB"/>
    <w:rsid w:val="00C329FA"/>
    <w:rsid w:val="00C32F3D"/>
    <w:rsid w:val="00C34B24"/>
    <w:rsid w:val="00C34E28"/>
    <w:rsid w:val="00C34F33"/>
    <w:rsid w:val="00C35582"/>
    <w:rsid w:val="00C358E5"/>
    <w:rsid w:val="00C37F7D"/>
    <w:rsid w:val="00C401B1"/>
    <w:rsid w:val="00C4141D"/>
    <w:rsid w:val="00C4245C"/>
    <w:rsid w:val="00C42513"/>
    <w:rsid w:val="00C42ADD"/>
    <w:rsid w:val="00C42BD5"/>
    <w:rsid w:val="00C42E60"/>
    <w:rsid w:val="00C43C1E"/>
    <w:rsid w:val="00C43CCF"/>
    <w:rsid w:val="00C44340"/>
    <w:rsid w:val="00C45A9F"/>
    <w:rsid w:val="00C45DD2"/>
    <w:rsid w:val="00C4676C"/>
    <w:rsid w:val="00C46954"/>
    <w:rsid w:val="00C46B15"/>
    <w:rsid w:val="00C46DD3"/>
    <w:rsid w:val="00C46DFE"/>
    <w:rsid w:val="00C46F19"/>
    <w:rsid w:val="00C47F37"/>
    <w:rsid w:val="00C51DC2"/>
    <w:rsid w:val="00C5285B"/>
    <w:rsid w:val="00C54832"/>
    <w:rsid w:val="00C549C7"/>
    <w:rsid w:val="00C55F79"/>
    <w:rsid w:val="00C5608F"/>
    <w:rsid w:val="00C565C6"/>
    <w:rsid w:val="00C578D2"/>
    <w:rsid w:val="00C60203"/>
    <w:rsid w:val="00C608BE"/>
    <w:rsid w:val="00C61013"/>
    <w:rsid w:val="00C61F83"/>
    <w:rsid w:val="00C62DCF"/>
    <w:rsid w:val="00C63137"/>
    <w:rsid w:val="00C63731"/>
    <w:rsid w:val="00C643D9"/>
    <w:rsid w:val="00C64A8B"/>
    <w:rsid w:val="00C655B2"/>
    <w:rsid w:val="00C658D9"/>
    <w:rsid w:val="00C665D0"/>
    <w:rsid w:val="00C666AB"/>
    <w:rsid w:val="00C6698F"/>
    <w:rsid w:val="00C66C35"/>
    <w:rsid w:val="00C70120"/>
    <w:rsid w:val="00C704A5"/>
    <w:rsid w:val="00C7112B"/>
    <w:rsid w:val="00C711C8"/>
    <w:rsid w:val="00C71DA8"/>
    <w:rsid w:val="00C71DC6"/>
    <w:rsid w:val="00C72499"/>
    <w:rsid w:val="00C725C5"/>
    <w:rsid w:val="00C72732"/>
    <w:rsid w:val="00C72B34"/>
    <w:rsid w:val="00C73336"/>
    <w:rsid w:val="00C73D5E"/>
    <w:rsid w:val="00C7590B"/>
    <w:rsid w:val="00C75C3F"/>
    <w:rsid w:val="00C764F7"/>
    <w:rsid w:val="00C76A69"/>
    <w:rsid w:val="00C779F0"/>
    <w:rsid w:val="00C801D2"/>
    <w:rsid w:val="00C80BD1"/>
    <w:rsid w:val="00C8147F"/>
    <w:rsid w:val="00C819CA"/>
    <w:rsid w:val="00C81A94"/>
    <w:rsid w:val="00C82256"/>
    <w:rsid w:val="00C828EA"/>
    <w:rsid w:val="00C82D07"/>
    <w:rsid w:val="00C82FA6"/>
    <w:rsid w:val="00C831DC"/>
    <w:rsid w:val="00C834FA"/>
    <w:rsid w:val="00C84E01"/>
    <w:rsid w:val="00C85CA6"/>
    <w:rsid w:val="00C85E69"/>
    <w:rsid w:val="00C8675A"/>
    <w:rsid w:val="00C9018D"/>
    <w:rsid w:val="00C90B40"/>
    <w:rsid w:val="00C90D1F"/>
    <w:rsid w:val="00C90D6C"/>
    <w:rsid w:val="00C9122A"/>
    <w:rsid w:val="00C917CA"/>
    <w:rsid w:val="00C91C27"/>
    <w:rsid w:val="00C9210F"/>
    <w:rsid w:val="00C927F1"/>
    <w:rsid w:val="00C93E3F"/>
    <w:rsid w:val="00C940D1"/>
    <w:rsid w:val="00C941A8"/>
    <w:rsid w:val="00C9477E"/>
    <w:rsid w:val="00C94D67"/>
    <w:rsid w:val="00C955F5"/>
    <w:rsid w:val="00C968DA"/>
    <w:rsid w:val="00C96C6C"/>
    <w:rsid w:val="00C97252"/>
    <w:rsid w:val="00C972F5"/>
    <w:rsid w:val="00CA0755"/>
    <w:rsid w:val="00CA0A44"/>
    <w:rsid w:val="00CA0A76"/>
    <w:rsid w:val="00CA17F5"/>
    <w:rsid w:val="00CA1FDB"/>
    <w:rsid w:val="00CA20A2"/>
    <w:rsid w:val="00CA2666"/>
    <w:rsid w:val="00CA2F25"/>
    <w:rsid w:val="00CA361A"/>
    <w:rsid w:val="00CA3970"/>
    <w:rsid w:val="00CA44DA"/>
    <w:rsid w:val="00CA4E22"/>
    <w:rsid w:val="00CA4E57"/>
    <w:rsid w:val="00CA4FB3"/>
    <w:rsid w:val="00CA5E2C"/>
    <w:rsid w:val="00CA7F5B"/>
    <w:rsid w:val="00CB032B"/>
    <w:rsid w:val="00CB069C"/>
    <w:rsid w:val="00CB0C7D"/>
    <w:rsid w:val="00CB1029"/>
    <w:rsid w:val="00CB1043"/>
    <w:rsid w:val="00CB15B6"/>
    <w:rsid w:val="00CB17A2"/>
    <w:rsid w:val="00CB1C48"/>
    <w:rsid w:val="00CB2507"/>
    <w:rsid w:val="00CB2C8E"/>
    <w:rsid w:val="00CB2D29"/>
    <w:rsid w:val="00CB2DAD"/>
    <w:rsid w:val="00CB2EB6"/>
    <w:rsid w:val="00CB3C57"/>
    <w:rsid w:val="00CB4ADD"/>
    <w:rsid w:val="00CB504C"/>
    <w:rsid w:val="00CB5C18"/>
    <w:rsid w:val="00CB6582"/>
    <w:rsid w:val="00CB781F"/>
    <w:rsid w:val="00CB7837"/>
    <w:rsid w:val="00CC0928"/>
    <w:rsid w:val="00CC22BB"/>
    <w:rsid w:val="00CC23A9"/>
    <w:rsid w:val="00CC2646"/>
    <w:rsid w:val="00CC3875"/>
    <w:rsid w:val="00CC3FBE"/>
    <w:rsid w:val="00CC4314"/>
    <w:rsid w:val="00CC45F2"/>
    <w:rsid w:val="00CC4D31"/>
    <w:rsid w:val="00CC59AE"/>
    <w:rsid w:val="00CC7F4B"/>
    <w:rsid w:val="00CD059A"/>
    <w:rsid w:val="00CD060A"/>
    <w:rsid w:val="00CD09CA"/>
    <w:rsid w:val="00CD0FA6"/>
    <w:rsid w:val="00CD12D5"/>
    <w:rsid w:val="00CD2860"/>
    <w:rsid w:val="00CD3326"/>
    <w:rsid w:val="00CD4813"/>
    <w:rsid w:val="00CD4BD8"/>
    <w:rsid w:val="00CD56A5"/>
    <w:rsid w:val="00CD57E7"/>
    <w:rsid w:val="00CD5E3B"/>
    <w:rsid w:val="00CD6120"/>
    <w:rsid w:val="00CD61E8"/>
    <w:rsid w:val="00CD6E3A"/>
    <w:rsid w:val="00CD7789"/>
    <w:rsid w:val="00CD79BC"/>
    <w:rsid w:val="00CD7D0D"/>
    <w:rsid w:val="00CD7D13"/>
    <w:rsid w:val="00CE1927"/>
    <w:rsid w:val="00CE1CFC"/>
    <w:rsid w:val="00CE2583"/>
    <w:rsid w:val="00CE25D4"/>
    <w:rsid w:val="00CE2B4A"/>
    <w:rsid w:val="00CE2B57"/>
    <w:rsid w:val="00CE3144"/>
    <w:rsid w:val="00CE328E"/>
    <w:rsid w:val="00CE40FB"/>
    <w:rsid w:val="00CE595B"/>
    <w:rsid w:val="00CE62FB"/>
    <w:rsid w:val="00CE638C"/>
    <w:rsid w:val="00CE6AC3"/>
    <w:rsid w:val="00CE76E1"/>
    <w:rsid w:val="00CE7CB8"/>
    <w:rsid w:val="00CF0902"/>
    <w:rsid w:val="00CF0E80"/>
    <w:rsid w:val="00CF0FF1"/>
    <w:rsid w:val="00CF14A4"/>
    <w:rsid w:val="00CF2189"/>
    <w:rsid w:val="00CF40AF"/>
    <w:rsid w:val="00CF45F3"/>
    <w:rsid w:val="00CF49F2"/>
    <w:rsid w:val="00CF4F6C"/>
    <w:rsid w:val="00CF5689"/>
    <w:rsid w:val="00CF5A75"/>
    <w:rsid w:val="00CF5AA1"/>
    <w:rsid w:val="00CF608B"/>
    <w:rsid w:val="00CF7110"/>
    <w:rsid w:val="00CF7114"/>
    <w:rsid w:val="00CF748D"/>
    <w:rsid w:val="00CF7534"/>
    <w:rsid w:val="00CF76E0"/>
    <w:rsid w:val="00CF77E5"/>
    <w:rsid w:val="00CF7A7E"/>
    <w:rsid w:val="00D00D8D"/>
    <w:rsid w:val="00D0187D"/>
    <w:rsid w:val="00D022D0"/>
    <w:rsid w:val="00D02428"/>
    <w:rsid w:val="00D0280B"/>
    <w:rsid w:val="00D02C8C"/>
    <w:rsid w:val="00D0307F"/>
    <w:rsid w:val="00D037F1"/>
    <w:rsid w:val="00D0473E"/>
    <w:rsid w:val="00D04D52"/>
    <w:rsid w:val="00D04FD3"/>
    <w:rsid w:val="00D05246"/>
    <w:rsid w:val="00D0557E"/>
    <w:rsid w:val="00D05994"/>
    <w:rsid w:val="00D06541"/>
    <w:rsid w:val="00D06B8B"/>
    <w:rsid w:val="00D06FF1"/>
    <w:rsid w:val="00D076B9"/>
    <w:rsid w:val="00D113F0"/>
    <w:rsid w:val="00D11701"/>
    <w:rsid w:val="00D11D15"/>
    <w:rsid w:val="00D123E9"/>
    <w:rsid w:val="00D12B8C"/>
    <w:rsid w:val="00D1308F"/>
    <w:rsid w:val="00D135C8"/>
    <w:rsid w:val="00D1388F"/>
    <w:rsid w:val="00D14080"/>
    <w:rsid w:val="00D1412D"/>
    <w:rsid w:val="00D14D64"/>
    <w:rsid w:val="00D14F0C"/>
    <w:rsid w:val="00D15E65"/>
    <w:rsid w:val="00D15F28"/>
    <w:rsid w:val="00D160C0"/>
    <w:rsid w:val="00D171DA"/>
    <w:rsid w:val="00D17A8F"/>
    <w:rsid w:val="00D20A3A"/>
    <w:rsid w:val="00D21FFE"/>
    <w:rsid w:val="00D222BF"/>
    <w:rsid w:val="00D225F9"/>
    <w:rsid w:val="00D2310C"/>
    <w:rsid w:val="00D2355D"/>
    <w:rsid w:val="00D23C58"/>
    <w:rsid w:val="00D23E3B"/>
    <w:rsid w:val="00D2455D"/>
    <w:rsid w:val="00D2485E"/>
    <w:rsid w:val="00D24B4D"/>
    <w:rsid w:val="00D25DD1"/>
    <w:rsid w:val="00D27632"/>
    <w:rsid w:val="00D30B02"/>
    <w:rsid w:val="00D3281A"/>
    <w:rsid w:val="00D32A44"/>
    <w:rsid w:val="00D32B4B"/>
    <w:rsid w:val="00D32E05"/>
    <w:rsid w:val="00D32F33"/>
    <w:rsid w:val="00D332C6"/>
    <w:rsid w:val="00D33947"/>
    <w:rsid w:val="00D33F13"/>
    <w:rsid w:val="00D349A3"/>
    <w:rsid w:val="00D35C14"/>
    <w:rsid w:val="00D35C66"/>
    <w:rsid w:val="00D35EBA"/>
    <w:rsid w:val="00D36864"/>
    <w:rsid w:val="00D36BCD"/>
    <w:rsid w:val="00D3706C"/>
    <w:rsid w:val="00D372D5"/>
    <w:rsid w:val="00D3784E"/>
    <w:rsid w:val="00D37861"/>
    <w:rsid w:val="00D4036B"/>
    <w:rsid w:val="00D42992"/>
    <w:rsid w:val="00D43004"/>
    <w:rsid w:val="00D436B8"/>
    <w:rsid w:val="00D4387A"/>
    <w:rsid w:val="00D4452E"/>
    <w:rsid w:val="00D44575"/>
    <w:rsid w:val="00D44B99"/>
    <w:rsid w:val="00D451C5"/>
    <w:rsid w:val="00D453C8"/>
    <w:rsid w:val="00D47A87"/>
    <w:rsid w:val="00D47B4E"/>
    <w:rsid w:val="00D51340"/>
    <w:rsid w:val="00D514D1"/>
    <w:rsid w:val="00D5167B"/>
    <w:rsid w:val="00D5255A"/>
    <w:rsid w:val="00D52F30"/>
    <w:rsid w:val="00D53280"/>
    <w:rsid w:val="00D53DDF"/>
    <w:rsid w:val="00D53FCA"/>
    <w:rsid w:val="00D540B0"/>
    <w:rsid w:val="00D54402"/>
    <w:rsid w:val="00D54561"/>
    <w:rsid w:val="00D54D04"/>
    <w:rsid w:val="00D554A9"/>
    <w:rsid w:val="00D555DC"/>
    <w:rsid w:val="00D55A21"/>
    <w:rsid w:val="00D55CE3"/>
    <w:rsid w:val="00D562B5"/>
    <w:rsid w:val="00D5684A"/>
    <w:rsid w:val="00D56D57"/>
    <w:rsid w:val="00D5771E"/>
    <w:rsid w:val="00D57C97"/>
    <w:rsid w:val="00D606CF"/>
    <w:rsid w:val="00D609E7"/>
    <w:rsid w:val="00D60F50"/>
    <w:rsid w:val="00D612AF"/>
    <w:rsid w:val="00D614C4"/>
    <w:rsid w:val="00D61587"/>
    <w:rsid w:val="00D6195A"/>
    <w:rsid w:val="00D626FC"/>
    <w:rsid w:val="00D633BE"/>
    <w:rsid w:val="00D6353B"/>
    <w:rsid w:val="00D63C46"/>
    <w:rsid w:val="00D65BEB"/>
    <w:rsid w:val="00D661D7"/>
    <w:rsid w:val="00D6621E"/>
    <w:rsid w:val="00D662AC"/>
    <w:rsid w:val="00D66661"/>
    <w:rsid w:val="00D667F4"/>
    <w:rsid w:val="00D670D0"/>
    <w:rsid w:val="00D67194"/>
    <w:rsid w:val="00D67AA2"/>
    <w:rsid w:val="00D67AEA"/>
    <w:rsid w:val="00D70322"/>
    <w:rsid w:val="00D7118A"/>
    <w:rsid w:val="00D71394"/>
    <w:rsid w:val="00D71CC7"/>
    <w:rsid w:val="00D7230B"/>
    <w:rsid w:val="00D72451"/>
    <w:rsid w:val="00D7267F"/>
    <w:rsid w:val="00D72B83"/>
    <w:rsid w:val="00D72BB9"/>
    <w:rsid w:val="00D73DDC"/>
    <w:rsid w:val="00D74505"/>
    <w:rsid w:val="00D745F3"/>
    <w:rsid w:val="00D7482C"/>
    <w:rsid w:val="00D749D9"/>
    <w:rsid w:val="00D7506C"/>
    <w:rsid w:val="00D752CE"/>
    <w:rsid w:val="00D75933"/>
    <w:rsid w:val="00D75A92"/>
    <w:rsid w:val="00D75C98"/>
    <w:rsid w:val="00D761AB"/>
    <w:rsid w:val="00D76899"/>
    <w:rsid w:val="00D76954"/>
    <w:rsid w:val="00D77CCF"/>
    <w:rsid w:val="00D8008F"/>
    <w:rsid w:val="00D803FE"/>
    <w:rsid w:val="00D806A7"/>
    <w:rsid w:val="00D8103C"/>
    <w:rsid w:val="00D815D5"/>
    <w:rsid w:val="00D81A04"/>
    <w:rsid w:val="00D81B35"/>
    <w:rsid w:val="00D82ECB"/>
    <w:rsid w:val="00D83745"/>
    <w:rsid w:val="00D84090"/>
    <w:rsid w:val="00D84A7B"/>
    <w:rsid w:val="00D86699"/>
    <w:rsid w:val="00D86C31"/>
    <w:rsid w:val="00D9010E"/>
    <w:rsid w:val="00D902E6"/>
    <w:rsid w:val="00D9060C"/>
    <w:rsid w:val="00D9086B"/>
    <w:rsid w:val="00D91096"/>
    <w:rsid w:val="00D91413"/>
    <w:rsid w:val="00D91C55"/>
    <w:rsid w:val="00D9219A"/>
    <w:rsid w:val="00D93DA2"/>
    <w:rsid w:val="00D93F19"/>
    <w:rsid w:val="00D94092"/>
    <w:rsid w:val="00D940DF"/>
    <w:rsid w:val="00D9422F"/>
    <w:rsid w:val="00D94CC3"/>
    <w:rsid w:val="00D94D5A"/>
    <w:rsid w:val="00D95691"/>
    <w:rsid w:val="00D9763B"/>
    <w:rsid w:val="00D978E4"/>
    <w:rsid w:val="00D97FD7"/>
    <w:rsid w:val="00DA01C1"/>
    <w:rsid w:val="00DA0BCD"/>
    <w:rsid w:val="00DA0C76"/>
    <w:rsid w:val="00DA15D6"/>
    <w:rsid w:val="00DA26BA"/>
    <w:rsid w:val="00DA271A"/>
    <w:rsid w:val="00DA2983"/>
    <w:rsid w:val="00DA33AA"/>
    <w:rsid w:val="00DA3AC4"/>
    <w:rsid w:val="00DA3FAB"/>
    <w:rsid w:val="00DA4A8E"/>
    <w:rsid w:val="00DA4FEF"/>
    <w:rsid w:val="00DA51A6"/>
    <w:rsid w:val="00DA51DA"/>
    <w:rsid w:val="00DA53EF"/>
    <w:rsid w:val="00DA58BF"/>
    <w:rsid w:val="00DA5F22"/>
    <w:rsid w:val="00DA69D1"/>
    <w:rsid w:val="00DA6AFF"/>
    <w:rsid w:val="00DA7356"/>
    <w:rsid w:val="00DA75BB"/>
    <w:rsid w:val="00DA773E"/>
    <w:rsid w:val="00DA7A3B"/>
    <w:rsid w:val="00DB0479"/>
    <w:rsid w:val="00DB1006"/>
    <w:rsid w:val="00DB1337"/>
    <w:rsid w:val="00DB1DD2"/>
    <w:rsid w:val="00DB275A"/>
    <w:rsid w:val="00DB2EB7"/>
    <w:rsid w:val="00DB35FD"/>
    <w:rsid w:val="00DB4115"/>
    <w:rsid w:val="00DB425C"/>
    <w:rsid w:val="00DB450C"/>
    <w:rsid w:val="00DB4A79"/>
    <w:rsid w:val="00DB4B00"/>
    <w:rsid w:val="00DB4FC2"/>
    <w:rsid w:val="00DB502C"/>
    <w:rsid w:val="00DB54EB"/>
    <w:rsid w:val="00DB701E"/>
    <w:rsid w:val="00DB722D"/>
    <w:rsid w:val="00DB7336"/>
    <w:rsid w:val="00DB756E"/>
    <w:rsid w:val="00DC0B00"/>
    <w:rsid w:val="00DC0C53"/>
    <w:rsid w:val="00DC130E"/>
    <w:rsid w:val="00DC15FF"/>
    <w:rsid w:val="00DC1AF1"/>
    <w:rsid w:val="00DC1B0D"/>
    <w:rsid w:val="00DC23D7"/>
    <w:rsid w:val="00DC2775"/>
    <w:rsid w:val="00DC30F5"/>
    <w:rsid w:val="00DC4499"/>
    <w:rsid w:val="00DC4638"/>
    <w:rsid w:val="00DC4968"/>
    <w:rsid w:val="00DC541A"/>
    <w:rsid w:val="00DC557C"/>
    <w:rsid w:val="00DC5C5F"/>
    <w:rsid w:val="00DC6BEE"/>
    <w:rsid w:val="00DC7761"/>
    <w:rsid w:val="00DC790F"/>
    <w:rsid w:val="00DC7B73"/>
    <w:rsid w:val="00DD1156"/>
    <w:rsid w:val="00DD124F"/>
    <w:rsid w:val="00DD158D"/>
    <w:rsid w:val="00DD2191"/>
    <w:rsid w:val="00DD238C"/>
    <w:rsid w:val="00DD2689"/>
    <w:rsid w:val="00DD2D76"/>
    <w:rsid w:val="00DD3809"/>
    <w:rsid w:val="00DD4194"/>
    <w:rsid w:val="00DD4B45"/>
    <w:rsid w:val="00DD4C4D"/>
    <w:rsid w:val="00DD4F03"/>
    <w:rsid w:val="00DD57ED"/>
    <w:rsid w:val="00DD657B"/>
    <w:rsid w:val="00DD7B27"/>
    <w:rsid w:val="00DE04D3"/>
    <w:rsid w:val="00DE09E0"/>
    <w:rsid w:val="00DE17C6"/>
    <w:rsid w:val="00DE286B"/>
    <w:rsid w:val="00DE3ED1"/>
    <w:rsid w:val="00DE49F2"/>
    <w:rsid w:val="00DE4C13"/>
    <w:rsid w:val="00DE528F"/>
    <w:rsid w:val="00DE5BFB"/>
    <w:rsid w:val="00DE62A6"/>
    <w:rsid w:val="00DE64E8"/>
    <w:rsid w:val="00DE6C2A"/>
    <w:rsid w:val="00DF0018"/>
    <w:rsid w:val="00DF07C8"/>
    <w:rsid w:val="00DF0F6B"/>
    <w:rsid w:val="00DF0F81"/>
    <w:rsid w:val="00DF1CA5"/>
    <w:rsid w:val="00DF1D9C"/>
    <w:rsid w:val="00DF2055"/>
    <w:rsid w:val="00DF30C0"/>
    <w:rsid w:val="00DF3365"/>
    <w:rsid w:val="00DF3A3D"/>
    <w:rsid w:val="00DF44A7"/>
    <w:rsid w:val="00DF4673"/>
    <w:rsid w:val="00DF509C"/>
    <w:rsid w:val="00DF589C"/>
    <w:rsid w:val="00DF67E5"/>
    <w:rsid w:val="00DF6D3F"/>
    <w:rsid w:val="00DF7580"/>
    <w:rsid w:val="00DF75B0"/>
    <w:rsid w:val="00DF7AB0"/>
    <w:rsid w:val="00DF7DDE"/>
    <w:rsid w:val="00E00976"/>
    <w:rsid w:val="00E01398"/>
    <w:rsid w:val="00E01906"/>
    <w:rsid w:val="00E01929"/>
    <w:rsid w:val="00E01F50"/>
    <w:rsid w:val="00E029C1"/>
    <w:rsid w:val="00E0370D"/>
    <w:rsid w:val="00E03C9A"/>
    <w:rsid w:val="00E0444E"/>
    <w:rsid w:val="00E0452C"/>
    <w:rsid w:val="00E04755"/>
    <w:rsid w:val="00E04E58"/>
    <w:rsid w:val="00E0532C"/>
    <w:rsid w:val="00E063B4"/>
    <w:rsid w:val="00E06803"/>
    <w:rsid w:val="00E07226"/>
    <w:rsid w:val="00E07518"/>
    <w:rsid w:val="00E0766A"/>
    <w:rsid w:val="00E07AB7"/>
    <w:rsid w:val="00E1004D"/>
    <w:rsid w:val="00E10981"/>
    <w:rsid w:val="00E11979"/>
    <w:rsid w:val="00E12208"/>
    <w:rsid w:val="00E12EBD"/>
    <w:rsid w:val="00E13458"/>
    <w:rsid w:val="00E145D2"/>
    <w:rsid w:val="00E14C34"/>
    <w:rsid w:val="00E15125"/>
    <w:rsid w:val="00E15EBE"/>
    <w:rsid w:val="00E16BDA"/>
    <w:rsid w:val="00E1747A"/>
    <w:rsid w:val="00E17B50"/>
    <w:rsid w:val="00E17C3E"/>
    <w:rsid w:val="00E17CCD"/>
    <w:rsid w:val="00E221AA"/>
    <w:rsid w:val="00E22E28"/>
    <w:rsid w:val="00E23439"/>
    <w:rsid w:val="00E24131"/>
    <w:rsid w:val="00E2435A"/>
    <w:rsid w:val="00E25EDF"/>
    <w:rsid w:val="00E265F2"/>
    <w:rsid w:val="00E26A39"/>
    <w:rsid w:val="00E2716B"/>
    <w:rsid w:val="00E27514"/>
    <w:rsid w:val="00E277FE"/>
    <w:rsid w:val="00E27CAC"/>
    <w:rsid w:val="00E27D14"/>
    <w:rsid w:val="00E316F6"/>
    <w:rsid w:val="00E31762"/>
    <w:rsid w:val="00E31FEE"/>
    <w:rsid w:val="00E32D3A"/>
    <w:rsid w:val="00E33186"/>
    <w:rsid w:val="00E33645"/>
    <w:rsid w:val="00E33861"/>
    <w:rsid w:val="00E34B3B"/>
    <w:rsid w:val="00E34EB8"/>
    <w:rsid w:val="00E35BDA"/>
    <w:rsid w:val="00E35CD0"/>
    <w:rsid w:val="00E36272"/>
    <w:rsid w:val="00E36C44"/>
    <w:rsid w:val="00E36C50"/>
    <w:rsid w:val="00E373A4"/>
    <w:rsid w:val="00E3762F"/>
    <w:rsid w:val="00E37B8B"/>
    <w:rsid w:val="00E407A1"/>
    <w:rsid w:val="00E40E38"/>
    <w:rsid w:val="00E41520"/>
    <w:rsid w:val="00E4187E"/>
    <w:rsid w:val="00E41B14"/>
    <w:rsid w:val="00E42139"/>
    <w:rsid w:val="00E43B3A"/>
    <w:rsid w:val="00E452D3"/>
    <w:rsid w:val="00E459D8"/>
    <w:rsid w:val="00E45DD0"/>
    <w:rsid w:val="00E462CC"/>
    <w:rsid w:val="00E465DD"/>
    <w:rsid w:val="00E46EA3"/>
    <w:rsid w:val="00E470D6"/>
    <w:rsid w:val="00E47A8B"/>
    <w:rsid w:val="00E50628"/>
    <w:rsid w:val="00E50655"/>
    <w:rsid w:val="00E50925"/>
    <w:rsid w:val="00E51692"/>
    <w:rsid w:val="00E51881"/>
    <w:rsid w:val="00E54078"/>
    <w:rsid w:val="00E54208"/>
    <w:rsid w:val="00E546F0"/>
    <w:rsid w:val="00E550CC"/>
    <w:rsid w:val="00E55B3B"/>
    <w:rsid w:val="00E55F71"/>
    <w:rsid w:val="00E56594"/>
    <w:rsid w:val="00E56E7A"/>
    <w:rsid w:val="00E56FA5"/>
    <w:rsid w:val="00E56FDC"/>
    <w:rsid w:val="00E5750A"/>
    <w:rsid w:val="00E605FA"/>
    <w:rsid w:val="00E60CC7"/>
    <w:rsid w:val="00E61C6E"/>
    <w:rsid w:val="00E6240D"/>
    <w:rsid w:val="00E62818"/>
    <w:rsid w:val="00E62DA1"/>
    <w:rsid w:val="00E635DA"/>
    <w:rsid w:val="00E63874"/>
    <w:rsid w:val="00E63E7B"/>
    <w:rsid w:val="00E6411E"/>
    <w:rsid w:val="00E642CA"/>
    <w:rsid w:val="00E647D7"/>
    <w:rsid w:val="00E64CF6"/>
    <w:rsid w:val="00E65903"/>
    <w:rsid w:val="00E664E4"/>
    <w:rsid w:val="00E66C0D"/>
    <w:rsid w:val="00E6704A"/>
    <w:rsid w:val="00E675DD"/>
    <w:rsid w:val="00E6783D"/>
    <w:rsid w:val="00E67D8A"/>
    <w:rsid w:val="00E71B9F"/>
    <w:rsid w:val="00E71F29"/>
    <w:rsid w:val="00E7299D"/>
    <w:rsid w:val="00E73DEF"/>
    <w:rsid w:val="00E73F36"/>
    <w:rsid w:val="00E744D3"/>
    <w:rsid w:val="00E74ED4"/>
    <w:rsid w:val="00E74F1B"/>
    <w:rsid w:val="00E76417"/>
    <w:rsid w:val="00E76C94"/>
    <w:rsid w:val="00E76CC3"/>
    <w:rsid w:val="00E81F7B"/>
    <w:rsid w:val="00E83C47"/>
    <w:rsid w:val="00E84314"/>
    <w:rsid w:val="00E84533"/>
    <w:rsid w:val="00E845DF"/>
    <w:rsid w:val="00E85F54"/>
    <w:rsid w:val="00E87130"/>
    <w:rsid w:val="00E8749F"/>
    <w:rsid w:val="00E8789C"/>
    <w:rsid w:val="00E878C1"/>
    <w:rsid w:val="00E903E9"/>
    <w:rsid w:val="00E90A58"/>
    <w:rsid w:val="00E91113"/>
    <w:rsid w:val="00E9137C"/>
    <w:rsid w:val="00E916B2"/>
    <w:rsid w:val="00E91973"/>
    <w:rsid w:val="00E91C6C"/>
    <w:rsid w:val="00E91D35"/>
    <w:rsid w:val="00E91D9F"/>
    <w:rsid w:val="00E92097"/>
    <w:rsid w:val="00E92247"/>
    <w:rsid w:val="00E936A6"/>
    <w:rsid w:val="00E938F5"/>
    <w:rsid w:val="00E93EA8"/>
    <w:rsid w:val="00E95DB8"/>
    <w:rsid w:val="00E95FE6"/>
    <w:rsid w:val="00E969FB"/>
    <w:rsid w:val="00E96DB0"/>
    <w:rsid w:val="00E97868"/>
    <w:rsid w:val="00EA061A"/>
    <w:rsid w:val="00EA0921"/>
    <w:rsid w:val="00EA0DD2"/>
    <w:rsid w:val="00EA2471"/>
    <w:rsid w:val="00EA318B"/>
    <w:rsid w:val="00EA381A"/>
    <w:rsid w:val="00EA3AB7"/>
    <w:rsid w:val="00EA3AD3"/>
    <w:rsid w:val="00EA3FF0"/>
    <w:rsid w:val="00EA40C6"/>
    <w:rsid w:val="00EA4272"/>
    <w:rsid w:val="00EA56AF"/>
    <w:rsid w:val="00EA5770"/>
    <w:rsid w:val="00EA58D3"/>
    <w:rsid w:val="00EA5F8F"/>
    <w:rsid w:val="00EA6102"/>
    <w:rsid w:val="00EA62FD"/>
    <w:rsid w:val="00EA6339"/>
    <w:rsid w:val="00EA6EAB"/>
    <w:rsid w:val="00EA745E"/>
    <w:rsid w:val="00EA7CF6"/>
    <w:rsid w:val="00EA7DD7"/>
    <w:rsid w:val="00EB0A27"/>
    <w:rsid w:val="00EB17D4"/>
    <w:rsid w:val="00EB19EF"/>
    <w:rsid w:val="00EB1D04"/>
    <w:rsid w:val="00EB2A6C"/>
    <w:rsid w:val="00EB2ED3"/>
    <w:rsid w:val="00EB3160"/>
    <w:rsid w:val="00EB32E9"/>
    <w:rsid w:val="00EB37AF"/>
    <w:rsid w:val="00EB41AA"/>
    <w:rsid w:val="00EB493B"/>
    <w:rsid w:val="00EB6218"/>
    <w:rsid w:val="00EB6A61"/>
    <w:rsid w:val="00EB6D98"/>
    <w:rsid w:val="00EB6F9A"/>
    <w:rsid w:val="00EB74B6"/>
    <w:rsid w:val="00EC2B00"/>
    <w:rsid w:val="00EC2E82"/>
    <w:rsid w:val="00EC2F1A"/>
    <w:rsid w:val="00EC3221"/>
    <w:rsid w:val="00EC3EAC"/>
    <w:rsid w:val="00EC44DA"/>
    <w:rsid w:val="00EC4DDC"/>
    <w:rsid w:val="00EC57E8"/>
    <w:rsid w:val="00EC59F7"/>
    <w:rsid w:val="00EC5E20"/>
    <w:rsid w:val="00EC6140"/>
    <w:rsid w:val="00EC6295"/>
    <w:rsid w:val="00EC777B"/>
    <w:rsid w:val="00EC7A5C"/>
    <w:rsid w:val="00EC7BDC"/>
    <w:rsid w:val="00EC7D2A"/>
    <w:rsid w:val="00ED018D"/>
    <w:rsid w:val="00ED0A6F"/>
    <w:rsid w:val="00ED0C1A"/>
    <w:rsid w:val="00ED0F01"/>
    <w:rsid w:val="00ED35E1"/>
    <w:rsid w:val="00ED3D56"/>
    <w:rsid w:val="00ED40AF"/>
    <w:rsid w:val="00ED42DC"/>
    <w:rsid w:val="00ED4C92"/>
    <w:rsid w:val="00ED5024"/>
    <w:rsid w:val="00ED514C"/>
    <w:rsid w:val="00ED5455"/>
    <w:rsid w:val="00ED6289"/>
    <w:rsid w:val="00ED74AA"/>
    <w:rsid w:val="00ED7C8E"/>
    <w:rsid w:val="00EE0F39"/>
    <w:rsid w:val="00EE13A2"/>
    <w:rsid w:val="00EE15F8"/>
    <w:rsid w:val="00EE22EE"/>
    <w:rsid w:val="00EE2524"/>
    <w:rsid w:val="00EE2C3B"/>
    <w:rsid w:val="00EE2EC3"/>
    <w:rsid w:val="00EE3A54"/>
    <w:rsid w:val="00EE4379"/>
    <w:rsid w:val="00EE5C92"/>
    <w:rsid w:val="00EE5D9A"/>
    <w:rsid w:val="00EE5DEF"/>
    <w:rsid w:val="00EE6447"/>
    <w:rsid w:val="00EE68E5"/>
    <w:rsid w:val="00EE6A75"/>
    <w:rsid w:val="00EE6FDB"/>
    <w:rsid w:val="00EF04E5"/>
    <w:rsid w:val="00EF2804"/>
    <w:rsid w:val="00EF2C01"/>
    <w:rsid w:val="00EF3197"/>
    <w:rsid w:val="00EF32F4"/>
    <w:rsid w:val="00EF38A8"/>
    <w:rsid w:val="00EF4C8E"/>
    <w:rsid w:val="00EF4D48"/>
    <w:rsid w:val="00EF52C2"/>
    <w:rsid w:val="00EF55D4"/>
    <w:rsid w:val="00EF5FBF"/>
    <w:rsid w:val="00EF74A0"/>
    <w:rsid w:val="00EF7C1E"/>
    <w:rsid w:val="00EF7DD8"/>
    <w:rsid w:val="00F00692"/>
    <w:rsid w:val="00F00D9E"/>
    <w:rsid w:val="00F0158B"/>
    <w:rsid w:val="00F015E5"/>
    <w:rsid w:val="00F0194E"/>
    <w:rsid w:val="00F023A1"/>
    <w:rsid w:val="00F02E99"/>
    <w:rsid w:val="00F04763"/>
    <w:rsid w:val="00F04DD7"/>
    <w:rsid w:val="00F057DB"/>
    <w:rsid w:val="00F06D69"/>
    <w:rsid w:val="00F06DC2"/>
    <w:rsid w:val="00F06E71"/>
    <w:rsid w:val="00F072E6"/>
    <w:rsid w:val="00F072FB"/>
    <w:rsid w:val="00F0769C"/>
    <w:rsid w:val="00F07E1C"/>
    <w:rsid w:val="00F1078A"/>
    <w:rsid w:val="00F11AB4"/>
    <w:rsid w:val="00F11E64"/>
    <w:rsid w:val="00F12687"/>
    <w:rsid w:val="00F13AC3"/>
    <w:rsid w:val="00F13BE5"/>
    <w:rsid w:val="00F13E8F"/>
    <w:rsid w:val="00F14848"/>
    <w:rsid w:val="00F14A86"/>
    <w:rsid w:val="00F151E1"/>
    <w:rsid w:val="00F15371"/>
    <w:rsid w:val="00F1577D"/>
    <w:rsid w:val="00F16355"/>
    <w:rsid w:val="00F1768C"/>
    <w:rsid w:val="00F17FDF"/>
    <w:rsid w:val="00F20D9C"/>
    <w:rsid w:val="00F20DA5"/>
    <w:rsid w:val="00F21D61"/>
    <w:rsid w:val="00F2236D"/>
    <w:rsid w:val="00F22E60"/>
    <w:rsid w:val="00F22F44"/>
    <w:rsid w:val="00F2464E"/>
    <w:rsid w:val="00F246F8"/>
    <w:rsid w:val="00F2479D"/>
    <w:rsid w:val="00F253CE"/>
    <w:rsid w:val="00F25D21"/>
    <w:rsid w:val="00F26ECD"/>
    <w:rsid w:val="00F30569"/>
    <w:rsid w:val="00F313B3"/>
    <w:rsid w:val="00F31834"/>
    <w:rsid w:val="00F31EBD"/>
    <w:rsid w:val="00F32368"/>
    <w:rsid w:val="00F32377"/>
    <w:rsid w:val="00F32BD8"/>
    <w:rsid w:val="00F33814"/>
    <w:rsid w:val="00F3390D"/>
    <w:rsid w:val="00F33A9F"/>
    <w:rsid w:val="00F341B9"/>
    <w:rsid w:val="00F34A64"/>
    <w:rsid w:val="00F34EEB"/>
    <w:rsid w:val="00F34FF2"/>
    <w:rsid w:val="00F3547E"/>
    <w:rsid w:val="00F35483"/>
    <w:rsid w:val="00F3578E"/>
    <w:rsid w:val="00F35943"/>
    <w:rsid w:val="00F35CC1"/>
    <w:rsid w:val="00F3618F"/>
    <w:rsid w:val="00F36657"/>
    <w:rsid w:val="00F36768"/>
    <w:rsid w:val="00F36A06"/>
    <w:rsid w:val="00F36BDB"/>
    <w:rsid w:val="00F36DE1"/>
    <w:rsid w:val="00F3773D"/>
    <w:rsid w:val="00F37A0E"/>
    <w:rsid w:val="00F37E9E"/>
    <w:rsid w:val="00F405E7"/>
    <w:rsid w:val="00F41164"/>
    <w:rsid w:val="00F41FF3"/>
    <w:rsid w:val="00F42024"/>
    <w:rsid w:val="00F42363"/>
    <w:rsid w:val="00F4277E"/>
    <w:rsid w:val="00F43714"/>
    <w:rsid w:val="00F4463E"/>
    <w:rsid w:val="00F45E49"/>
    <w:rsid w:val="00F4681A"/>
    <w:rsid w:val="00F47D4E"/>
    <w:rsid w:val="00F50F7E"/>
    <w:rsid w:val="00F51751"/>
    <w:rsid w:val="00F51E11"/>
    <w:rsid w:val="00F525D7"/>
    <w:rsid w:val="00F52D1D"/>
    <w:rsid w:val="00F52D23"/>
    <w:rsid w:val="00F5337C"/>
    <w:rsid w:val="00F54619"/>
    <w:rsid w:val="00F54A3B"/>
    <w:rsid w:val="00F55039"/>
    <w:rsid w:val="00F563A4"/>
    <w:rsid w:val="00F578CE"/>
    <w:rsid w:val="00F57E06"/>
    <w:rsid w:val="00F60282"/>
    <w:rsid w:val="00F61BAD"/>
    <w:rsid w:val="00F62C6C"/>
    <w:rsid w:val="00F63C88"/>
    <w:rsid w:val="00F641C5"/>
    <w:rsid w:val="00F648BB"/>
    <w:rsid w:val="00F65D4C"/>
    <w:rsid w:val="00F65D4D"/>
    <w:rsid w:val="00F65EBA"/>
    <w:rsid w:val="00F66484"/>
    <w:rsid w:val="00F666C8"/>
    <w:rsid w:val="00F66A22"/>
    <w:rsid w:val="00F674E4"/>
    <w:rsid w:val="00F679BC"/>
    <w:rsid w:val="00F70745"/>
    <w:rsid w:val="00F707B9"/>
    <w:rsid w:val="00F70BC8"/>
    <w:rsid w:val="00F70EA9"/>
    <w:rsid w:val="00F71352"/>
    <w:rsid w:val="00F716D8"/>
    <w:rsid w:val="00F720FE"/>
    <w:rsid w:val="00F7260D"/>
    <w:rsid w:val="00F73169"/>
    <w:rsid w:val="00F731F5"/>
    <w:rsid w:val="00F7464C"/>
    <w:rsid w:val="00F74741"/>
    <w:rsid w:val="00F74EB2"/>
    <w:rsid w:val="00F74FD8"/>
    <w:rsid w:val="00F75545"/>
    <w:rsid w:val="00F7587F"/>
    <w:rsid w:val="00F75A65"/>
    <w:rsid w:val="00F76304"/>
    <w:rsid w:val="00F77290"/>
    <w:rsid w:val="00F778A0"/>
    <w:rsid w:val="00F77B1B"/>
    <w:rsid w:val="00F77F3C"/>
    <w:rsid w:val="00F80F07"/>
    <w:rsid w:val="00F8121F"/>
    <w:rsid w:val="00F81CCB"/>
    <w:rsid w:val="00F81ED0"/>
    <w:rsid w:val="00F82283"/>
    <w:rsid w:val="00F82864"/>
    <w:rsid w:val="00F829D0"/>
    <w:rsid w:val="00F83E5C"/>
    <w:rsid w:val="00F84494"/>
    <w:rsid w:val="00F8472A"/>
    <w:rsid w:val="00F85626"/>
    <w:rsid w:val="00F85F70"/>
    <w:rsid w:val="00F86005"/>
    <w:rsid w:val="00F874CA"/>
    <w:rsid w:val="00F8752D"/>
    <w:rsid w:val="00F90079"/>
    <w:rsid w:val="00F9106F"/>
    <w:rsid w:val="00F9112F"/>
    <w:rsid w:val="00F91586"/>
    <w:rsid w:val="00F91930"/>
    <w:rsid w:val="00F91C32"/>
    <w:rsid w:val="00F92069"/>
    <w:rsid w:val="00F92965"/>
    <w:rsid w:val="00F92B0D"/>
    <w:rsid w:val="00F92E42"/>
    <w:rsid w:val="00F92EE8"/>
    <w:rsid w:val="00F933CE"/>
    <w:rsid w:val="00F936C7"/>
    <w:rsid w:val="00F93984"/>
    <w:rsid w:val="00F940EF"/>
    <w:rsid w:val="00F94BDD"/>
    <w:rsid w:val="00F96D41"/>
    <w:rsid w:val="00F96F3A"/>
    <w:rsid w:val="00F9785E"/>
    <w:rsid w:val="00F97C62"/>
    <w:rsid w:val="00F97E82"/>
    <w:rsid w:val="00FA0620"/>
    <w:rsid w:val="00FA06AF"/>
    <w:rsid w:val="00FA0796"/>
    <w:rsid w:val="00FA11A5"/>
    <w:rsid w:val="00FA11D5"/>
    <w:rsid w:val="00FA16FF"/>
    <w:rsid w:val="00FA1E7B"/>
    <w:rsid w:val="00FA2831"/>
    <w:rsid w:val="00FA2B15"/>
    <w:rsid w:val="00FA33EC"/>
    <w:rsid w:val="00FA3439"/>
    <w:rsid w:val="00FA3A69"/>
    <w:rsid w:val="00FA3FCD"/>
    <w:rsid w:val="00FA5653"/>
    <w:rsid w:val="00FA5B8F"/>
    <w:rsid w:val="00FA60E0"/>
    <w:rsid w:val="00FA6401"/>
    <w:rsid w:val="00FA68A6"/>
    <w:rsid w:val="00FA75A1"/>
    <w:rsid w:val="00FA7891"/>
    <w:rsid w:val="00FA79FA"/>
    <w:rsid w:val="00FA7A54"/>
    <w:rsid w:val="00FB0074"/>
    <w:rsid w:val="00FB0670"/>
    <w:rsid w:val="00FB0DAE"/>
    <w:rsid w:val="00FB0F0E"/>
    <w:rsid w:val="00FB1659"/>
    <w:rsid w:val="00FB1B7D"/>
    <w:rsid w:val="00FB1F20"/>
    <w:rsid w:val="00FB25DA"/>
    <w:rsid w:val="00FB27BE"/>
    <w:rsid w:val="00FB3C62"/>
    <w:rsid w:val="00FB3D3F"/>
    <w:rsid w:val="00FB3FCE"/>
    <w:rsid w:val="00FB6092"/>
    <w:rsid w:val="00FB661F"/>
    <w:rsid w:val="00FB7AD8"/>
    <w:rsid w:val="00FC10AC"/>
    <w:rsid w:val="00FC1A8C"/>
    <w:rsid w:val="00FC24B4"/>
    <w:rsid w:val="00FC2B23"/>
    <w:rsid w:val="00FC305D"/>
    <w:rsid w:val="00FC3317"/>
    <w:rsid w:val="00FC3B72"/>
    <w:rsid w:val="00FC439D"/>
    <w:rsid w:val="00FC4482"/>
    <w:rsid w:val="00FC5D07"/>
    <w:rsid w:val="00FD02A4"/>
    <w:rsid w:val="00FD0572"/>
    <w:rsid w:val="00FD06B1"/>
    <w:rsid w:val="00FD06CB"/>
    <w:rsid w:val="00FD0856"/>
    <w:rsid w:val="00FD0EEA"/>
    <w:rsid w:val="00FD1460"/>
    <w:rsid w:val="00FD1FD5"/>
    <w:rsid w:val="00FD31E2"/>
    <w:rsid w:val="00FD36FA"/>
    <w:rsid w:val="00FD4536"/>
    <w:rsid w:val="00FD4DF8"/>
    <w:rsid w:val="00FD4F49"/>
    <w:rsid w:val="00FD6239"/>
    <w:rsid w:val="00FD63FB"/>
    <w:rsid w:val="00FD665A"/>
    <w:rsid w:val="00FD6BDC"/>
    <w:rsid w:val="00FD7602"/>
    <w:rsid w:val="00FD7885"/>
    <w:rsid w:val="00FE1CCC"/>
    <w:rsid w:val="00FE1F8F"/>
    <w:rsid w:val="00FE2732"/>
    <w:rsid w:val="00FE2AA1"/>
    <w:rsid w:val="00FE3E68"/>
    <w:rsid w:val="00FE453B"/>
    <w:rsid w:val="00FE4F18"/>
    <w:rsid w:val="00FE5247"/>
    <w:rsid w:val="00FE57C0"/>
    <w:rsid w:val="00FE5FC1"/>
    <w:rsid w:val="00FE6606"/>
    <w:rsid w:val="00FE699A"/>
    <w:rsid w:val="00FE79ED"/>
    <w:rsid w:val="00FE7B1B"/>
    <w:rsid w:val="00FE7F85"/>
    <w:rsid w:val="00FF04A4"/>
    <w:rsid w:val="00FF05B4"/>
    <w:rsid w:val="00FF09AB"/>
    <w:rsid w:val="00FF0B43"/>
    <w:rsid w:val="00FF1B66"/>
    <w:rsid w:val="00FF1BA5"/>
    <w:rsid w:val="00FF21C8"/>
    <w:rsid w:val="00FF2E59"/>
    <w:rsid w:val="00FF35D7"/>
    <w:rsid w:val="00FF4234"/>
    <w:rsid w:val="00FF53A3"/>
    <w:rsid w:val="00FF56AE"/>
    <w:rsid w:val="00FF6657"/>
    <w:rsid w:val="00FF7D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4"/>
      <w:szCs w:val="24"/>
      <w:lang w:val="en-US"/>
    </w:rPr>
  </w:style>
  <w:style w:type="paragraph" w:styleId="Ttulo1">
    <w:name w:val="heading 1"/>
    <w:basedOn w:val="Normal"/>
    <w:next w:val="Normal"/>
    <w:link w:val="Ttulo1Car"/>
    <w:uiPriority w:val="9"/>
    <w:qFormat/>
    <w:rsid w:val="007F3BDD"/>
    <w:pPr>
      <w:keepNext/>
      <w:keepLines/>
      <w:spacing w:before="240"/>
      <w:outlineLvl w:val="0"/>
    </w:pPr>
    <w:rPr>
      <w:rFonts w:asciiTheme="majorHAns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7F3BDD"/>
    <w:pPr>
      <w:keepNext/>
      <w:keepLines/>
      <w:spacing w:before="40"/>
      <w:outlineLvl w:val="1"/>
    </w:pPr>
    <w:rPr>
      <w:rFonts w:asciiTheme="majorHAnsi" w:eastAsiaTheme="majorEastAsia" w:hAnsiTheme="majorHAnsi"/>
      <w:color w:val="2E74B5" w:themeColor="accent1" w:themeShade="BF"/>
      <w:sz w:val="26"/>
      <w:szCs w:val="26"/>
    </w:rPr>
  </w:style>
  <w:style w:type="paragraph" w:styleId="Ttulo3">
    <w:name w:val="heading 3"/>
    <w:basedOn w:val="Normal"/>
    <w:next w:val="Normal"/>
    <w:link w:val="Ttulo3Car"/>
    <w:uiPriority w:val="9"/>
    <w:unhideWhenUsed/>
    <w:qFormat/>
    <w:rsid w:val="007F3BDD"/>
    <w:pPr>
      <w:keepNext/>
      <w:keepLines/>
      <w:spacing w:before="40"/>
      <w:outlineLvl w:val="2"/>
    </w:pPr>
    <w:rPr>
      <w:rFonts w:asciiTheme="majorHAnsi" w:eastAsiaTheme="majorEastAsia" w:hAnsiTheme="majorHAnsi"/>
      <w:color w:val="1F4D78" w:themeColor="accent1" w:themeShade="7F"/>
    </w:rPr>
  </w:style>
  <w:style w:type="paragraph" w:styleId="Ttulo4">
    <w:name w:val="heading 4"/>
    <w:basedOn w:val="Normal"/>
    <w:next w:val="Normal"/>
    <w:link w:val="Ttulo4Car"/>
    <w:uiPriority w:val="9"/>
    <w:qFormat/>
    <w:rsid w:val="007F3BDD"/>
    <w:pPr>
      <w:keepNext/>
      <w:keepLines/>
      <w:pBdr>
        <w:top w:val="none" w:sz="0" w:space="0" w:color="auto"/>
        <w:left w:val="none" w:sz="0" w:space="0" w:color="auto"/>
        <w:bottom w:val="none" w:sz="0" w:space="0" w:color="auto"/>
        <w:right w:val="none" w:sz="0" w:space="0" w:color="auto"/>
      </w:pBdr>
      <w:spacing w:before="40" w:line="259" w:lineRule="auto"/>
      <w:outlineLvl w:val="3"/>
    </w:pPr>
    <w:rPr>
      <w:rFonts w:ascii="Calibri Light" w:eastAsia="MS Gothic" w:hAnsi="Calibri Light"/>
      <w:i/>
      <w:iCs/>
      <w:color w:val="2E74B5"/>
      <w:lang w:val="es-ES"/>
    </w:rPr>
  </w:style>
  <w:style w:type="paragraph" w:styleId="Ttulo5">
    <w:name w:val="heading 5"/>
    <w:basedOn w:val="Normal"/>
    <w:next w:val="CuerpoA"/>
    <w:link w:val="Ttulo5Car"/>
    <w:uiPriority w:val="9"/>
    <w:qFormat/>
    <w:rsid w:val="00A8045C"/>
    <w:pPr>
      <w:keepNext/>
      <w:tabs>
        <w:tab w:val="left" w:pos="1843"/>
      </w:tabs>
      <w:jc w:val="center"/>
      <w:outlineLvl w:val="4"/>
    </w:pPr>
    <w:rPr>
      <w:rFonts w:eastAsia="Times New Roman"/>
      <w:color w:val="000000"/>
      <w:sz w:val="28"/>
      <w:szCs w:val="28"/>
      <w:u w:color="000000"/>
      <w:lang w:val="es-ES_tradnl" w:eastAsia="es-ES"/>
    </w:rPr>
  </w:style>
  <w:style w:type="paragraph" w:styleId="Ttulo6">
    <w:name w:val="heading 6"/>
    <w:basedOn w:val="Normal"/>
    <w:next w:val="Normal"/>
    <w:link w:val="Ttulo6Car"/>
    <w:uiPriority w:val="9"/>
    <w:qFormat/>
    <w:rsid w:val="007F3BDD"/>
    <w:pPr>
      <w:keepNext/>
      <w:keepLines/>
      <w:pBdr>
        <w:top w:val="none" w:sz="0" w:space="0" w:color="auto"/>
        <w:left w:val="none" w:sz="0" w:space="0" w:color="auto"/>
        <w:bottom w:val="none" w:sz="0" w:space="0" w:color="auto"/>
        <w:right w:val="none" w:sz="0" w:space="0" w:color="auto"/>
      </w:pBdr>
      <w:spacing w:before="40" w:line="259" w:lineRule="auto"/>
      <w:ind w:left="3600"/>
      <w:outlineLvl w:val="5"/>
    </w:pPr>
    <w:rPr>
      <w:rFonts w:ascii="Calibri Light" w:eastAsia="MS Gothic" w:hAnsi="Calibri Light"/>
      <w:color w:val="1F4D78"/>
      <w:lang w:val="es-ES"/>
    </w:rPr>
  </w:style>
  <w:style w:type="paragraph" w:styleId="Ttulo7">
    <w:name w:val="heading 7"/>
    <w:basedOn w:val="Normal"/>
    <w:next w:val="Normal"/>
    <w:link w:val="Ttulo7Car"/>
    <w:uiPriority w:val="9"/>
    <w:qFormat/>
    <w:rsid w:val="007F3BDD"/>
    <w:pPr>
      <w:keepNext/>
      <w:keepLines/>
      <w:pBdr>
        <w:top w:val="none" w:sz="0" w:space="0" w:color="auto"/>
        <w:left w:val="none" w:sz="0" w:space="0" w:color="auto"/>
        <w:bottom w:val="none" w:sz="0" w:space="0" w:color="auto"/>
        <w:right w:val="none" w:sz="0" w:space="0" w:color="auto"/>
      </w:pBdr>
      <w:spacing w:before="40" w:line="259" w:lineRule="auto"/>
      <w:ind w:left="4320"/>
      <w:outlineLvl w:val="6"/>
    </w:pPr>
    <w:rPr>
      <w:rFonts w:ascii="Calibri Light" w:eastAsia="MS Gothic" w:hAnsi="Calibri Light"/>
      <w:i/>
      <w:iCs/>
      <w:color w:val="1F4D78"/>
      <w:lang w:val="es-ES"/>
    </w:rPr>
  </w:style>
  <w:style w:type="paragraph" w:styleId="Ttulo8">
    <w:name w:val="heading 8"/>
    <w:basedOn w:val="Normal"/>
    <w:next w:val="Normal"/>
    <w:link w:val="Ttulo8Car"/>
    <w:uiPriority w:val="9"/>
    <w:qFormat/>
    <w:rsid w:val="007F3BDD"/>
    <w:pPr>
      <w:keepNext/>
      <w:keepLines/>
      <w:pBdr>
        <w:top w:val="none" w:sz="0" w:space="0" w:color="auto"/>
        <w:left w:val="none" w:sz="0" w:space="0" w:color="auto"/>
        <w:bottom w:val="none" w:sz="0" w:space="0" w:color="auto"/>
        <w:right w:val="none" w:sz="0" w:space="0" w:color="auto"/>
      </w:pBdr>
      <w:spacing w:before="40" w:line="259" w:lineRule="auto"/>
      <w:ind w:left="5040"/>
      <w:outlineLvl w:val="7"/>
    </w:pPr>
    <w:rPr>
      <w:rFonts w:ascii="Calibri Light" w:eastAsia="MS Gothic" w:hAnsi="Calibri Light"/>
      <w:color w:val="272727"/>
      <w:sz w:val="21"/>
      <w:szCs w:val="21"/>
      <w:lang w:val="es-ES"/>
    </w:rPr>
  </w:style>
  <w:style w:type="paragraph" w:styleId="Ttulo9">
    <w:name w:val="heading 9"/>
    <w:basedOn w:val="Normal"/>
    <w:next w:val="Normal"/>
    <w:link w:val="Ttulo9Car"/>
    <w:uiPriority w:val="9"/>
    <w:qFormat/>
    <w:rsid w:val="007F3BDD"/>
    <w:pPr>
      <w:keepNext/>
      <w:keepLines/>
      <w:pBdr>
        <w:top w:val="none" w:sz="0" w:space="0" w:color="auto"/>
        <w:left w:val="none" w:sz="0" w:space="0" w:color="auto"/>
        <w:bottom w:val="none" w:sz="0" w:space="0" w:color="auto"/>
        <w:right w:val="none" w:sz="0" w:space="0" w:color="auto"/>
      </w:pBdr>
      <w:spacing w:before="40" w:line="259" w:lineRule="auto"/>
      <w:ind w:left="5760"/>
      <w:outlineLvl w:val="8"/>
    </w:pPr>
    <w:rPr>
      <w:rFonts w:ascii="Calibri Light" w:eastAsia="MS Gothic" w:hAnsi="Calibri Light"/>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F3BDD"/>
    <w:rPr>
      <w:rFonts w:asciiTheme="majorHAnsi" w:eastAsiaTheme="majorEastAsia" w:hAnsiTheme="majorHAnsi" w:cs="Times New Roman"/>
      <w:color w:val="2E74B5" w:themeColor="accent1" w:themeShade="BF"/>
      <w:sz w:val="32"/>
      <w:szCs w:val="32"/>
      <w:lang w:val="en-US" w:eastAsia="x-none"/>
    </w:rPr>
  </w:style>
  <w:style w:type="character" w:customStyle="1" w:styleId="Ttulo2Car">
    <w:name w:val="Título 2 Car"/>
    <w:basedOn w:val="Fuentedeprrafopredeter"/>
    <w:link w:val="Ttulo2"/>
    <w:uiPriority w:val="9"/>
    <w:locked/>
    <w:rsid w:val="007F3BDD"/>
    <w:rPr>
      <w:rFonts w:asciiTheme="majorHAnsi" w:eastAsiaTheme="majorEastAsia" w:hAnsiTheme="majorHAnsi" w:cs="Times New Roman"/>
      <w:color w:val="2E74B5" w:themeColor="accent1" w:themeShade="BF"/>
      <w:sz w:val="26"/>
      <w:szCs w:val="26"/>
      <w:lang w:val="en-US" w:eastAsia="x-none"/>
    </w:rPr>
  </w:style>
  <w:style w:type="character" w:customStyle="1" w:styleId="Ttulo3Car">
    <w:name w:val="Título 3 Car"/>
    <w:basedOn w:val="Fuentedeprrafopredeter"/>
    <w:link w:val="Ttulo3"/>
    <w:uiPriority w:val="9"/>
    <w:locked/>
    <w:rsid w:val="007F3BDD"/>
    <w:rPr>
      <w:rFonts w:asciiTheme="majorHAnsi" w:eastAsiaTheme="majorEastAsia" w:hAnsiTheme="majorHAnsi" w:cs="Times New Roman"/>
      <w:color w:val="1F4D78" w:themeColor="accent1" w:themeShade="7F"/>
      <w:sz w:val="24"/>
      <w:szCs w:val="24"/>
      <w:lang w:val="en-US" w:eastAsia="x-none"/>
    </w:rPr>
  </w:style>
  <w:style w:type="character" w:customStyle="1" w:styleId="Ttulo4Car">
    <w:name w:val="Título 4 Car"/>
    <w:basedOn w:val="Fuentedeprrafopredeter"/>
    <w:link w:val="Ttulo4"/>
    <w:uiPriority w:val="9"/>
    <w:locked/>
    <w:rsid w:val="007F3BDD"/>
    <w:rPr>
      <w:rFonts w:ascii="Calibri Light" w:eastAsia="MS Gothic" w:hAnsi="Calibri Light" w:cs="Times New Roman"/>
      <w:i/>
      <w:iCs/>
      <w:color w:val="2E74B5"/>
      <w:sz w:val="24"/>
      <w:szCs w:val="24"/>
    </w:rPr>
  </w:style>
  <w:style w:type="character" w:customStyle="1" w:styleId="Ttulo5Car">
    <w:name w:val="Título 5 Car"/>
    <w:basedOn w:val="Fuentedeprrafopredeter"/>
    <w:link w:val="Ttulo5"/>
    <w:uiPriority w:val="9"/>
    <w:locked/>
    <w:rsid w:val="00A8045C"/>
    <w:rPr>
      <w:rFonts w:ascii="Times New Roman" w:hAnsi="Times New Roman" w:cs="Times New Roman"/>
      <w:color w:val="000000"/>
      <w:sz w:val="28"/>
      <w:szCs w:val="28"/>
      <w:u w:color="000000"/>
      <w:lang w:val="es-ES_tradnl" w:eastAsia="es-ES"/>
    </w:rPr>
  </w:style>
  <w:style w:type="character" w:customStyle="1" w:styleId="Ttulo6Car">
    <w:name w:val="Título 6 Car"/>
    <w:basedOn w:val="Fuentedeprrafopredeter"/>
    <w:link w:val="Ttulo6"/>
    <w:uiPriority w:val="9"/>
    <w:locked/>
    <w:rsid w:val="007F3BDD"/>
    <w:rPr>
      <w:rFonts w:ascii="Calibri Light" w:eastAsia="MS Gothic" w:hAnsi="Calibri Light" w:cs="Times New Roman"/>
      <w:color w:val="1F4D78"/>
      <w:sz w:val="24"/>
      <w:szCs w:val="24"/>
    </w:rPr>
  </w:style>
  <w:style w:type="character" w:customStyle="1" w:styleId="Ttulo7Car">
    <w:name w:val="Título 7 Car"/>
    <w:basedOn w:val="Fuentedeprrafopredeter"/>
    <w:link w:val="Ttulo7"/>
    <w:uiPriority w:val="9"/>
    <w:locked/>
    <w:rsid w:val="007F3BDD"/>
    <w:rPr>
      <w:rFonts w:ascii="Calibri Light" w:eastAsia="MS Gothic" w:hAnsi="Calibri Light" w:cs="Times New Roman"/>
      <w:i/>
      <w:iCs/>
      <w:color w:val="1F4D78"/>
      <w:sz w:val="24"/>
      <w:szCs w:val="24"/>
    </w:rPr>
  </w:style>
  <w:style w:type="character" w:customStyle="1" w:styleId="Ttulo8Car">
    <w:name w:val="Título 8 Car"/>
    <w:basedOn w:val="Fuentedeprrafopredeter"/>
    <w:link w:val="Ttulo8"/>
    <w:uiPriority w:val="9"/>
    <w:locked/>
    <w:rsid w:val="007F3BDD"/>
    <w:rPr>
      <w:rFonts w:ascii="Calibri Light" w:eastAsia="MS Gothic" w:hAnsi="Calibri Light" w:cs="Times New Roman"/>
      <w:color w:val="272727"/>
      <w:sz w:val="21"/>
      <w:szCs w:val="21"/>
    </w:rPr>
  </w:style>
  <w:style w:type="character" w:customStyle="1" w:styleId="Ttulo9Car">
    <w:name w:val="Título 9 Car"/>
    <w:basedOn w:val="Fuentedeprrafopredeter"/>
    <w:link w:val="Ttulo9"/>
    <w:uiPriority w:val="9"/>
    <w:locked/>
    <w:rsid w:val="007F3BDD"/>
    <w:rPr>
      <w:rFonts w:ascii="Calibri Light" w:eastAsia="MS Gothic" w:hAnsi="Calibri Light" w:cs="Times New Roman"/>
      <w:i/>
      <w:iCs/>
      <w:color w:val="272727"/>
      <w:sz w:val="21"/>
      <w:szCs w:val="21"/>
    </w:rPr>
  </w:style>
  <w:style w:type="character" w:styleId="Hipervnculo">
    <w:name w:val="Hyperlink"/>
    <w:basedOn w:val="Fuentedeprrafopredeter"/>
    <w:uiPriority w:val="99"/>
    <w:rsid w:val="00A8045C"/>
    <w:rPr>
      <w:u w:val="single"/>
    </w:rPr>
  </w:style>
  <w:style w:type="table" w:customStyle="1" w:styleId="TableNormal">
    <w:name w:val="Table Normal"/>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0"/>
      <w:szCs w:val="20"/>
      <w:lang w:eastAsia="es-ES"/>
    </w:rPr>
    <w:tblPr>
      <w:tblInd w:w="0" w:type="dxa"/>
      <w:tblCellMar>
        <w:top w:w="0" w:type="dxa"/>
        <w:left w:w="0" w:type="dxa"/>
        <w:bottom w:w="0" w:type="dxa"/>
        <w:right w:w="0" w:type="dxa"/>
      </w:tblCellMar>
    </w:tblPr>
  </w:style>
  <w:style w:type="paragraph" w:customStyle="1" w:styleId="Cabeceraypie">
    <w:name w:val="Cabecera y pie"/>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Arial Unicode MS" w:cs="Arial Unicode MS"/>
      <w:color w:val="000000"/>
      <w:sz w:val="24"/>
      <w:szCs w:val="24"/>
      <w:lang w:eastAsia="es-ES"/>
    </w:rPr>
  </w:style>
  <w:style w:type="paragraph" w:styleId="Piedepgina">
    <w:name w:val="footer"/>
    <w:basedOn w:val="Normal"/>
    <w:link w:val="PiedepginaCar"/>
    <w:uiPriority w:val="99"/>
    <w:rsid w:val="00A8045C"/>
    <w:pPr>
      <w:tabs>
        <w:tab w:val="center" w:pos="4252"/>
        <w:tab w:val="right" w:pos="8504"/>
      </w:tabs>
    </w:pPr>
    <w:rPr>
      <w:rFonts w:hAnsi="Arial Unicode MS" w:cs="Arial Unicode MS"/>
      <w:color w:val="000000"/>
      <w:sz w:val="20"/>
      <w:szCs w:val="20"/>
      <w:u w:color="000000"/>
      <w:lang w:val="es-ES_tradnl" w:eastAsia="es-ES"/>
    </w:rPr>
  </w:style>
  <w:style w:type="character" w:customStyle="1" w:styleId="PiedepginaCar">
    <w:name w:val="Pie de página Car"/>
    <w:basedOn w:val="Fuentedeprrafopredeter"/>
    <w:link w:val="Piedepgina"/>
    <w:uiPriority w:val="99"/>
    <w:locked/>
    <w:rsid w:val="00A8045C"/>
    <w:rPr>
      <w:rFonts w:ascii="Times New Roman" w:eastAsia="Arial Unicode MS" w:hAnsi="Arial Unicode MS" w:cs="Arial Unicode MS"/>
      <w:color w:val="000000"/>
      <w:sz w:val="20"/>
      <w:szCs w:val="20"/>
      <w:u w:color="000000"/>
      <w:lang w:val="es-ES_tradnl" w:eastAsia="es-ES"/>
    </w:rPr>
  </w:style>
  <w:style w:type="paragraph" w:styleId="Ttulo">
    <w:name w:val="Title"/>
    <w:basedOn w:val="Normal"/>
    <w:link w:val="TtuloCar"/>
    <w:uiPriority w:val="10"/>
    <w:rsid w:val="00A8045C"/>
    <w:pPr>
      <w:jc w:val="center"/>
    </w:pPr>
    <w:rPr>
      <w:rFonts w:hAnsi="Arial Unicode MS" w:cs="Arial Unicode MS"/>
      <w:color w:val="000000"/>
      <w:sz w:val="28"/>
      <w:szCs w:val="28"/>
      <w:u w:color="000000"/>
      <w:lang w:val="es-ES_tradnl" w:eastAsia="es-ES"/>
    </w:rPr>
  </w:style>
  <w:style w:type="paragraph" w:customStyle="1" w:styleId="CuerpoA">
    <w:name w:val="Cuerpo A"/>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hAnsi="Times New Roman" w:cs="Times New Roman"/>
      <w:color w:val="000000"/>
      <w:sz w:val="20"/>
      <w:szCs w:val="20"/>
      <w:u w:color="000000"/>
      <w:lang w:val="es-ES_tradnl" w:eastAsia="es-ES"/>
    </w:rPr>
  </w:style>
  <w:style w:type="character" w:customStyle="1" w:styleId="TtuloCar">
    <w:name w:val="Título Car"/>
    <w:basedOn w:val="Fuentedeprrafopredeter"/>
    <w:link w:val="Ttulo"/>
    <w:locked/>
    <w:rsid w:val="00A8045C"/>
    <w:rPr>
      <w:rFonts w:ascii="Times New Roman" w:eastAsia="Arial Unicode MS" w:hAnsi="Arial Unicode MS" w:cs="Arial Unicode MS"/>
      <w:color w:val="000000"/>
      <w:sz w:val="28"/>
      <w:szCs w:val="28"/>
      <w:u w:color="000000"/>
      <w:lang w:val="es-ES_tradnl" w:eastAsia="es-ES"/>
    </w:rPr>
  </w:style>
  <w:style w:type="paragraph" w:styleId="Textoindependiente3">
    <w:name w:val="Body Text 3"/>
    <w:basedOn w:val="Normal"/>
    <w:link w:val="Textoindependiente3Car"/>
    <w:uiPriority w:val="99"/>
    <w:rsid w:val="00A8045C"/>
    <w:pPr>
      <w:jc w:val="both"/>
    </w:pPr>
    <w:rPr>
      <w:rFonts w:eastAsia="Times New Roman"/>
      <w:color w:val="000000"/>
      <w:sz w:val="28"/>
      <w:szCs w:val="28"/>
      <w:u w:color="000000"/>
      <w:lang w:val="es-ES_tradnl" w:eastAsia="es-ES"/>
    </w:rPr>
  </w:style>
  <w:style w:type="character" w:customStyle="1" w:styleId="Textoindependiente3Car">
    <w:name w:val="Texto independiente 3 Car"/>
    <w:basedOn w:val="Fuentedeprrafopredeter"/>
    <w:link w:val="Textoindependiente3"/>
    <w:uiPriority w:val="99"/>
    <w:locked/>
    <w:rsid w:val="00A8045C"/>
    <w:rPr>
      <w:rFonts w:ascii="Times New Roman" w:hAnsi="Times New Roman" w:cs="Times New Roman"/>
      <w:color w:val="000000"/>
      <w:sz w:val="28"/>
      <w:szCs w:val="28"/>
      <w:u w:color="00000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rsid w:val="00A8045C"/>
    <w:rPr>
      <w:rFonts w:eastAsia="Times New Roman"/>
      <w:color w:val="000000"/>
      <w:sz w:val="20"/>
      <w:szCs w:val="20"/>
      <w:u w:color="000000"/>
      <w:lang w:val="es-ES_tradnl"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A8045C"/>
    <w:rPr>
      <w:rFonts w:ascii="Times New Roman" w:hAnsi="Times New Roman" w:cs="Times New Roman"/>
      <w:color w:val="000000"/>
      <w:sz w:val="20"/>
      <w:szCs w:val="20"/>
      <w:u w:color="000000"/>
      <w:lang w:val="es-ES_tradnl" w:eastAsia="es-ES"/>
    </w:rPr>
  </w:style>
  <w:style w:type="paragraph" w:styleId="Cita">
    <w:name w:val="Quote"/>
    <w:basedOn w:val="Normal"/>
    <w:next w:val="CuerpoA"/>
    <w:link w:val="CitaCar"/>
    <w:uiPriority w:val="29"/>
    <w:rsid w:val="00A8045C"/>
    <w:pPr>
      <w:spacing w:before="200" w:after="160"/>
      <w:ind w:left="864" w:right="864"/>
      <w:jc w:val="center"/>
    </w:pPr>
    <w:rPr>
      <w:rFonts w:eastAsia="Times New Roman"/>
      <w:i/>
      <w:iCs/>
      <w:color w:val="404040"/>
      <w:sz w:val="20"/>
      <w:szCs w:val="20"/>
      <w:u w:color="404040"/>
      <w:lang w:val="es-ES_tradnl" w:eastAsia="es-ES"/>
    </w:rPr>
  </w:style>
  <w:style w:type="character" w:customStyle="1" w:styleId="CitaCar">
    <w:name w:val="Cita Car"/>
    <w:basedOn w:val="Fuentedeprrafopredeter"/>
    <w:link w:val="Cita"/>
    <w:uiPriority w:val="29"/>
    <w:locked/>
    <w:rsid w:val="00A8045C"/>
    <w:rPr>
      <w:rFonts w:ascii="Times New Roman" w:hAnsi="Times New Roman" w:cs="Times New Roman"/>
      <w:i/>
      <w:iCs/>
      <w:color w:val="404040"/>
      <w:sz w:val="20"/>
      <w:szCs w:val="20"/>
      <w:u w:color="404040"/>
      <w:lang w:val="es-ES_tradnl" w:eastAsia="es-ES"/>
    </w:rPr>
  </w:style>
  <w:style w:type="paragraph" w:styleId="NormalWeb">
    <w:name w:val="Normal (Web)"/>
    <w:basedOn w:val="Normal"/>
    <w:uiPriority w:val="99"/>
    <w:rsid w:val="00A8045C"/>
    <w:pPr>
      <w:spacing w:before="100" w:after="100"/>
    </w:pPr>
    <w:rPr>
      <w:rFonts w:ascii="Arial Unicode MS" w:hAnsi="Arial Unicode MS" w:cs="Arial Unicode MS"/>
      <w:color w:val="000000"/>
      <w:u w:color="000000"/>
      <w:lang w:val="es-ES_tradnl" w:eastAsia="es-ES"/>
    </w:rPr>
  </w:style>
  <w:style w:type="paragraph" w:styleId="Prrafodelista">
    <w:name w:val="List Paragraph"/>
    <w:basedOn w:val="Normal"/>
    <w:uiPriority w:val="72"/>
    <w:qFormat/>
    <w:rsid w:val="00A8045C"/>
    <w:pPr>
      <w:ind w:left="708"/>
    </w:pPr>
    <w:rPr>
      <w:rFonts w:hAnsi="Arial Unicode MS" w:cs="Arial Unicode MS"/>
      <w:color w:val="000000"/>
      <w:sz w:val="20"/>
      <w:szCs w:val="20"/>
      <w:u w:color="000000"/>
      <w:lang w:val="es-ES_tradnl" w:eastAsia="es-ES"/>
    </w:rPr>
  </w:style>
  <w:style w:type="paragraph" w:customStyle="1" w:styleId="CuerpoAA">
    <w:name w:val="Cuerpo A A"/>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Arial Unicode MS" w:cs="Arial Unicode MS"/>
      <w:color w:val="000000"/>
      <w:sz w:val="20"/>
      <w:szCs w:val="20"/>
      <w:u w:color="000000"/>
      <w:lang w:val="es-ES_tradnl" w:eastAsia="es-ES"/>
    </w:rPr>
  </w:style>
  <w:style w:type="paragraph" w:customStyle="1" w:styleId="PoromisinA">
    <w:name w:val="Por omisión A"/>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Unicode MS" w:eastAsia="Arial Unicode MS" w:hAnsi="Arial Unicode MS" w:cs="Arial Unicode MS"/>
      <w:color w:val="000000"/>
      <w:u w:color="000000"/>
      <w:lang w:val="es-ES_tradnl" w:eastAsia="es-ES"/>
    </w:rPr>
  </w:style>
  <w:style w:type="paragraph" w:customStyle="1" w:styleId="Estilodetabla2A">
    <w:name w:val="Estilo de tabla 2 A"/>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sz w:val="20"/>
      <w:szCs w:val="20"/>
      <w:u w:color="000000"/>
      <w:lang w:val="es-ES_tradnl" w:eastAsia="es-ES"/>
    </w:rPr>
  </w:style>
  <w:style w:type="paragraph" w:customStyle="1" w:styleId="Cuerpo">
    <w:name w:val="Cuerpo"/>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Unicode MS" w:eastAsia="Arial Unicode MS" w:hAnsi="Times New Roman" w:cs="Arial Unicode MS"/>
      <w:color w:val="000000"/>
      <w:sz w:val="24"/>
      <w:szCs w:val="24"/>
      <w:u w:color="000000"/>
      <w:lang w:val="es-ES_tradnl" w:eastAsia="es-ES"/>
    </w:rPr>
  </w:style>
  <w:style w:type="paragraph" w:customStyle="1" w:styleId="PoromisinAA">
    <w:name w:val="Por omisión A A"/>
    <w:rsid w:val="00A8045C"/>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Unicode MS" w:eastAsia="Arial Unicode MS" w:hAnsi="Arial Unicode MS" w:cs="Arial Unicode MS"/>
      <w:color w:val="000000"/>
      <w:u w:color="000000"/>
      <w:lang w:val="es-ES_tradnl" w:eastAsia="es-ES"/>
    </w:rPr>
  </w:style>
  <w:style w:type="paragraph" w:styleId="Textoindependiente">
    <w:name w:val="Body Text"/>
    <w:basedOn w:val="Normal"/>
    <w:link w:val="TextoindependienteCar"/>
    <w:uiPriority w:val="99"/>
    <w:rsid w:val="00A8045C"/>
    <w:pPr>
      <w:suppressAutoHyphens/>
      <w:spacing w:after="120"/>
    </w:pPr>
    <w:rPr>
      <w:rFonts w:ascii="Times New Roman Bold" w:eastAsia="Times New Roman" w:hAnsi="Times New Roman Bold" w:cs="Times New Roman Bold"/>
      <w:color w:val="000000"/>
      <w:sz w:val="28"/>
      <w:szCs w:val="28"/>
      <w:u w:color="000000"/>
      <w:lang w:val="es-ES_tradnl" w:eastAsia="es-ES"/>
    </w:rPr>
  </w:style>
  <w:style w:type="character" w:customStyle="1" w:styleId="TextoindependienteCar">
    <w:name w:val="Texto independiente Car"/>
    <w:basedOn w:val="Fuentedeprrafopredeter"/>
    <w:link w:val="Textoindependiente"/>
    <w:uiPriority w:val="99"/>
    <w:locked/>
    <w:rsid w:val="00A8045C"/>
    <w:rPr>
      <w:rFonts w:ascii="Times New Roman Bold" w:eastAsia="Times New Roman" w:hAnsi="Times New Roman Bold" w:cs="Times New Roman Bold"/>
      <w:color w:val="000000"/>
      <w:sz w:val="28"/>
      <w:szCs w:val="28"/>
      <w:u w:color="000000"/>
      <w:lang w:val="es-ES_tradnl" w:eastAsia="es-ES"/>
    </w:rPr>
  </w:style>
  <w:style w:type="character" w:styleId="Refdenotaalpie">
    <w:name w:val="footnote reference"/>
    <w:aliases w:val="Footnotes refss,Texto de nota al pie,referencia nota al pie,Texto nota pie Car2,Footnote Text Char Char Char Char Char Car1,Footnote Text Char Char Char Char Car1,Footnote reference Car1,Footnote Text Char Char Char Car1,BVI fnr,f,FC"/>
    <w:basedOn w:val="Fuentedeprrafopredeter"/>
    <w:uiPriority w:val="99"/>
    <w:rsid w:val="00A8045C"/>
    <w:rPr>
      <w:rFonts w:cs="Times New Roman"/>
      <w:vertAlign w:val="superscript"/>
    </w:rPr>
  </w:style>
  <w:style w:type="paragraph" w:styleId="Textodeglobo">
    <w:name w:val="Balloon Text"/>
    <w:basedOn w:val="Normal"/>
    <w:link w:val="TextodegloboCar"/>
    <w:uiPriority w:val="99"/>
    <w:semiHidden/>
    <w:unhideWhenUsed/>
    <w:rsid w:val="00A8045C"/>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8045C"/>
    <w:rPr>
      <w:rFonts w:ascii="Segoe UI" w:eastAsia="Arial Unicode MS" w:hAnsi="Segoe UI" w:cs="Segoe UI"/>
      <w:sz w:val="18"/>
      <w:szCs w:val="18"/>
      <w:lang w:val="en-US" w:eastAsia="x-none"/>
    </w:rPr>
  </w:style>
  <w:style w:type="paragraph" w:customStyle="1" w:styleId="Encabezado1">
    <w:name w:val="Encabezado1"/>
    <w:rsid w:val="00A8045C"/>
    <w:pPr>
      <w:pBdr>
        <w:top w:val="none" w:sz="16" w:space="0" w:color="000000"/>
        <w:left w:val="none" w:sz="16" w:space="0" w:color="000000"/>
        <w:bottom w:val="none" w:sz="16" w:space="0" w:color="000000"/>
        <w:right w:val="none" w:sz="16" w:space="0" w:color="000000"/>
      </w:pBdr>
      <w:tabs>
        <w:tab w:val="center" w:pos="4252"/>
        <w:tab w:val="right" w:pos="8504"/>
      </w:tabs>
      <w:spacing w:after="0" w:line="240" w:lineRule="auto"/>
    </w:pPr>
    <w:rPr>
      <w:rFonts w:ascii="Times New Roman" w:eastAsia="Arial Unicode MS" w:hAnsi="Arial Unicode MS" w:cs="Arial Unicode MS"/>
      <w:color w:val="000000"/>
      <w:sz w:val="20"/>
      <w:szCs w:val="20"/>
      <w:u w:color="000000"/>
      <w:lang w:val="es-ES_tradnl" w:eastAsia="es-ES"/>
    </w:rPr>
  </w:style>
  <w:style w:type="character" w:styleId="Textoennegrita">
    <w:name w:val="Strong"/>
    <w:basedOn w:val="Fuentedeprrafopredeter"/>
    <w:uiPriority w:val="22"/>
    <w:qFormat/>
    <w:rsid w:val="00A8045C"/>
    <w:rPr>
      <w:rFonts w:cs="Times New Roman"/>
      <w:b/>
      <w:bCs/>
    </w:rPr>
  </w:style>
  <w:style w:type="character" w:customStyle="1" w:styleId="apple-converted-space">
    <w:name w:val="apple-converted-space"/>
    <w:basedOn w:val="Fuentedeprrafopredeter"/>
    <w:rsid w:val="00A8045C"/>
    <w:rPr>
      <w:rFonts w:cs="Times New Roman"/>
    </w:rPr>
  </w:style>
  <w:style w:type="paragraph" w:styleId="Encabezado">
    <w:name w:val="header"/>
    <w:basedOn w:val="Normal"/>
    <w:link w:val="EncabezadoCar"/>
    <w:uiPriority w:val="99"/>
    <w:unhideWhenUsed/>
    <w:rsid w:val="00A8045C"/>
    <w:pPr>
      <w:tabs>
        <w:tab w:val="center" w:pos="4252"/>
        <w:tab w:val="right" w:pos="8504"/>
      </w:tabs>
    </w:pPr>
  </w:style>
  <w:style w:type="character" w:customStyle="1" w:styleId="EncabezadoCar">
    <w:name w:val="Encabezado Car"/>
    <w:basedOn w:val="Fuentedeprrafopredeter"/>
    <w:link w:val="Encabezado"/>
    <w:uiPriority w:val="99"/>
    <w:locked/>
    <w:rsid w:val="00A8045C"/>
    <w:rPr>
      <w:rFonts w:ascii="Times New Roman" w:eastAsia="Arial Unicode MS" w:hAnsi="Times New Roman" w:cs="Times New Roman"/>
      <w:sz w:val="24"/>
      <w:szCs w:val="24"/>
      <w:lang w:val="en-US" w:eastAsia="x-none"/>
    </w:rPr>
  </w:style>
  <w:style w:type="table" w:styleId="Tablaconcuadrcula">
    <w:name w:val="Table Grid"/>
    <w:basedOn w:val="Tablanormal"/>
    <w:uiPriority w:val="39"/>
    <w:rsid w:val="00A804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045C"/>
    <w:rPr>
      <w:rFonts w:cs="Times New Roman"/>
      <w:sz w:val="18"/>
      <w:szCs w:val="18"/>
    </w:rPr>
  </w:style>
  <w:style w:type="paragraph" w:styleId="Textocomentario">
    <w:name w:val="annotation text"/>
    <w:basedOn w:val="Normal"/>
    <w:link w:val="TextocomentarioCar"/>
    <w:uiPriority w:val="99"/>
    <w:semiHidden/>
    <w:unhideWhenUsed/>
    <w:rsid w:val="00A8045C"/>
  </w:style>
  <w:style w:type="character" w:customStyle="1" w:styleId="TextocomentarioCar">
    <w:name w:val="Texto comentario Car"/>
    <w:basedOn w:val="Fuentedeprrafopredeter"/>
    <w:link w:val="Textocomentario"/>
    <w:uiPriority w:val="99"/>
    <w:semiHidden/>
    <w:locked/>
    <w:rsid w:val="00A8045C"/>
    <w:rPr>
      <w:rFonts w:ascii="Times New Roman" w:eastAsia="Arial Unicode MS" w:hAnsi="Times New Roman" w:cs="Times New Roman"/>
      <w:sz w:val="24"/>
      <w:szCs w:val="24"/>
      <w:lang w:val="en-US" w:eastAsia="x-none"/>
    </w:rPr>
  </w:style>
  <w:style w:type="paragraph" w:styleId="Asuntodelcomentario">
    <w:name w:val="annotation subject"/>
    <w:basedOn w:val="Textocomentario"/>
    <w:next w:val="Textocomentario"/>
    <w:link w:val="AsuntodelcomentarioCar"/>
    <w:uiPriority w:val="99"/>
    <w:semiHidden/>
    <w:unhideWhenUsed/>
    <w:rsid w:val="00A8045C"/>
    <w:rPr>
      <w:b/>
      <w:bCs/>
      <w:sz w:val="20"/>
      <w:szCs w:val="20"/>
    </w:rPr>
  </w:style>
  <w:style w:type="character" w:customStyle="1" w:styleId="AsuntodelcomentarioCar">
    <w:name w:val="Asunto del comentario Car"/>
    <w:basedOn w:val="TextocomentarioCar"/>
    <w:link w:val="Asuntodelcomentario"/>
    <w:uiPriority w:val="99"/>
    <w:semiHidden/>
    <w:locked/>
    <w:rsid w:val="00A8045C"/>
    <w:rPr>
      <w:rFonts w:ascii="Times New Roman" w:eastAsia="Arial Unicode MS" w:hAnsi="Times New Roman" w:cs="Times New Roman"/>
      <w:b/>
      <w:bCs/>
      <w:sz w:val="20"/>
      <w:szCs w:val="20"/>
      <w:lang w:val="en-US" w:eastAsia="x-none"/>
    </w:rPr>
  </w:style>
  <w:style w:type="character" w:styleId="nfasis">
    <w:name w:val="Emphasis"/>
    <w:basedOn w:val="Fuentedeprrafopredeter"/>
    <w:uiPriority w:val="20"/>
    <w:qFormat/>
    <w:rsid w:val="007C18B7"/>
    <w:rPr>
      <w:rFonts w:cs="Times New Roman"/>
      <w:i/>
      <w:iCs/>
    </w:rPr>
  </w:style>
  <w:style w:type="character" w:customStyle="1" w:styleId="baj">
    <w:name w:val="b_aj"/>
    <w:basedOn w:val="Fuentedeprrafopredeter"/>
    <w:rsid w:val="00CF4F6C"/>
    <w:rPr>
      <w:rFonts w:cs="Times New Roman"/>
    </w:rPr>
  </w:style>
  <w:style w:type="paragraph" w:styleId="z-Principiodelformulario">
    <w:name w:val="HTML Top of Form"/>
    <w:basedOn w:val="Normal"/>
    <w:next w:val="Normal"/>
    <w:link w:val="z-PrincipiodelformularioCar"/>
    <w:hidden/>
    <w:uiPriority w:val="99"/>
    <w:semiHidden/>
    <w:unhideWhenUsed/>
    <w:rsid w:val="00CF4F6C"/>
    <w:pPr>
      <w:pBdr>
        <w:top w:val="none" w:sz="0" w:space="0" w:color="auto"/>
        <w:left w:val="none" w:sz="0" w:space="0" w:color="auto"/>
        <w:bottom w:val="single" w:sz="6" w:space="1" w:color="auto"/>
        <w:right w:val="none" w:sz="0" w:space="0"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locked/>
    <w:rsid w:val="00CF4F6C"/>
    <w:rPr>
      <w:rFonts w:ascii="Arial" w:hAnsi="Arial" w:cs="Arial"/>
      <w:vanish/>
      <w:sz w:val="16"/>
      <w:szCs w:val="16"/>
      <w:lang w:val="x-none" w:eastAsia="es-ES"/>
    </w:rPr>
  </w:style>
  <w:style w:type="paragraph" w:styleId="z-Finaldelformulario">
    <w:name w:val="HTML Bottom of Form"/>
    <w:basedOn w:val="Normal"/>
    <w:next w:val="Normal"/>
    <w:link w:val="z-FinaldelformularioCar"/>
    <w:hidden/>
    <w:uiPriority w:val="99"/>
    <w:semiHidden/>
    <w:unhideWhenUsed/>
    <w:rsid w:val="00CF4F6C"/>
    <w:pPr>
      <w:pBdr>
        <w:top w:val="single" w:sz="6" w:space="1" w:color="auto"/>
        <w:left w:val="none" w:sz="0" w:space="0" w:color="auto"/>
        <w:bottom w:val="none" w:sz="0" w:space="0" w:color="auto"/>
        <w:right w:val="none" w:sz="0" w:space="0"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locked/>
    <w:rsid w:val="00CF4F6C"/>
    <w:rPr>
      <w:rFonts w:ascii="Arial" w:hAnsi="Arial" w:cs="Arial"/>
      <w:vanish/>
      <w:sz w:val="16"/>
      <w:szCs w:val="16"/>
      <w:lang w:val="x-none" w:eastAsia="es-ES"/>
    </w:rPr>
  </w:style>
  <w:style w:type="character" w:customStyle="1" w:styleId="iaj">
    <w:name w:val="i_aj"/>
    <w:basedOn w:val="Fuentedeprrafopredeter"/>
    <w:rsid w:val="00CF4F6C"/>
    <w:rPr>
      <w:rFonts w:cs="Times New Roman"/>
    </w:rPr>
  </w:style>
  <w:style w:type="paragraph" w:customStyle="1" w:styleId="centrado">
    <w:name w:val="centrado"/>
    <w:basedOn w:val="Normal"/>
    <w:rsid w:val="00417F4D"/>
    <w:pPr>
      <w:pBdr>
        <w:top w:val="none" w:sz="0" w:space="0" w:color="auto"/>
        <w:left w:val="none" w:sz="0" w:space="0" w:color="auto"/>
        <w:bottom w:val="none" w:sz="0" w:space="0" w:color="auto"/>
        <w:right w:val="none" w:sz="0" w:space="0" w:color="auto"/>
      </w:pBdr>
      <w:spacing w:before="100" w:beforeAutospacing="1" w:after="100" w:afterAutospacing="1"/>
    </w:pPr>
    <w:rPr>
      <w:rFonts w:eastAsia="Times New Roman"/>
      <w:lang w:val="es-ES" w:eastAsia="es-ES"/>
    </w:rPr>
  </w:style>
  <w:style w:type="paragraph" w:customStyle="1" w:styleId="Listavistosa-nfasis11">
    <w:name w:val="Lista vistosa - Énfasis 11"/>
    <w:basedOn w:val="Normal"/>
    <w:uiPriority w:val="34"/>
    <w:qFormat/>
    <w:rsid w:val="007F3BDD"/>
    <w:pPr>
      <w:pBdr>
        <w:top w:val="none" w:sz="0" w:space="0" w:color="auto"/>
        <w:left w:val="none" w:sz="0" w:space="0" w:color="auto"/>
        <w:bottom w:val="none" w:sz="0" w:space="0" w:color="auto"/>
        <w:right w:val="none" w:sz="0" w:space="0" w:color="auto"/>
      </w:pBdr>
      <w:spacing w:line="259" w:lineRule="auto"/>
      <w:ind w:left="720"/>
      <w:contextualSpacing/>
    </w:pPr>
    <w:rPr>
      <w:rFonts w:eastAsia="Times New Roman"/>
      <w:lang w:val="es-ES"/>
    </w:rPr>
  </w:style>
  <w:style w:type="paragraph" w:customStyle="1" w:styleId="Car4">
    <w:name w:val="Car4"/>
    <w:basedOn w:val="Normal"/>
    <w:rsid w:val="00840465"/>
    <w:pPr>
      <w:pBdr>
        <w:top w:val="none" w:sz="0" w:space="0" w:color="auto"/>
        <w:left w:val="none" w:sz="0" w:space="0" w:color="auto"/>
        <w:bottom w:val="none" w:sz="0" w:space="0" w:color="auto"/>
        <w:right w:val="none" w:sz="0" w:space="0" w:color="auto"/>
      </w:pBdr>
      <w:spacing w:after="160" w:line="240" w:lineRule="exact"/>
      <w:jc w:val="both"/>
    </w:pPr>
    <w:rPr>
      <w:rFonts w:ascii="Tahoma" w:eastAsia="Times New Roman" w:hAnsi="Tahoma"/>
      <w:sz w:val="20"/>
      <w:szCs w:val="20"/>
    </w:rPr>
  </w:style>
  <w:style w:type="numbering" w:customStyle="1" w:styleId="List1">
    <w:name w:val="List 1"/>
    <w:pPr>
      <w:numPr>
        <w:numId w:val="2"/>
      </w:numPr>
    </w:pPr>
  </w:style>
  <w:style w:type="numbering" w:customStyle="1" w:styleId="List0">
    <w:name w:val="List 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5982">
      <w:marLeft w:val="0"/>
      <w:marRight w:val="0"/>
      <w:marTop w:val="0"/>
      <w:marBottom w:val="0"/>
      <w:divBdr>
        <w:top w:val="none" w:sz="0" w:space="0" w:color="auto"/>
        <w:left w:val="none" w:sz="0" w:space="0" w:color="auto"/>
        <w:bottom w:val="none" w:sz="0" w:space="0" w:color="auto"/>
        <w:right w:val="none" w:sz="0" w:space="0" w:color="auto"/>
      </w:divBdr>
    </w:div>
    <w:div w:id="1550415984">
      <w:marLeft w:val="0"/>
      <w:marRight w:val="0"/>
      <w:marTop w:val="0"/>
      <w:marBottom w:val="0"/>
      <w:divBdr>
        <w:top w:val="none" w:sz="0" w:space="0" w:color="auto"/>
        <w:left w:val="none" w:sz="0" w:space="0" w:color="auto"/>
        <w:bottom w:val="none" w:sz="0" w:space="0" w:color="auto"/>
        <w:right w:val="none" w:sz="0" w:space="0" w:color="auto"/>
      </w:divBdr>
    </w:div>
    <w:div w:id="1550415985">
      <w:marLeft w:val="0"/>
      <w:marRight w:val="0"/>
      <w:marTop w:val="0"/>
      <w:marBottom w:val="0"/>
      <w:divBdr>
        <w:top w:val="none" w:sz="0" w:space="0" w:color="auto"/>
        <w:left w:val="none" w:sz="0" w:space="0" w:color="auto"/>
        <w:bottom w:val="none" w:sz="0" w:space="0" w:color="auto"/>
        <w:right w:val="none" w:sz="0" w:space="0" w:color="auto"/>
      </w:divBdr>
    </w:div>
    <w:div w:id="1550415986">
      <w:marLeft w:val="0"/>
      <w:marRight w:val="0"/>
      <w:marTop w:val="0"/>
      <w:marBottom w:val="0"/>
      <w:divBdr>
        <w:top w:val="none" w:sz="0" w:space="0" w:color="auto"/>
        <w:left w:val="none" w:sz="0" w:space="0" w:color="auto"/>
        <w:bottom w:val="none" w:sz="0" w:space="0" w:color="auto"/>
        <w:right w:val="none" w:sz="0" w:space="0" w:color="auto"/>
      </w:divBdr>
    </w:div>
    <w:div w:id="1550415987">
      <w:marLeft w:val="0"/>
      <w:marRight w:val="0"/>
      <w:marTop w:val="0"/>
      <w:marBottom w:val="0"/>
      <w:divBdr>
        <w:top w:val="none" w:sz="0" w:space="0" w:color="auto"/>
        <w:left w:val="none" w:sz="0" w:space="0" w:color="auto"/>
        <w:bottom w:val="none" w:sz="0" w:space="0" w:color="auto"/>
        <w:right w:val="none" w:sz="0" w:space="0" w:color="auto"/>
      </w:divBdr>
      <w:divsChild>
        <w:div w:id="1550415983">
          <w:marLeft w:val="0"/>
          <w:marRight w:val="0"/>
          <w:marTop w:val="0"/>
          <w:marBottom w:val="0"/>
          <w:divBdr>
            <w:top w:val="none" w:sz="0" w:space="0" w:color="auto"/>
            <w:left w:val="none" w:sz="0" w:space="0" w:color="auto"/>
            <w:bottom w:val="none" w:sz="0" w:space="0" w:color="auto"/>
            <w:right w:val="none" w:sz="0" w:space="0" w:color="auto"/>
          </w:divBdr>
        </w:div>
        <w:div w:id="1550415996">
          <w:marLeft w:val="0"/>
          <w:marRight w:val="0"/>
          <w:marTop w:val="0"/>
          <w:marBottom w:val="0"/>
          <w:divBdr>
            <w:top w:val="none" w:sz="0" w:space="0" w:color="auto"/>
            <w:left w:val="none" w:sz="0" w:space="0" w:color="auto"/>
            <w:bottom w:val="none" w:sz="0" w:space="0" w:color="auto"/>
            <w:right w:val="none" w:sz="0" w:space="0" w:color="auto"/>
          </w:divBdr>
        </w:div>
        <w:div w:id="1550415999">
          <w:marLeft w:val="0"/>
          <w:marRight w:val="0"/>
          <w:marTop w:val="0"/>
          <w:marBottom w:val="0"/>
          <w:divBdr>
            <w:top w:val="single" w:sz="6" w:space="3" w:color="808080"/>
            <w:left w:val="single" w:sz="6" w:space="15" w:color="808080"/>
            <w:bottom w:val="single" w:sz="6" w:space="8" w:color="808080"/>
            <w:right w:val="single" w:sz="6" w:space="15" w:color="808080"/>
          </w:divBdr>
          <w:divsChild>
            <w:div w:id="1550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5988">
      <w:marLeft w:val="0"/>
      <w:marRight w:val="0"/>
      <w:marTop w:val="0"/>
      <w:marBottom w:val="0"/>
      <w:divBdr>
        <w:top w:val="none" w:sz="0" w:space="0" w:color="auto"/>
        <w:left w:val="none" w:sz="0" w:space="0" w:color="auto"/>
        <w:bottom w:val="none" w:sz="0" w:space="0" w:color="auto"/>
        <w:right w:val="none" w:sz="0" w:space="0" w:color="auto"/>
      </w:divBdr>
    </w:div>
    <w:div w:id="1550415989">
      <w:marLeft w:val="0"/>
      <w:marRight w:val="0"/>
      <w:marTop w:val="0"/>
      <w:marBottom w:val="0"/>
      <w:divBdr>
        <w:top w:val="none" w:sz="0" w:space="0" w:color="auto"/>
        <w:left w:val="none" w:sz="0" w:space="0" w:color="auto"/>
        <w:bottom w:val="none" w:sz="0" w:space="0" w:color="auto"/>
        <w:right w:val="none" w:sz="0" w:space="0" w:color="auto"/>
      </w:divBdr>
    </w:div>
    <w:div w:id="1550415990">
      <w:marLeft w:val="0"/>
      <w:marRight w:val="0"/>
      <w:marTop w:val="0"/>
      <w:marBottom w:val="0"/>
      <w:divBdr>
        <w:top w:val="none" w:sz="0" w:space="0" w:color="auto"/>
        <w:left w:val="none" w:sz="0" w:space="0" w:color="auto"/>
        <w:bottom w:val="none" w:sz="0" w:space="0" w:color="auto"/>
        <w:right w:val="none" w:sz="0" w:space="0" w:color="auto"/>
      </w:divBdr>
    </w:div>
    <w:div w:id="1550415991">
      <w:marLeft w:val="0"/>
      <w:marRight w:val="0"/>
      <w:marTop w:val="0"/>
      <w:marBottom w:val="0"/>
      <w:divBdr>
        <w:top w:val="none" w:sz="0" w:space="0" w:color="auto"/>
        <w:left w:val="none" w:sz="0" w:space="0" w:color="auto"/>
        <w:bottom w:val="none" w:sz="0" w:space="0" w:color="auto"/>
        <w:right w:val="none" w:sz="0" w:space="0" w:color="auto"/>
      </w:divBdr>
    </w:div>
    <w:div w:id="1550415992">
      <w:marLeft w:val="0"/>
      <w:marRight w:val="0"/>
      <w:marTop w:val="0"/>
      <w:marBottom w:val="0"/>
      <w:divBdr>
        <w:top w:val="none" w:sz="0" w:space="0" w:color="auto"/>
        <w:left w:val="none" w:sz="0" w:space="0" w:color="auto"/>
        <w:bottom w:val="none" w:sz="0" w:space="0" w:color="auto"/>
        <w:right w:val="none" w:sz="0" w:space="0" w:color="auto"/>
      </w:divBdr>
    </w:div>
    <w:div w:id="1550415993">
      <w:marLeft w:val="0"/>
      <w:marRight w:val="0"/>
      <w:marTop w:val="0"/>
      <w:marBottom w:val="0"/>
      <w:divBdr>
        <w:top w:val="none" w:sz="0" w:space="0" w:color="auto"/>
        <w:left w:val="none" w:sz="0" w:space="0" w:color="auto"/>
        <w:bottom w:val="none" w:sz="0" w:space="0" w:color="auto"/>
        <w:right w:val="none" w:sz="0" w:space="0" w:color="auto"/>
      </w:divBdr>
      <w:divsChild>
        <w:div w:id="1550415995">
          <w:marLeft w:val="0"/>
          <w:marRight w:val="0"/>
          <w:marTop w:val="0"/>
          <w:marBottom w:val="0"/>
          <w:divBdr>
            <w:top w:val="none" w:sz="0" w:space="0" w:color="auto"/>
            <w:left w:val="none" w:sz="0" w:space="0" w:color="auto"/>
            <w:bottom w:val="none" w:sz="0" w:space="0" w:color="auto"/>
            <w:right w:val="none" w:sz="0" w:space="0" w:color="auto"/>
          </w:divBdr>
        </w:div>
        <w:div w:id="1550415998">
          <w:marLeft w:val="0"/>
          <w:marRight w:val="0"/>
          <w:marTop w:val="0"/>
          <w:marBottom w:val="0"/>
          <w:divBdr>
            <w:top w:val="single" w:sz="6" w:space="3" w:color="808080"/>
            <w:left w:val="single" w:sz="6" w:space="15" w:color="808080"/>
            <w:bottom w:val="single" w:sz="6" w:space="8" w:color="808080"/>
            <w:right w:val="single" w:sz="6" w:space="15" w:color="808080"/>
          </w:divBdr>
          <w:divsChild>
            <w:div w:id="15504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5997">
      <w:marLeft w:val="0"/>
      <w:marRight w:val="0"/>
      <w:marTop w:val="0"/>
      <w:marBottom w:val="0"/>
      <w:divBdr>
        <w:top w:val="none" w:sz="0" w:space="0" w:color="auto"/>
        <w:left w:val="none" w:sz="0" w:space="0" w:color="auto"/>
        <w:bottom w:val="none" w:sz="0" w:space="0" w:color="auto"/>
        <w:right w:val="none" w:sz="0" w:space="0" w:color="auto"/>
      </w:divBdr>
    </w:div>
    <w:div w:id="1550416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50_2011_pr002.html" TargetMode="External"/><Relationship Id="rId13" Type="http://schemas.openxmlformats.org/officeDocument/2006/relationships/hyperlink" Target="http://www.corteconstitucional.gov.co/relatoria/2003/T-602-03.htm" TargetMode="External"/><Relationship Id="rId18" Type="http://schemas.openxmlformats.org/officeDocument/2006/relationships/hyperlink" Target="http://www.alcaldiabogota.gov.co/sisjur/normas/Norma1.jsp?i=1175" TargetMode="External"/><Relationship Id="rId3" Type="http://schemas.openxmlformats.org/officeDocument/2006/relationships/styles" Target="styles.xml"/><Relationship Id="rId21" Type="http://schemas.openxmlformats.org/officeDocument/2006/relationships/hyperlink" Target="http://www.secretariasenado.gov.co/senado/basedoc/ley_1448_2011_pr001.html" TargetMode="External"/><Relationship Id="rId7" Type="http://schemas.openxmlformats.org/officeDocument/2006/relationships/endnotes" Target="endnotes.xml"/><Relationship Id="rId12" Type="http://schemas.openxmlformats.org/officeDocument/2006/relationships/hyperlink" Target="http://www.secretariasenado.gov.co/senado/basedoc/ley_1448_2011_pr002.html" TargetMode="External"/><Relationship Id="rId17" Type="http://schemas.openxmlformats.org/officeDocument/2006/relationships/hyperlink" Target="http://www.corteconstitucional.gov.co/relatoria/2011/T-159-1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teconstitucional.gov.co/relatoria/2010/T-515-10.htm" TargetMode="External"/><Relationship Id="rId20" Type="http://schemas.openxmlformats.org/officeDocument/2006/relationships/hyperlink" Target="http://www.alcaldiabogota.gov.co/sisjur/normas/Norma1.jsp?i=48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48_2011_pr0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teconstitucional.gov.co/relatoria/2008/T-1115-08.htm" TargetMode="External"/><Relationship Id="rId23" Type="http://schemas.openxmlformats.org/officeDocument/2006/relationships/header" Target="header1.xml"/><Relationship Id="rId10" Type="http://schemas.openxmlformats.org/officeDocument/2006/relationships/hyperlink" Target="http://www.secretariasenado.gov.co/senado/basedoc/ley_1682_2013.html" TargetMode="External"/><Relationship Id="rId19" Type="http://schemas.openxmlformats.org/officeDocument/2006/relationships/hyperlink" Target="http://www.alcaldiabogota.gov.co/sisjur/normas/Norma1.jsp?i=339" TargetMode="External"/><Relationship Id="rId4" Type="http://schemas.openxmlformats.org/officeDocument/2006/relationships/settings" Target="settings.xml"/><Relationship Id="rId9" Type="http://schemas.openxmlformats.org/officeDocument/2006/relationships/hyperlink" Target="http://www.secretariasenado.gov.co/senado/basedoc/ley_0388_1997.html" TargetMode="External"/><Relationship Id="rId14" Type="http://schemas.openxmlformats.org/officeDocument/2006/relationships/hyperlink" Target="http://www.corteconstitucional.gov.co/relatoria/2010/T-528-10.htm" TargetMode="External"/><Relationship Id="rId22" Type="http://schemas.openxmlformats.org/officeDocument/2006/relationships/hyperlink" Target="http://www.secretariasenado.gov.co/senado/basedoc/ley_1448_2011_pr0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7192-74C8-48EC-A04A-8B1C937D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61970</Words>
  <Characters>340837</Characters>
  <Application>Microsoft Office Word</Application>
  <DocSecurity>0</DocSecurity>
  <Lines>2840</Lines>
  <Paragraphs>804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Estrada Chaves</dc:creator>
  <cp:lastModifiedBy>Amanda Romero</cp:lastModifiedBy>
  <cp:revision>2</cp:revision>
  <cp:lastPrinted>2016-02-18T15:17:00Z</cp:lastPrinted>
  <dcterms:created xsi:type="dcterms:W3CDTF">2016-03-01T01:57:00Z</dcterms:created>
  <dcterms:modified xsi:type="dcterms:W3CDTF">2016-03-01T01:57:00Z</dcterms:modified>
</cp:coreProperties>
</file>