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32" w:rsidRPr="004D22A1" w:rsidRDefault="00962678" w:rsidP="00FF4F32">
      <w:pPr>
        <w:ind w:firstLine="720"/>
        <w:jc w:val="both"/>
        <w:rPr>
          <w:rFonts w:asciiTheme="minorHAnsi" w:hAnsiTheme="minorHAnsi"/>
          <w:b/>
        </w:rPr>
      </w:pPr>
      <w:bookmarkStart w:id="0" w:name="_GoBack"/>
      <w:bookmarkEnd w:id="0"/>
      <w:r w:rsidRPr="00682666">
        <w:rPr>
          <w:rFonts w:asciiTheme="minorHAnsi" w:hAnsiTheme="minorHAnsi"/>
          <w:b/>
          <w:u w:val="single"/>
        </w:rPr>
        <w:t>Gacetilla de Información</w:t>
      </w:r>
      <w:r w:rsidRPr="004D22A1">
        <w:rPr>
          <w:rFonts w:asciiTheme="minorHAnsi" w:hAnsiTheme="minorHAnsi"/>
          <w:b/>
        </w:rPr>
        <w:t xml:space="preserve">: </w:t>
      </w:r>
      <w:r w:rsidR="00FF4F32" w:rsidRPr="004D22A1">
        <w:rPr>
          <w:rFonts w:asciiTheme="minorHAnsi" w:hAnsiTheme="minorHAnsi"/>
          <w:b/>
        </w:rPr>
        <w:t xml:space="preserve">CASO </w:t>
      </w:r>
      <w:r w:rsidRPr="004D22A1">
        <w:rPr>
          <w:rFonts w:asciiTheme="minorHAnsi" w:hAnsiTheme="minorHAnsi"/>
          <w:b/>
        </w:rPr>
        <w:t xml:space="preserve">FOCO INPADE vs. </w:t>
      </w:r>
      <w:r w:rsidR="00FF4F32" w:rsidRPr="004D22A1">
        <w:rPr>
          <w:rFonts w:asciiTheme="minorHAnsi" w:hAnsiTheme="minorHAnsi"/>
          <w:b/>
        </w:rPr>
        <w:t>BARRICK GOLD CORPORATION</w:t>
      </w:r>
      <w:r w:rsidRPr="004D22A1">
        <w:rPr>
          <w:rFonts w:asciiTheme="minorHAnsi" w:hAnsiTheme="minorHAnsi"/>
          <w:b/>
        </w:rPr>
        <w:t xml:space="preserve"> s/V</w:t>
      </w:r>
      <w:r w:rsidR="00010861" w:rsidRPr="004D22A1">
        <w:rPr>
          <w:rFonts w:asciiTheme="minorHAnsi" w:hAnsiTheme="minorHAnsi"/>
          <w:b/>
        </w:rPr>
        <w:t xml:space="preserve">iolación Directrices OCDE </w:t>
      </w:r>
      <w:r w:rsidRPr="004D22A1">
        <w:rPr>
          <w:rFonts w:asciiTheme="minorHAnsi" w:hAnsiTheme="minorHAnsi"/>
          <w:b/>
        </w:rPr>
        <w:t>(</w:t>
      </w:r>
      <w:r w:rsidR="00010861" w:rsidRPr="004D22A1">
        <w:rPr>
          <w:rFonts w:asciiTheme="minorHAnsi" w:hAnsiTheme="minorHAnsi"/>
          <w:b/>
        </w:rPr>
        <w:t>Punto Nacional de Contacto Argentino).-</w:t>
      </w:r>
    </w:p>
    <w:p w:rsidR="00962678" w:rsidRPr="004D22A1" w:rsidRDefault="00962678" w:rsidP="00FF4F32">
      <w:pPr>
        <w:ind w:firstLine="720"/>
        <w:jc w:val="both"/>
        <w:rPr>
          <w:rFonts w:asciiTheme="minorHAnsi" w:hAnsiTheme="minorHAnsi"/>
          <w:b/>
        </w:rPr>
      </w:pPr>
    </w:p>
    <w:p w:rsidR="00962678" w:rsidRDefault="00962678" w:rsidP="00FF4F32">
      <w:pPr>
        <w:ind w:firstLine="720"/>
        <w:jc w:val="both"/>
        <w:rPr>
          <w:rFonts w:asciiTheme="minorHAnsi" w:hAnsiTheme="minorHAnsi"/>
        </w:rPr>
      </w:pPr>
      <w:r w:rsidRPr="004D22A1">
        <w:rPr>
          <w:rFonts w:asciiTheme="minorHAnsi" w:hAnsiTheme="minorHAnsi"/>
        </w:rPr>
        <w:t xml:space="preserve">El </w:t>
      </w:r>
      <w:r w:rsidRPr="006D2F7D">
        <w:rPr>
          <w:rFonts w:asciiTheme="minorHAnsi" w:hAnsiTheme="minorHAnsi"/>
          <w:b/>
        </w:rPr>
        <w:t>8 de junio de 2011</w:t>
      </w:r>
      <w:r w:rsidRPr="004D22A1">
        <w:rPr>
          <w:rFonts w:asciiTheme="minorHAnsi" w:hAnsiTheme="minorHAnsi"/>
        </w:rPr>
        <w:t xml:space="preserve"> </w:t>
      </w:r>
      <w:r w:rsidR="004D22A1">
        <w:rPr>
          <w:rFonts w:asciiTheme="minorHAnsi" w:hAnsiTheme="minorHAnsi"/>
        </w:rPr>
        <w:t xml:space="preserve">la Organización </w:t>
      </w:r>
      <w:r w:rsidRPr="006D2F7D">
        <w:rPr>
          <w:rFonts w:asciiTheme="minorHAnsi" w:hAnsiTheme="minorHAnsi"/>
          <w:b/>
        </w:rPr>
        <w:t>FOCO INPADE</w:t>
      </w:r>
      <w:r w:rsidR="0023397F" w:rsidRPr="006D2F7D">
        <w:rPr>
          <w:rFonts w:asciiTheme="minorHAnsi" w:hAnsiTheme="minorHAnsi"/>
          <w:b/>
        </w:rPr>
        <w:t xml:space="preserve"> (ARGENTINA)</w:t>
      </w:r>
      <w:r w:rsidRPr="004D22A1">
        <w:rPr>
          <w:rFonts w:asciiTheme="minorHAnsi" w:hAnsiTheme="minorHAnsi"/>
        </w:rPr>
        <w:t xml:space="preserve"> </w:t>
      </w:r>
      <w:r w:rsidRPr="006D2F7D">
        <w:rPr>
          <w:rFonts w:asciiTheme="minorHAnsi" w:hAnsiTheme="minorHAnsi"/>
          <w:i/>
        </w:rPr>
        <w:t xml:space="preserve">presentó una denuncia contra la trasnacional BARRICK GOLD </w:t>
      </w:r>
      <w:r w:rsidR="004D22A1" w:rsidRPr="006D2F7D">
        <w:rPr>
          <w:rFonts w:asciiTheme="minorHAnsi" w:hAnsiTheme="minorHAnsi"/>
          <w:i/>
        </w:rPr>
        <w:t xml:space="preserve">(de origen canadiense) </w:t>
      </w:r>
      <w:r w:rsidRPr="006D2F7D">
        <w:rPr>
          <w:rFonts w:asciiTheme="minorHAnsi" w:hAnsiTheme="minorHAnsi"/>
          <w:i/>
        </w:rPr>
        <w:t>por violación a las Directrices OCDE para Empresas Multinacionales</w:t>
      </w:r>
      <w:r w:rsidRPr="004D22A1">
        <w:rPr>
          <w:rFonts w:asciiTheme="minorHAnsi" w:hAnsiTheme="minorHAnsi"/>
        </w:rPr>
        <w:t xml:space="preserve">. Se </w:t>
      </w:r>
      <w:r w:rsidR="00FF4F32" w:rsidRPr="004D22A1">
        <w:rPr>
          <w:rFonts w:asciiTheme="minorHAnsi" w:hAnsiTheme="minorHAnsi"/>
        </w:rPr>
        <w:t xml:space="preserve">interpuso ante la </w:t>
      </w:r>
      <w:r w:rsidR="00FF4F32" w:rsidRPr="006D2F7D">
        <w:rPr>
          <w:rFonts w:asciiTheme="minorHAnsi" w:hAnsiTheme="minorHAnsi"/>
          <w:b/>
        </w:rPr>
        <w:t>Unidad Coordinación de Temas OCDE</w:t>
      </w:r>
      <w:r w:rsidR="0023397F" w:rsidRPr="006D2F7D">
        <w:rPr>
          <w:rFonts w:asciiTheme="minorHAnsi" w:hAnsiTheme="minorHAnsi"/>
          <w:b/>
        </w:rPr>
        <w:t xml:space="preserve"> (Punto Nacional de Contacto argentino) </w:t>
      </w:r>
      <w:r w:rsidR="0023397F" w:rsidRPr="004D22A1">
        <w:rPr>
          <w:rFonts w:asciiTheme="minorHAnsi" w:hAnsiTheme="minorHAnsi"/>
        </w:rPr>
        <w:t xml:space="preserve">ubicada en la órbita de la Dirección de Asuntos Económicos Multilaterales y G-20, </w:t>
      </w:r>
      <w:r w:rsidR="00FF4F32" w:rsidRPr="004D22A1">
        <w:rPr>
          <w:rFonts w:asciiTheme="minorHAnsi" w:hAnsiTheme="minorHAnsi"/>
        </w:rPr>
        <w:t>Ministerio de Relaciones Exteriores, Comercio Internacional y Culto</w:t>
      </w:r>
      <w:r w:rsidR="004D22A1">
        <w:rPr>
          <w:rFonts w:asciiTheme="minorHAnsi" w:hAnsiTheme="minorHAnsi"/>
        </w:rPr>
        <w:t xml:space="preserve"> de la Nación, en ejercicio del mecanismo provisto por las citadas Directrices y de acuerdo a su Guía de Procedimiento.</w:t>
      </w:r>
    </w:p>
    <w:p w:rsidR="00B92629" w:rsidRPr="004D22A1" w:rsidRDefault="00B92629" w:rsidP="00FF4F32">
      <w:pPr>
        <w:ind w:firstLine="720"/>
        <w:jc w:val="both"/>
        <w:rPr>
          <w:rFonts w:asciiTheme="minorHAnsi" w:hAnsiTheme="minorHAnsi"/>
        </w:rPr>
      </w:pPr>
    </w:p>
    <w:p w:rsidR="00FF4F32" w:rsidRDefault="004D22A1" w:rsidP="00FF4F32">
      <w:pPr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denuncia involucra el incumplimiento de la empresa</w:t>
      </w:r>
      <w:r w:rsidR="00FF4F32" w:rsidRPr="004D22A1">
        <w:rPr>
          <w:rFonts w:asciiTheme="minorHAnsi" w:hAnsiTheme="minorHAnsi"/>
        </w:rPr>
        <w:t xml:space="preserve"> al Prólogo</w:t>
      </w:r>
      <w:r>
        <w:rPr>
          <w:rFonts w:asciiTheme="minorHAnsi" w:hAnsiTheme="minorHAnsi"/>
        </w:rPr>
        <w:t xml:space="preserve"> de las Directrices OCDE</w:t>
      </w:r>
      <w:r w:rsidR="00FF4F32" w:rsidRPr="004D22A1">
        <w:rPr>
          <w:rFonts w:asciiTheme="minorHAnsi" w:hAnsiTheme="minorHAnsi"/>
        </w:rPr>
        <w:t xml:space="preserve">, Capítulos I y II relativos a “Conceptos” y “Principios Generales”; Capítulo III relativo a “Publicación de Informaciones”; y Capítulo V relativo al “Medio </w:t>
      </w:r>
      <w:r w:rsidR="0023397F" w:rsidRPr="004D22A1">
        <w:rPr>
          <w:rFonts w:asciiTheme="minorHAnsi" w:hAnsiTheme="minorHAnsi"/>
        </w:rPr>
        <w:t>Ambiente”</w:t>
      </w:r>
      <w:r w:rsidRPr="004D22A1">
        <w:rPr>
          <w:rFonts w:asciiTheme="minorHAnsi" w:hAnsiTheme="minorHAnsi"/>
        </w:rPr>
        <w:t>.</w:t>
      </w:r>
    </w:p>
    <w:p w:rsidR="00B92629" w:rsidRPr="004D22A1" w:rsidRDefault="00B92629" w:rsidP="00FF4F32">
      <w:pPr>
        <w:ind w:firstLine="720"/>
        <w:jc w:val="both"/>
        <w:rPr>
          <w:rFonts w:asciiTheme="minorHAnsi" w:hAnsiTheme="minorHAnsi"/>
        </w:rPr>
      </w:pPr>
    </w:p>
    <w:p w:rsidR="004D22A1" w:rsidRPr="004D22A1" w:rsidRDefault="004D22A1" w:rsidP="004D22A1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Respecto de éste ultimo FOCO puso de relieve los siguientes daños: </w:t>
      </w:r>
      <w:r w:rsidRPr="004D22A1">
        <w:rPr>
          <w:rFonts w:asciiTheme="minorHAnsi" w:hAnsiTheme="minorHAnsi"/>
          <w:b/>
        </w:rPr>
        <w:t>afectación de las aguas superficiales y subterráneas</w:t>
      </w:r>
      <w:r w:rsidRPr="004D22A1">
        <w:rPr>
          <w:rFonts w:asciiTheme="minorHAnsi" w:hAnsiTheme="minorHAnsi"/>
        </w:rPr>
        <w:t xml:space="preserve"> por el uso de productos químicos de muy alto riesgo, desvíos de corrientes de agua superficial y subterránea sobre las cuencas de los ríos las Taguas, Blanco y Jáchal; </w:t>
      </w:r>
      <w:r w:rsidRPr="004D22A1">
        <w:rPr>
          <w:rFonts w:asciiTheme="minorHAnsi" w:hAnsiTheme="minorHAnsi"/>
          <w:b/>
        </w:rPr>
        <w:t>afectación del aire</w:t>
      </w:r>
      <w:r w:rsidRPr="004D22A1">
        <w:rPr>
          <w:rFonts w:asciiTheme="minorHAnsi" w:hAnsiTheme="minorHAnsi"/>
        </w:rPr>
        <w:t xml:space="preserve"> debido a las voladuras de  molienda  y perforación que propagan partículas de polvos como rocas, metales, arsénico, etc.; </w:t>
      </w:r>
      <w:r w:rsidRPr="004D22A1">
        <w:rPr>
          <w:rFonts w:asciiTheme="minorHAnsi" w:hAnsiTheme="minorHAnsi"/>
          <w:b/>
        </w:rPr>
        <w:t>afectación del suelo</w:t>
      </w:r>
      <w:r w:rsidRPr="004D22A1">
        <w:rPr>
          <w:rFonts w:asciiTheme="minorHAnsi" w:hAnsiTheme="minorHAnsi"/>
        </w:rPr>
        <w:t xml:space="preserve"> por el traslado de sustancias peligrosas, el uso de maquinarias de gran porte o la afectación por drenaje ácido de actividad ligada a los proyectos; </w:t>
      </w:r>
      <w:r w:rsidRPr="004D22A1">
        <w:rPr>
          <w:rFonts w:asciiTheme="minorHAnsi" w:hAnsiTheme="minorHAnsi"/>
          <w:b/>
        </w:rPr>
        <w:t>afectación a los glaciares</w:t>
      </w:r>
      <w:r w:rsidRPr="004D22A1">
        <w:rPr>
          <w:rFonts w:asciiTheme="minorHAnsi" w:hAnsiTheme="minorHAnsi"/>
        </w:rPr>
        <w:t xml:space="preserve">: en el 2005 Barrick destruyó el glaciar Conconta que abastecía el río Tudcum. Además ocultó datos sobre la presencia de otros cuerpos de hielo, renegando del papel regulador que tienen sobre el </w:t>
      </w:r>
      <w:smartTag w:uri="urn:schemas-microsoft-com:office:smarttags" w:element="PersonName">
        <w:smartTagPr>
          <w:attr w:name="ProductID" w:val="agua de"/>
        </w:smartTagPr>
        <w:r w:rsidRPr="004D22A1">
          <w:rPr>
            <w:rFonts w:asciiTheme="minorHAnsi" w:hAnsiTheme="minorHAnsi"/>
          </w:rPr>
          <w:t>agua de</w:t>
        </w:r>
      </w:smartTag>
      <w:r w:rsidRPr="004D22A1">
        <w:rPr>
          <w:rFonts w:asciiTheme="minorHAnsi" w:hAnsiTheme="minorHAnsi"/>
        </w:rPr>
        <w:t xml:space="preserve"> los ríos del área, y soslayando que la protección de los mismos es esencial como medida contra el Cambio Climático; </w:t>
      </w:r>
      <w:r w:rsidRPr="004D22A1">
        <w:rPr>
          <w:rFonts w:asciiTheme="minorHAnsi" w:hAnsiTheme="minorHAnsi"/>
          <w:b/>
        </w:rPr>
        <w:t xml:space="preserve">afectación a </w:t>
      </w:r>
      <w:smartTag w:uri="urn:schemas-microsoft-com:office:smarttags" w:element="PersonName">
        <w:smartTagPr>
          <w:attr w:name="ProductID" w:val="la Biodiversidad"/>
        </w:smartTagPr>
        <w:r w:rsidRPr="004D22A1">
          <w:rPr>
            <w:rFonts w:asciiTheme="minorHAnsi" w:hAnsiTheme="minorHAnsi"/>
            <w:b/>
          </w:rPr>
          <w:t>la Biodiversidad</w:t>
        </w:r>
      </w:smartTag>
      <w:r w:rsidRPr="004D22A1">
        <w:rPr>
          <w:rFonts w:asciiTheme="minorHAnsi" w:hAnsiTheme="minorHAnsi"/>
        </w:rPr>
        <w:t>: en el caso de Pascua Lama – Veladero se han eliminado muchos ambientes húmedos que resultan claves para el desarrollo de la biodiversidad del área.</w:t>
      </w:r>
    </w:p>
    <w:p w:rsidR="004D22A1" w:rsidRPr="004D22A1" w:rsidRDefault="004D22A1" w:rsidP="004D22A1">
      <w:pPr>
        <w:jc w:val="both"/>
        <w:rPr>
          <w:rFonts w:asciiTheme="minorHAnsi" w:hAnsiTheme="minorHAnsi"/>
        </w:rPr>
      </w:pPr>
    </w:p>
    <w:p w:rsidR="004D22A1" w:rsidRPr="004D22A1" w:rsidRDefault="004D22A1" w:rsidP="004D22A1">
      <w:pPr>
        <w:ind w:firstLine="709"/>
        <w:jc w:val="both"/>
        <w:rPr>
          <w:rFonts w:asciiTheme="minorHAnsi" w:hAnsiTheme="minorHAnsi"/>
        </w:rPr>
      </w:pPr>
      <w:r w:rsidRPr="004D22A1">
        <w:rPr>
          <w:rFonts w:asciiTheme="minorHAnsi" w:hAnsiTheme="minorHAnsi"/>
        </w:rPr>
        <w:t xml:space="preserve">A esa situación se agregan el impacto de  los </w:t>
      </w:r>
      <w:r w:rsidRPr="004D22A1">
        <w:rPr>
          <w:rFonts w:asciiTheme="minorHAnsi" w:hAnsiTheme="minorHAnsi"/>
          <w:b/>
        </w:rPr>
        <w:t>daños sociales</w:t>
      </w:r>
      <w:r w:rsidRPr="004D22A1">
        <w:rPr>
          <w:rFonts w:asciiTheme="minorHAnsi" w:hAnsiTheme="minorHAnsi"/>
        </w:rPr>
        <w:t xml:space="preserve">, ya que se registran graves efectos sobre la salud de la población: en Jáchal se manifiesta un gran porcentaje de población con cáncer de hígado, estomago, riñones y otros, que se presumen consecuencia de la explotación minera aguas arriba del río Jáchal, en el yacimiento Veladero; a ello se agregan los </w:t>
      </w:r>
      <w:r w:rsidRPr="004D22A1">
        <w:rPr>
          <w:rFonts w:asciiTheme="minorHAnsi" w:hAnsiTheme="minorHAnsi"/>
          <w:b/>
        </w:rPr>
        <w:t xml:space="preserve">impactos en </w:t>
      </w:r>
      <w:smartTag w:uri="urn:schemas-microsoft-com:office:smarttags" w:element="PersonName">
        <w:smartTagPr>
          <w:attr w:name="ProductID" w:val="la Econom￭a Regional"/>
        </w:smartTagPr>
        <w:r w:rsidRPr="004D22A1">
          <w:rPr>
            <w:rFonts w:asciiTheme="minorHAnsi" w:hAnsiTheme="minorHAnsi"/>
            <w:b/>
          </w:rPr>
          <w:t>la Economía Regional</w:t>
        </w:r>
      </w:smartTag>
      <w:r w:rsidRPr="004D22A1">
        <w:rPr>
          <w:rFonts w:asciiTheme="minorHAnsi" w:hAnsiTheme="minorHAnsi"/>
        </w:rPr>
        <w:t xml:space="preserve">: por  pérdida de valor de la región como lugar turístico a causa de la destrucción paisajes naturales y las restricciones de acceso que impone la empresa sobre el territorio, disminución de la cantidad de agua y electricidad de la que dispone la región, así como pérdida de la producción vinculada a la cría extensiva de ganado, principalmente caprino, el cultivo de olivos y  semillas y la actividad forestal; finalmente, el </w:t>
      </w:r>
      <w:r w:rsidRPr="004D22A1">
        <w:rPr>
          <w:rFonts w:asciiTheme="minorHAnsi" w:hAnsiTheme="minorHAnsi"/>
          <w:b/>
        </w:rPr>
        <w:t xml:space="preserve">cumplimiento </w:t>
      </w:r>
      <w:r>
        <w:rPr>
          <w:rFonts w:asciiTheme="minorHAnsi" w:hAnsiTheme="minorHAnsi"/>
          <w:b/>
        </w:rPr>
        <w:t xml:space="preserve">defectuoso </w:t>
      </w:r>
      <w:r w:rsidRPr="004D22A1">
        <w:rPr>
          <w:rFonts w:asciiTheme="minorHAnsi" w:hAnsiTheme="minorHAnsi"/>
          <w:b/>
        </w:rPr>
        <w:t>del derecho a la información</w:t>
      </w:r>
      <w:r>
        <w:rPr>
          <w:rFonts w:asciiTheme="minorHAnsi" w:hAnsiTheme="minorHAnsi"/>
          <w:b/>
        </w:rPr>
        <w:t xml:space="preserve"> de las comunidades locales</w:t>
      </w:r>
      <w:r w:rsidRPr="004D22A1">
        <w:rPr>
          <w:rFonts w:asciiTheme="minorHAnsi" w:hAnsiTheme="minorHAnsi"/>
        </w:rPr>
        <w:t xml:space="preserve">: la empresa difunde escasa información y fuera del alcance de los pueblos afectados por su actividad. Si circula, lo hace en las agencias estatales provinciales con facultades de contralor y/o fiscalización sobre las facetas que involucra la misma. </w:t>
      </w:r>
    </w:p>
    <w:p w:rsidR="004D22A1" w:rsidRDefault="004D22A1" w:rsidP="004D22A1">
      <w:pPr>
        <w:jc w:val="both"/>
        <w:rPr>
          <w:rFonts w:asciiTheme="minorHAnsi" w:hAnsiTheme="minorHAnsi"/>
        </w:rPr>
      </w:pPr>
    </w:p>
    <w:p w:rsidR="00B92629" w:rsidRDefault="00B92629" w:rsidP="004D22A1">
      <w:pPr>
        <w:jc w:val="both"/>
        <w:rPr>
          <w:rFonts w:asciiTheme="minorHAnsi" w:hAnsiTheme="minorHAnsi"/>
        </w:rPr>
      </w:pPr>
    </w:p>
    <w:p w:rsidR="00B92629" w:rsidRDefault="00B92629" w:rsidP="004D22A1">
      <w:pPr>
        <w:jc w:val="both"/>
        <w:rPr>
          <w:rFonts w:asciiTheme="minorHAnsi" w:hAnsiTheme="minorHAnsi"/>
        </w:rPr>
      </w:pPr>
    </w:p>
    <w:p w:rsidR="00B92629" w:rsidRDefault="00B92629" w:rsidP="004D22A1">
      <w:pPr>
        <w:jc w:val="both"/>
        <w:rPr>
          <w:rFonts w:asciiTheme="minorHAnsi" w:hAnsiTheme="minorHAnsi"/>
        </w:rPr>
      </w:pPr>
    </w:p>
    <w:p w:rsidR="00B92629" w:rsidRDefault="00B92629" w:rsidP="004D22A1">
      <w:pPr>
        <w:jc w:val="both"/>
        <w:rPr>
          <w:rFonts w:asciiTheme="minorHAnsi" w:hAnsiTheme="minorHAnsi"/>
        </w:rPr>
      </w:pPr>
    </w:p>
    <w:p w:rsidR="004D22A1" w:rsidRPr="004D22A1" w:rsidRDefault="004D22A1" w:rsidP="004D22A1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La presentación inaugural de FOCO </w:t>
      </w:r>
      <w:r w:rsidRPr="004D22A1">
        <w:rPr>
          <w:rFonts w:asciiTheme="minorHAnsi" w:hAnsiTheme="minorHAnsi"/>
        </w:rPr>
        <w:t>menciona</w:t>
      </w:r>
      <w:r>
        <w:rPr>
          <w:rFonts w:asciiTheme="minorHAnsi" w:hAnsiTheme="minorHAnsi"/>
        </w:rPr>
        <w:t xml:space="preserve"> como daño institucional </w:t>
      </w:r>
      <w:r w:rsidRPr="004D22A1">
        <w:rPr>
          <w:rFonts w:asciiTheme="minorHAnsi" w:hAnsiTheme="minorHAnsi"/>
        </w:rPr>
        <w:t xml:space="preserve">el </w:t>
      </w:r>
      <w:r w:rsidRPr="004D22A1">
        <w:rPr>
          <w:rFonts w:asciiTheme="minorHAnsi" w:hAnsiTheme="minorHAnsi"/>
          <w:b/>
        </w:rPr>
        <w:t>lobby</w:t>
      </w:r>
      <w:r>
        <w:rPr>
          <w:rFonts w:asciiTheme="minorHAnsi" w:hAnsiTheme="minorHAnsi"/>
          <w:b/>
        </w:rPr>
        <w:t xml:space="preserve"> </w:t>
      </w:r>
      <w:r w:rsidRPr="004D22A1">
        <w:rPr>
          <w:rFonts w:asciiTheme="minorHAnsi" w:hAnsiTheme="minorHAnsi"/>
        </w:rPr>
        <w:t>realizado por la empresa contra la denominada</w:t>
      </w:r>
      <w:r>
        <w:rPr>
          <w:rFonts w:asciiTheme="minorHAnsi" w:hAnsiTheme="minorHAnsi"/>
          <w:b/>
        </w:rPr>
        <w:t xml:space="preserve"> ley </w:t>
      </w:r>
      <w:r w:rsidRPr="004D22A1">
        <w:rPr>
          <w:rFonts w:asciiTheme="minorHAnsi" w:hAnsiTheme="minorHAnsi"/>
          <w:b/>
        </w:rPr>
        <w:t>de</w:t>
      </w:r>
      <w:r w:rsidR="004B6690">
        <w:rPr>
          <w:rFonts w:asciiTheme="minorHAnsi" w:hAnsiTheme="minorHAnsi"/>
          <w:b/>
        </w:rPr>
        <w:t xml:space="preserve"> protección de</w:t>
      </w:r>
      <w:r w:rsidRPr="004D22A1">
        <w:rPr>
          <w:rFonts w:asciiTheme="minorHAnsi" w:hAnsiTheme="minorHAnsi"/>
          <w:b/>
        </w:rPr>
        <w:t xml:space="preserve"> glaciares</w:t>
      </w:r>
      <w:r w:rsidR="004B6690">
        <w:rPr>
          <w:rFonts w:asciiTheme="minorHAnsi" w:hAnsiTheme="minorHAnsi"/>
          <w:b/>
        </w:rPr>
        <w:t xml:space="preserve"> (Ley 26.639)</w:t>
      </w:r>
      <w:r w:rsidRPr="004D22A1">
        <w:rPr>
          <w:rFonts w:asciiTheme="minorHAnsi" w:hAnsiTheme="minorHAnsi"/>
          <w:b/>
        </w:rPr>
        <w:t>,</w:t>
      </w:r>
      <w:r w:rsidRPr="004D22A1">
        <w:rPr>
          <w:rFonts w:asciiTheme="minorHAnsi" w:hAnsiTheme="minorHAnsi"/>
        </w:rPr>
        <w:t xml:space="preserve"> así como </w:t>
      </w:r>
      <w:r w:rsidRPr="004D22A1">
        <w:rPr>
          <w:rFonts w:asciiTheme="minorHAnsi" w:hAnsiTheme="minorHAnsi"/>
          <w:b/>
        </w:rPr>
        <w:t>numerosos casos de violencia</w:t>
      </w:r>
      <w:r w:rsidR="004B6690">
        <w:rPr>
          <w:rFonts w:asciiTheme="minorHAnsi" w:hAnsiTheme="minorHAnsi"/>
          <w:b/>
        </w:rPr>
        <w:t xml:space="preserve"> en relación a la protesta social levantada por la actividad minera</w:t>
      </w:r>
      <w:r w:rsidRPr="004D22A1">
        <w:rPr>
          <w:rFonts w:asciiTheme="minorHAnsi" w:hAnsiTheme="minorHAnsi"/>
        </w:rPr>
        <w:t xml:space="preserve">: diversas organizaciones sociales y ambientalistas locales fueron reprimidas por la policía provincial y la seguridad privada contratada por Barrick, tal como ocurrió el 24 de febrero de 2011. </w:t>
      </w:r>
    </w:p>
    <w:p w:rsidR="004D22A1" w:rsidRPr="004D22A1" w:rsidRDefault="004D22A1" w:rsidP="004D22A1">
      <w:pPr>
        <w:jc w:val="both"/>
        <w:rPr>
          <w:rFonts w:asciiTheme="minorHAnsi" w:hAnsiTheme="minorHAnsi"/>
        </w:rPr>
      </w:pPr>
    </w:p>
    <w:p w:rsidR="004B6690" w:rsidRDefault="004B6690" w:rsidP="004B6690">
      <w:pPr>
        <w:ind w:firstLine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 </w:t>
      </w:r>
      <w:r w:rsidRPr="00667B36">
        <w:rPr>
          <w:rFonts w:asciiTheme="minorHAnsi" w:hAnsiTheme="minorHAnsi"/>
          <w:b/>
        </w:rPr>
        <w:t>7 de diciembre de 2011</w:t>
      </w:r>
      <w:r>
        <w:rPr>
          <w:rFonts w:asciiTheme="minorHAnsi" w:hAnsiTheme="minorHAnsi"/>
        </w:rPr>
        <w:t xml:space="preserve"> FOCO amplió la denuncia en el marco del </w:t>
      </w:r>
      <w:r w:rsidRPr="00667B36">
        <w:rPr>
          <w:rFonts w:asciiTheme="minorHAnsi" w:hAnsiTheme="minorHAnsi"/>
          <w:b/>
        </w:rPr>
        <w:t>Nuevo Capítulo de Derechos Humanos</w:t>
      </w:r>
      <w:r>
        <w:rPr>
          <w:rFonts w:asciiTheme="minorHAnsi" w:hAnsiTheme="minorHAnsi"/>
        </w:rPr>
        <w:t xml:space="preserve"> introducido a las Directrices luego del ultimo proceso de revision de sus previsions. Sostuvo que existían fuertes indicios de que BARRICK había contratado como Personal de Seguridad Privada para Veladero y Pascua-Lama, a un hombre que había cometido </w:t>
      </w:r>
      <w:r w:rsidRPr="00667B36">
        <w:rPr>
          <w:rFonts w:asciiTheme="minorHAnsi" w:hAnsiTheme="minorHAnsi"/>
          <w:b/>
        </w:rPr>
        <w:t>graves violaciones a los derechos humanos durante el Terrorismo de Estado</w:t>
      </w:r>
      <w:r>
        <w:rPr>
          <w:rFonts w:asciiTheme="minorHAnsi" w:hAnsiTheme="minorHAnsi"/>
        </w:rPr>
        <w:t xml:space="preserve"> en el país (período 1974-1983): Rubén Osvaldo BUFANO. Adjuntó </w:t>
      </w:r>
      <w:r w:rsidRPr="004B6690">
        <w:rPr>
          <w:rFonts w:asciiTheme="minorHAnsi" w:hAnsiTheme="minorHAnsi"/>
        </w:rPr>
        <w:t xml:space="preserve">antecedentes </w:t>
      </w:r>
      <w:r>
        <w:rPr>
          <w:rFonts w:asciiTheme="minorHAnsi" w:hAnsiTheme="minorHAnsi"/>
        </w:rPr>
        <w:t>e</w:t>
      </w:r>
      <w:r w:rsidRPr="004B6690">
        <w:rPr>
          <w:rFonts w:asciiTheme="minorHAnsi" w:hAnsiTheme="minorHAnsi"/>
        </w:rPr>
        <w:t xml:space="preserve"> historial personal del represor incluyendo un Dossier con el listado completo de los servicios de inteligencia del Batallón 601 del Ejército Argentino entre los años 1976 y 1983, </w:t>
      </w:r>
      <w:r>
        <w:rPr>
          <w:rFonts w:asciiTheme="minorHAnsi" w:hAnsiTheme="minorHAnsi"/>
        </w:rPr>
        <w:t>del que formó parte Bufano.</w:t>
      </w:r>
    </w:p>
    <w:p w:rsidR="004B6690" w:rsidRPr="004B6690" w:rsidRDefault="004B6690" w:rsidP="004B6690">
      <w:pPr>
        <w:ind w:firstLine="851"/>
        <w:jc w:val="both"/>
        <w:rPr>
          <w:rFonts w:asciiTheme="minorHAnsi" w:hAnsiTheme="minorHAnsi"/>
        </w:rPr>
      </w:pPr>
      <w:r w:rsidRPr="004B6690">
        <w:rPr>
          <w:rFonts w:asciiTheme="minorHAnsi" w:hAnsiTheme="minorHAnsi"/>
        </w:rPr>
        <w:t xml:space="preserve">Invocando el principio de </w:t>
      </w:r>
      <w:r w:rsidRPr="00667B36">
        <w:rPr>
          <w:rFonts w:asciiTheme="minorHAnsi" w:hAnsiTheme="minorHAnsi"/>
          <w:b/>
        </w:rPr>
        <w:t>debida diligencia empresaria</w:t>
      </w:r>
      <w:r w:rsidRPr="004B6690">
        <w:rPr>
          <w:rFonts w:asciiTheme="minorHAnsi" w:hAnsiTheme="minorHAnsi"/>
        </w:rPr>
        <w:t xml:space="preserve">, se cuestionó severamente esta contratación de personal y solicitó que la empresa se comprometa a elaborar un </w:t>
      </w:r>
      <w:r w:rsidRPr="00667B36">
        <w:rPr>
          <w:rFonts w:asciiTheme="minorHAnsi" w:hAnsiTheme="minorHAnsi"/>
          <w:b/>
        </w:rPr>
        <w:t>Protocolo para Contrataciones de Personal de Seguridad</w:t>
      </w:r>
      <w:r w:rsidRPr="004B6690">
        <w:rPr>
          <w:rFonts w:asciiTheme="minorHAnsi" w:hAnsiTheme="minorHAnsi"/>
        </w:rPr>
        <w:t>, a los fines de garantizar los derechos humanos y las garantías constitucionales de los pueblos potencialmente afectados por el emprendimiento comercial.</w:t>
      </w:r>
    </w:p>
    <w:p w:rsidR="004B6690" w:rsidRPr="004B6690" w:rsidRDefault="004B6690" w:rsidP="004B6690">
      <w:pPr>
        <w:ind w:firstLine="851"/>
        <w:jc w:val="both"/>
        <w:rPr>
          <w:rFonts w:asciiTheme="minorHAnsi" w:hAnsiTheme="minorHAnsi"/>
        </w:rPr>
      </w:pPr>
      <w:r w:rsidRPr="004B6690">
        <w:rPr>
          <w:rFonts w:asciiTheme="minorHAnsi" w:hAnsiTheme="minorHAnsi"/>
        </w:rPr>
        <w:t>Al mismo tiempo, en el marco de lo que dispone el Capítulo de Publicación de Informaciones de las Direc</w:t>
      </w:r>
      <w:r w:rsidR="00667B36">
        <w:rPr>
          <w:rFonts w:asciiTheme="minorHAnsi" w:hAnsiTheme="minorHAnsi"/>
        </w:rPr>
        <w:t>trices, FOCO INPADE solicitó acceso a</w:t>
      </w:r>
      <w:r w:rsidRPr="004B6690">
        <w:rPr>
          <w:rFonts w:asciiTheme="minorHAnsi" w:hAnsiTheme="minorHAnsi"/>
        </w:rPr>
        <w:t>l listado completo del personal de seguridad de la empresa (desde 2006 a la actualidad), tanto de aquel contratado en forma directa como el que haya sido empleado a través de terceras empresas con vistas a proporcionarlo a ésta.</w:t>
      </w:r>
    </w:p>
    <w:p w:rsidR="004B6690" w:rsidRDefault="004B6690" w:rsidP="004B6690">
      <w:pPr>
        <w:ind w:firstLine="851"/>
        <w:jc w:val="both"/>
        <w:rPr>
          <w:rFonts w:asciiTheme="minorHAnsi" w:hAnsiTheme="minorHAnsi"/>
        </w:rPr>
      </w:pPr>
      <w:r w:rsidRPr="004B6690">
        <w:rPr>
          <w:rFonts w:asciiTheme="minorHAnsi" w:hAnsiTheme="minorHAnsi"/>
        </w:rPr>
        <w:t xml:space="preserve">Teniendo presente la temática involucrada, y con miras a involucrar a distintos estamentos del poder político en el tratamiento y sustanciación de la denuncia, se pidió la citación a la Instancia Específica de la </w:t>
      </w:r>
      <w:r w:rsidRPr="00667B36">
        <w:rPr>
          <w:rFonts w:asciiTheme="minorHAnsi" w:hAnsiTheme="minorHAnsi"/>
          <w:b/>
        </w:rPr>
        <w:t>Secretaría de Derechos Humanos de la Nación, Ministerio de Justicia y Derechos Humanos de la Nación</w:t>
      </w:r>
      <w:r w:rsidRPr="004B6690">
        <w:rPr>
          <w:rFonts w:asciiTheme="minorHAnsi" w:hAnsiTheme="minorHAnsi"/>
        </w:rPr>
        <w:t xml:space="preserve">, en calidad de </w:t>
      </w:r>
      <w:r w:rsidRPr="00667B36">
        <w:rPr>
          <w:rFonts w:asciiTheme="minorHAnsi" w:hAnsiTheme="minorHAnsi"/>
          <w:b/>
        </w:rPr>
        <w:t>tercero</w:t>
      </w:r>
      <w:r w:rsidRPr="004B6690">
        <w:rPr>
          <w:rFonts w:asciiTheme="minorHAnsi" w:hAnsiTheme="minorHAnsi"/>
        </w:rPr>
        <w:t>.</w:t>
      </w:r>
    </w:p>
    <w:p w:rsidR="004B6690" w:rsidRDefault="004B6690" w:rsidP="004B6690">
      <w:pPr>
        <w:ind w:firstLine="851"/>
        <w:jc w:val="both"/>
        <w:rPr>
          <w:rFonts w:asciiTheme="minorHAnsi" w:hAnsiTheme="minorHAnsi"/>
        </w:rPr>
      </w:pPr>
    </w:p>
    <w:p w:rsidR="004B6690" w:rsidRDefault="00667B36" w:rsidP="004B6690">
      <w:pPr>
        <w:ind w:firstLine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Durante esos primeros meses de tramitación y a instancias del Punto Focal argentino, FOCO aportó información adicional a la denuncia original que había dedudico. Detalló las causas judiciales relacionadas – directa o indirectamente - a la denuncia que tramitaban en forma paralela al mecanismo. También precisó que dirigía la acción contra la casa matriz de BARRICK y contra sus subsidiarias en el país, aportando las denominaciones sociales, los domicilios legales y los datos personales de contacto de cada una de ellas.</w:t>
      </w:r>
    </w:p>
    <w:p w:rsidR="00667B36" w:rsidRDefault="00667B36" w:rsidP="004B6690">
      <w:pPr>
        <w:ind w:firstLine="851"/>
        <w:jc w:val="both"/>
        <w:rPr>
          <w:rFonts w:asciiTheme="minorHAnsi" w:hAnsiTheme="minorHAnsi"/>
        </w:rPr>
      </w:pPr>
    </w:p>
    <w:p w:rsidR="00667B36" w:rsidRDefault="00667B36" w:rsidP="004B6690">
      <w:pPr>
        <w:ind w:firstLine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el mes de abril de 2012 la denuncia tomó un rumbo inesperado. Nuestra organización tomó conocimiento de que, a raíz de la ampliación de diciembre, se había involucrado a la </w:t>
      </w:r>
      <w:r w:rsidRPr="009A011E">
        <w:rPr>
          <w:rFonts w:asciiTheme="minorHAnsi" w:hAnsiTheme="minorHAnsi"/>
          <w:b/>
        </w:rPr>
        <w:t xml:space="preserve">Dirección General de Derechos Humanos </w:t>
      </w:r>
      <w:r>
        <w:rPr>
          <w:rFonts w:asciiTheme="minorHAnsi" w:hAnsiTheme="minorHAnsi"/>
        </w:rPr>
        <w:t>de Cancillería Argentina. A</w:t>
      </w:r>
      <w:r w:rsidRPr="00667B36">
        <w:rPr>
          <w:rFonts w:asciiTheme="minorHAnsi" w:hAnsiTheme="minorHAnsi"/>
        </w:rPr>
        <w:t xml:space="preserve"> instancias</w:t>
      </w:r>
      <w:r>
        <w:rPr>
          <w:rFonts w:asciiTheme="minorHAnsi" w:hAnsiTheme="minorHAnsi"/>
        </w:rPr>
        <w:t xml:space="preserve"> de</w:t>
      </w:r>
      <w:r w:rsidRPr="00667B36">
        <w:rPr>
          <w:rFonts w:asciiTheme="minorHAnsi" w:hAnsiTheme="minorHAnsi"/>
        </w:rPr>
        <w:t xml:space="preserve"> ésta</w:t>
      </w:r>
      <w:r>
        <w:rPr>
          <w:rFonts w:asciiTheme="minorHAnsi" w:hAnsiTheme="minorHAnsi"/>
        </w:rPr>
        <w:t xml:space="preserve">, se recabó importante material documental por parte de la </w:t>
      </w:r>
      <w:r w:rsidRPr="009A011E">
        <w:rPr>
          <w:rFonts w:asciiTheme="minorHAnsi" w:hAnsiTheme="minorHAnsi"/>
          <w:b/>
        </w:rPr>
        <w:t>Secretaría de Derechos Humanos de la Nación</w:t>
      </w:r>
      <w:r>
        <w:rPr>
          <w:rFonts w:asciiTheme="minorHAnsi" w:hAnsiTheme="minorHAnsi"/>
        </w:rPr>
        <w:t xml:space="preserve"> (Ministerio de Justicia y Derechos Humanos de la Nación), confirmando la participación de Bufano en la comisión de delitos de lesa humanidad durante la última dictadura cívico militar.</w:t>
      </w:r>
    </w:p>
    <w:p w:rsidR="00B92629" w:rsidRDefault="00B92629" w:rsidP="004B6690">
      <w:pPr>
        <w:ind w:firstLine="851"/>
        <w:jc w:val="both"/>
        <w:rPr>
          <w:rFonts w:asciiTheme="minorHAnsi" w:hAnsiTheme="minorHAnsi"/>
        </w:rPr>
      </w:pPr>
    </w:p>
    <w:p w:rsidR="00B92629" w:rsidRDefault="00B92629" w:rsidP="004B6690">
      <w:pPr>
        <w:ind w:firstLine="851"/>
        <w:jc w:val="both"/>
        <w:rPr>
          <w:rFonts w:asciiTheme="minorHAnsi" w:hAnsiTheme="minorHAnsi"/>
        </w:rPr>
      </w:pPr>
    </w:p>
    <w:p w:rsidR="003D0F2A" w:rsidRDefault="003D0F2A" w:rsidP="004B6690">
      <w:pPr>
        <w:ind w:firstLine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Se abrieron entonces </w:t>
      </w:r>
      <w:r w:rsidRPr="009A011E">
        <w:rPr>
          <w:rFonts w:asciiTheme="minorHAnsi" w:hAnsiTheme="minorHAnsi"/>
          <w:b/>
        </w:rPr>
        <w:t>dos cursos de acción no previstos</w:t>
      </w:r>
      <w:r w:rsidRPr="003D0F2A">
        <w:rPr>
          <w:rFonts w:asciiTheme="minorHAnsi" w:hAnsiTheme="minorHAnsi"/>
        </w:rPr>
        <w:t>, ajenos al proceso en el PNC por violación a las Directrices, a saber: 1) la posibilidad de que la SDH o la Cancillería Argentina denuncie penalmente a Bufano por la comisión de crímenes de lesa humanidad y se constituya como querellante en la causa; 2) la posibilidad del Estado de multar o sancionar administrativamente a la empresa por la contratación de personal de seguridad involucrado en esta clase de hechos que implican violaciones manifiestas de los derechos humanos, de conformidad con la legislación vigente que regula a las empresas de seguridad privada.</w:t>
      </w:r>
    </w:p>
    <w:p w:rsidR="003D0F2A" w:rsidRDefault="003D0F2A" w:rsidP="004B6690">
      <w:pPr>
        <w:ind w:firstLine="851"/>
        <w:jc w:val="both"/>
        <w:rPr>
          <w:rFonts w:asciiTheme="minorHAnsi" w:hAnsiTheme="minorHAnsi"/>
        </w:rPr>
      </w:pPr>
    </w:p>
    <w:p w:rsidR="003D0F2A" w:rsidRDefault="003D0F2A" w:rsidP="004B6690">
      <w:pPr>
        <w:ind w:firstLine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Meses después FOCO supo que se habían abierto </w:t>
      </w:r>
      <w:r w:rsidRPr="009A011E">
        <w:rPr>
          <w:rFonts w:asciiTheme="minorHAnsi" w:hAnsiTheme="minorHAnsi"/>
          <w:b/>
        </w:rPr>
        <w:t>dos expedientes paralelos en sede administrativa.</w:t>
      </w:r>
      <w:r>
        <w:rPr>
          <w:rFonts w:asciiTheme="minorHAnsi" w:hAnsiTheme="minorHAnsi"/>
        </w:rPr>
        <w:t xml:space="preserve"> Esas actuaciones del Estado Nacional fueron reservadas desde su constitución; recién pudimos tomar vista y extraer copias en forma parcial un año más tarde, en abril de 2013, luego de varias reuniones y reclamos.</w:t>
      </w:r>
    </w:p>
    <w:p w:rsidR="003D0F2A" w:rsidRDefault="00AC2569" w:rsidP="004B6690">
      <w:pPr>
        <w:ind w:firstLine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Gracias a esa vista, nos enteramos de cuestiones relantes: a) El </w:t>
      </w:r>
      <w:r w:rsidRPr="00143849">
        <w:rPr>
          <w:rFonts w:asciiTheme="minorHAnsi" w:hAnsiTheme="minorHAnsi"/>
          <w:b/>
        </w:rPr>
        <w:t>Punto Focal canadiense</w:t>
      </w:r>
      <w:r>
        <w:rPr>
          <w:rFonts w:asciiTheme="minorHAnsi" w:hAnsiTheme="minorHAnsi"/>
        </w:rPr>
        <w:t xml:space="preserve"> se había interiorizado telefónicamente de los progresos de la denuncia, ofreciendo su colaboración y buenos oficios en el seguimiento del procedimiento; b) Se había dado intervención al </w:t>
      </w:r>
      <w:r w:rsidRPr="00143849">
        <w:rPr>
          <w:rFonts w:asciiTheme="minorHAnsi" w:hAnsiTheme="minorHAnsi"/>
          <w:b/>
        </w:rPr>
        <w:t>Ministerio del Interior (Secretaría de Interior), al Ministerio de Seguridad (Secretaría de Seguridad) y al Ministerio de Justicia y Derechos Humanos (Secretaría de Derechos Humanos)</w:t>
      </w:r>
      <w:r>
        <w:rPr>
          <w:rFonts w:asciiTheme="minorHAnsi" w:hAnsiTheme="minorHAnsi"/>
        </w:rPr>
        <w:t xml:space="preserve">, con el objetivo de determinar la existencia de causas judiciales relativas a la participación de Bufano en crímenes de lesa humanidad, evaluar la procedencia de realizar la denuncia penal correspondiente o constituirse como querellante particular, y, por otro lado, proceder a revisar el </w:t>
      </w:r>
      <w:r w:rsidRPr="00143849">
        <w:rPr>
          <w:rFonts w:asciiTheme="minorHAnsi" w:hAnsiTheme="minorHAnsi"/>
          <w:b/>
        </w:rPr>
        <w:t xml:space="preserve">Registro de Antecedentes por violaciones a Derechos Humanos </w:t>
      </w:r>
      <w:r>
        <w:rPr>
          <w:rFonts w:asciiTheme="minorHAnsi" w:hAnsiTheme="minorHAnsi"/>
        </w:rPr>
        <w:t xml:space="preserve">que funcionaba en la órbita del Ministerio del Interior en la antigua estructura estatal, y así determinar si se había expedido </w:t>
      </w:r>
      <w:r w:rsidRPr="00143849">
        <w:rPr>
          <w:rFonts w:asciiTheme="minorHAnsi" w:hAnsiTheme="minorHAnsi"/>
          <w:b/>
        </w:rPr>
        <w:t>Certificado de Habilitación</w:t>
      </w:r>
      <w:r>
        <w:rPr>
          <w:rFonts w:asciiTheme="minorHAnsi" w:hAnsiTheme="minorHAnsi"/>
        </w:rPr>
        <w:t xml:space="preserve"> “por carencia de antecedentes” a favor de Bufano.</w:t>
      </w:r>
    </w:p>
    <w:p w:rsidR="00AC2569" w:rsidRDefault="00AC2569" w:rsidP="004B6690">
      <w:pPr>
        <w:ind w:firstLine="851"/>
        <w:jc w:val="both"/>
        <w:rPr>
          <w:rFonts w:asciiTheme="minorHAnsi" w:hAnsiTheme="minorHAnsi"/>
        </w:rPr>
      </w:pPr>
    </w:p>
    <w:p w:rsidR="00AC2569" w:rsidRDefault="00AC2569" w:rsidP="004B6690">
      <w:pPr>
        <w:ind w:firstLine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Recién el </w:t>
      </w:r>
      <w:r w:rsidRPr="00143849">
        <w:rPr>
          <w:rFonts w:asciiTheme="minorHAnsi" w:hAnsiTheme="minorHAnsi"/>
          <w:b/>
        </w:rPr>
        <w:t>9 de mayo de 2013</w:t>
      </w:r>
      <w:r>
        <w:rPr>
          <w:rFonts w:asciiTheme="minorHAnsi" w:hAnsiTheme="minorHAnsi"/>
        </w:rPr>
        <w:t xml:space="preserve">, casi dos años después de la interposición de la denuncia original, el Punto Nacional de Contacto emitió el </w:t>
      </w:r>
      <w:r w:rsidRPr="00143849">
        <w:rPr>
          <w:rFonts w:asciiTheme="minorHAnsi" w:hAnsiTheme="minorHAnsi"/>
          <w:b/>
        </w:rPr>
        <w:t>Dictamen de Admisibilidad Formal</w:t>
      </w:r>
      <w:r>
        <w:rPr>
          <w:rFonts w:asciiTheme="minorHAnsi" w:hAnsiTheme="minorHAnsi"/>
        </w:rPr>
        <w:t>, notificándose a la denunciante y corriendo traslado a la empresa denunciada para habilitar su defens</w:t>
      </w:r>
      <w:r w:rsidR="00EC71D5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o descargo. </w:t>
      </w:r>
    </w:p>
    <w:p w:rsidR="00AC2569" w:rsidRDefault="00AC2569" w:rsidP="004B6690">
      <w:pPr>
        <w:ind w:firstLine="851"/>
        <w:jc w:val="both"/>
        <w:rPr>
          <w:rFonts w:asciiTheme="minorHAnsi" w:hAnsiTheme="minorHAnsi"/>
        </w:rPr>
      </w:pPr>
    </w:p>
    <w:p w:rsidR="00AC2569" w:rsidRDefault="004C6C2A" w:rsidP="004B6690">
      <w:pPr>
        <w:ind w:firstLine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 </w:t>
      </w:r>
      <w:r w:rsidRPr="00143849">
        <w:rPr>
          <w:rFonts w:asciiTheme="minorHAnsi" w:hAnsiTheme="minorHAnsi"/>
          <w:b/>
        </w:rPr>
        <w:t>27 de diciembre de 2013 Barrick contestó la denuncia</w:t>
      </w:r>
      <w:r w:rsidR="00CD4628">
        <w:rPr>
          <w:rFonts w:asciiTheme="minorHAnsi" w:hAnsiTheme="minorHAnsi"/>
        </w:rPr>
        <w:t xml:space="preserve">. </w:t>
      </w:r>
      <w:r w:rsidR="00CD4628" w:rsidRPr="00CD4628">
        <w:rPr>
          <w:rFonts w:asciiTheme="minorHAnsi" w:hAnsiTheme="minorHAnsi"/>
        </w:rPr>
        <w:t xml:space="preserve">Negó todas y cada una de las violaciones denunciadas por FOCO, realizó un descargo capítulo por capítulo y manifestó su vocación de conciliar en la medida en que se identificasen las cuestiones u objetos </w:t>
      </w:r>
      <w:r w:rsidR="00CD4628">
        <w:rPr>
          <w:rFonts w:asciiTheme="minorHAnsi" w:hAnsiTheme="minorHAnsi"/>
        </w:rPr>
        <w:t>a mediar</w:t>
      </w:r>
      <w:r w:rsidR="009A011E">
        <w:rPr>
          <w:rFonts w:asciiTheme="minorHAnsi" w:hAnsiTheme="minorHAnsi"/>
        </w:rPr>
        <w:t>.</w:t>
      </w:r>
    </w:p>
    <w:p w:rsidR="00CD4628" w:rsidRDefault="00CD4628" w:rsidP="004B6690">
      <w:pPr>
        <w:ind w:firstLine="851"/>
        <w:jc w:val="both"/>
        <w:rPr>
          <w:rFonts w:asciiTheme="minorHAnsi" w:hAnsiTheme="minorHAnsi"/>
        </w:rPr>
      </w:pPr>
    </w:p>
    <w:p w:rsidR="00CD4628" w:rsidRDefault="00CD4628" w:rsidP="004B6690">
      <w:pPr>
        <w:ind w:firstLine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 respeto al </w:t>
      </w:r>
      <w:r w:rsidRPr="006D2F7D">
        <w:rPr>
          <w:rFonts w:asciiTheme="minorHAnsi" w:hAnsiTheme="minorHAnsi"/>
          <w:b/>
        </w:rPr>
        <w:t>deber de confidencialidad</w:t>
      </w:r>
      <w:r>
        <w:rPr>
          <w:rFonts w:asciiTheme="minorHAnsi" w:hAnsiTheme="minorHAnsi"/>
        </w:rPr>
        <w:t xml:space="preserve"> </w:t>
      </w:r>
      <w:r w:rsidR="00EC71D5">
        <w:rPr>
          <w:rFonts w:asciiTheme="minorHAnsi" w:hAnsiTheme="minorHAnsi"/>
        </w:rPr>
        <w:t xml:space="preserve">(cfr. Guía de Procedimiento para la Aplicación de las Directrices) </w:t>
      </w:r>
      <w:r>
        <w:rPr>
          <w:rFonts w:asciiTheme="minorHAnsi" w:hAnsiTheme="minorHAnsi"/>
        </w:rPr>
        <w:t>y para no entorpecer la finalidad de la Instancia Específica, no podemos brindar mayores precisiones de la evolución del procedimiento hasta la actualidad.</w:t>
      </w:r>
    </w:p>
    <w:p w:rsidR="00B92629" w:rsidRDefault="00B92629" w:rsidP="004B6690">
      <w:pPr>
        <w:ind w:firstLine="851"/>
        <w:jc w:val="both"/>
        <w:rPr>
          <w:rFonts w:asciiTheme="minorHAnsi" w:hAnsiTheme="minorHAnsi"/>
        </w:rPr>
      </w:pPr>
    </w:p>
    <w:p w:rsidR="00CD4628" w:rsidRDefault="00EC71D5" w:rsidP="004B6690">
      <w:pPr>
        <w:ind w:firstLine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Sin perjuicio de ello, </w:t>
      </w:r>
      <w:r w:rsidR="00B81BEB">
        <w:rPr>
          <w:rFonts w:asciiTheme="minorHAnsi" w:hAnsiTheme="minorHAnsi"/>
        </w:rPr>
        <w:t>señalamos que</w:t>
      </w:r>
      <w:r w:rsidR="00143849">
        <w:rPr>
          <w:rFonts w:asciiTheme="minorHAnsi" w:hAnsiTheme="minorHAnsi"/>
        </w:rPr>
        <w:t xml:space="preserve"> el PNC mantuvo reuniones con cada una de las partes – por separado - en varias ocasiones, intentando destrabar el comienzo de la mediación. A su vez, se sucedieron una serie de hechos nuevos de suma importancia</w:t>
      </w:r>
      <w:r w:rsidR="00CD4628">
        <w:rPr>
          <w:rFonts w:asciiTheme="minorHAnsi" w:hAnsiTheme="minorHAnsi"/>
        </w:rPr>
        <w:t xml:space="preserve"> (fallos judiciales de la Corte Chilena y su par Argentina, más incidentes de grave afectación hídrica y medio ambiental en las localidades aledañas a Veladero y Pascua-Lama en septiembre de 2015) </w:t>
      </w:r>
      <w:r w:rsidR="00143849">
        <w:rPr>
          <w:rFonts w:asciiTheme="minorHAnsi" w:hAnsiTheme="minorHAnsi"/>
        </w:rPr>
        <w:t xml:space="preserve">que </w:t>
      </w:r>
      <w:r>
        <w:rPr>
          <w:rFonts w:asciiTheme="minorHAnsi" w:hAnsiTheme="minorHAnsi"/>
        </w:rPr>
        <w:t>vinieron a c</w:t>
      </w:r>
      <w:r w:rsidR="00CD4628">
        <w:rPr>
          <w:rFonts w:asciiTheme="minorHAnsi" w:hAnsiTheme="minorHAnsi"/>
        </w:rPr>
        <w:t>onfirma</w:t>
      </w:r>
      <w:r>
        <w:rPr>
          <w:rFonts w:asciiTheme="minorHAnsi" w:hAnsiTheme="minorHAnsi"/>
        </w:rPr>
        <w:t>r</w:t>
      </w:r>
      <w:r w:rsidR="00CD4628">
        <w:rPr>
          <w:rFonts w:asciiTheme="minorHAnsi" w:hAnsiTheme="minorHAnsi"/>
        </w:rPr>
        <w:t xml:space="preserve"> la plataforma </w:t>
      </w:r>
      <w:r>
        <w:rPr>
          <w:rFonts w:asciiTheme="minorHAnsi" w:hAnsiTheme="minorHAnsi"/>
        </w:rPr>
        <w:t>fác</w:t>
      </w:r>
      <w:r w:rsidR="00CD4628">
        <w:rPr>
          <w:rFonts w:asciiTheme="minorHAnsi" w:hAnsiTheme="minorHAnsi"/>
        </w:rPr>
        <w:t>tica introducida por FOCO</w:t>
      </w:r>
      <w:r w:rsidR="00143849">
        <w:rPr>
          <w:rFonts w:asciiTheme="minorHAnsi" w:hAnsiTheme="minorHAnsi"/>
        </w:rPr>
        <w:t xml:space="preserve"> y fortalecieron su posición al interior de la Instancia.</w:t>
      </w:r>
    </w:p>
    <w:p w:rsidR="009A011E" w:rsidRDefault="009A011E" w:rsidP="004B6690">
      <w:pPr>
        <w:ind w:firstLine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En octubre de 2015</w:t>
      </w:r>
      <w:r w:rsidR="00143849">
        <w:rPr>
          <w:rFonts w:asciiTheme="minorHAnsi" w:hAnsiTheme="minorHAnsi"/>
        </w:rPr>
        <w:t xml:space="preserve"> el Punto Focal logró acercar las posiciones entre las partes </w:t>
      </w:r>
      <w:r>
        <w:rPr>
          <w:rFonts w:asciiTheme="minorHAnsi" w:hAnsiTheme="minorHAnsi"/>
        </w:rPr>
        <w:t xml:space="preserve">en términos de una voluntad compartida de abrir la </w:t>
      </w:r>
      <w:r w:rsidRPr="006D2F7D">
        <w:rPr>
          <w:rFonts w:asciiTheme="minorHAnsi" w:hAnsiTheme="minorHAnsi"/>
          <w:b/>
        </w:rPr>
        <w:t>mesa de diálogo</w:t>
      </w:r>
      <w:r>
        <w:rPr>
          <w:rFonts w:asciiTheme="minorHAnsi" w:hAnsiTheme="minorHAnsi"/>
        </w:rPr>
        <w:t xml:space="preserve"> hacia un entendimiento mutuo. </w:t>
      </w:r>
    </w:p>
    <w:p w:rsidR="009A011E" w:rsidRDefault="009A011E" w:rsidP="004B6690">
      <w:pPr>
        <w:ind w:firstLine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 </w:t>
      </w:r>
      <w:r w:rsidRPr="006D2F7D">
        <w:rPr>
          <w:rFonts w:asciiTheme="minorHAnsi" w:hAnsiTheme="minorHAnsi"/>
          <w:b/>
        </w:rPr>
        <w:t>objetivo</w:t>
      </w:r>
      <w:r>
        <w:rPr>
          <w:rFonts w:asciiTheme="minorHAnsi" w:hAnsiTheme="minorHAnsi"/>
        </w:rPr>
        <w:t xml:space="preserve"> de </w:t>
      </w:r>
      <w:r w:rsidRPr="006D2F7D">
        <w:rPr>
          <w:rFonts w:asciiTheme="minorHAnsi" w:hAnsiTheme="minorHAnsi"/>
          <w:b/>
        </w:rPr>
        <w:t>nuestra organización</w:t>
      </w:r>
      <w:r>
        <w:rPr>
          <w:rFonts w:asciiTheme="minorHAnsi" w:hAnsiTheme="minorHAnsi"/>
        </w:rPr>
        <w:t xml:space="preserve"> es contribuir a </w:t>
      </w:r>
      <w:r w:rsidRPr="006D2F7D">
        <w:rPr>
          <w:rFonts w:asciiTheme="minorHAnsi" w:hAnsiTheme="minorHAnsi"/>
          <w:i/>
        </w:rPr>
        <w:t>crear, mejorar o actualizar los Protocolos y Procedimientos Internos de la empresa BARRICK: en lo relativo a Contratación y Actuación de Personal de Seguridad Privada; diseño y funcionamiento del Sistema de Monitoreo o Control de la Actividad Minera; creación, perfeccionamiento o actualización del Sistema de Publicación de Informaciones al Público</w:t>
      </w:r>
      <w:r>
        <w:rPr>
          <w:rFonts w:asciiTheme="minorHAnsi" w:hAnsiTheme="minorHAnsi"/>
        </w:rPr>
        <w:t xml:space="preserve">; con eje en el principio de debida diligencia empresaria y adecuando los trabajos a las </w:t>
      </w:r>
      <w:r w:rsidRPr="006D2F7D">
        <w:rPr>
          <w:rFonts w:asciiTheme="minorHAnsi" w:hAnsiTheme="minorHAnsi"/>
          <w:b/>
        </w:rPr>
        <w:t>Directrices</w:t>
      </w:r>
      <w:r>
        <w:rPr>
          <w:rFonts w:asciiTheme="minorHAnsi" w:hAnsiTheme="minorHAnsi"/>
        </w:rPr>
        <w:t xml:space="preserve">, al </w:t>
      </w:r>
      <w:r w:rsidRPr="006D2F7D">
        <w:rPr>
          <w:rFonts w:asciiTheme="minorHAnsi" w:hAnsiTheme="minorHAnsi"/>
          <w:b/>
        </w:rPr>
        <w:t xml:space="preserve">Marco y Principios Rectores </w:t>
      </w:r>
      <w:r>
        <w:rPr>
          <w:rFonts w:asciiTheme="minorHAnsi" w:hAnsiTheme="minorHAnsi"/>
        </w:rPr>
        <w:t xml:space="preserve">elaborados por la Relatoría Especial sobre </w:t>
      </w:r>
      <w:r w:rsidRPr="006D2F7D">
        <w:rPr>
          <w:rFonts w:asciiTheme="minorHAnsi" w:hAnsiTheme="minorHAnsi"/>
          <w:b/>
        </w:rPr>
        <w:t>Empresas y Derechos Humanos</w:t>
      </w:r>
      <w:r>
        <w:rPr>
          <w:rFonts w:asciiTheme="minorHAnsi" w:hAnsiTheme="minorHAnsi"/>
        </w:rPr>
        <w:t xml:space="preserve"> de Naciones Unidas, y en general al </w:t>
      </w:r>
      <w:r w:rsidRPr="006D2F7D">
        <w:rPr>
          <w:rFonts w:asciiTheme="minorHAnsi" w:hAnsiTheme="minorHAnsi"/>
          <w:b/>
        </w:rPr>
        <w:t>Derecho Internacional de los Derechos Humanos</w:t>
      </w:r>
      <w:r>
        <w:rPr>
          <w:rFonts w:asciiTheme="minorHAnsi" w:hAnsiTheme="minorHAnsi"/>
        </w:rPr>
        <w:t>.</w:t>
      </w:r>
    </w:p>
    <w:p w:rsidR="00B81BEB" w:rsidRDefault="00B81BEB" w:rsidP="004B6690">
      <w:pPr>
        <w:ind w:firstLine="851"/>
        <w:jc w:val="both"/>
        <w:rPr>
          <w:rFonts w:asciiTheme="minorHAnsi" w:hAnsiTheme="minorHAnsi"/>
        </w:rPr>
      </w:pPr>
    </w:p>
    <w:p w:rsidR="00B81BEB" w:rsidRDefault="009A011E" w:rsidP="004B6690">
      <w:pPr>
        <w:ind w:firstLine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Buenos Aires, noviembre de 2015</w:t>
      </w:r>
    </w:p>
    <w:p w:rsidR="009A011E" w:rsidRDefault="009A011E" w:rsidP="004B6690">
      <w:pPr>
        <w:ind w:firstLine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Litigio Estratégico – FOCO INPADE</w:t>
      </w:r>
    </w:p>
    <w:p w:rsidR="009A011E" w:rsidRDefault="009A011E" w:rsidP="004B6690">
      <w:pPr>
        <w:ind w:firstLine="851"/>
        <w:jc w:val="both"/>
        <w:rPr>
          <w:rFonts w:asciiTheme="minorHAnsi" w:hAnsiTheme="minorHAnsi"/>
        </w:rPr>
      </w:pPr>
    </w:p>
    <w:p w:rsidR="00B81BEB" w:rsidRDefault="00B81BEB" w:rsidP="004B6690">
      <w:pPr>
        <w:ind w:firstLine="851"/>
        <w:jc w:val="both"/>
        <w:rPr>
          <w:rFonts w:asciiTheme="minorHAnsi" w:hAnsiTheme="minorHAnsi"/>
        </w:rPr>
      </w:pPr>
    </w:p>
    <w:p w:rsidR="00B81BEB" w:rsidRDefault="00B81BEB" w:rsidP="004B6690">
      <w:pPr>
        <w:ind w:firstLine="851"/>
        <w:jc w:val="both"/>
        <w:rPr>
          <w:rFonts w:asciiTheme="minorHAnsi" w:hAnsiTheme="minorHAnsi"/>
        </w:rPr>
      </w:pPr>
    </w:p>
    <w:p w:rsidR="00EC71D5" w:rsidRDefault="00EC71D5" w:rsidP="004B6690">
      <w:pPr>
        <w:ind w:firstLine="851"/>
        <w:jc w:val="both"/>
        <w:rPr>
          <w:rFonts w:asciiTheme="minorHAnsi" w:hAnsiTheme="minorHAnsi"/>
        </w:rPr>
      </w:pPr>
    </w:p>
    <w:p w:rsidR="003D0F2A" w:rsidRDefault="003D0F2A" w:rsidP="004B6690">
      <w:pPr>
        <w:ind w:firstLine="851"/>
        <w:jc w:val="both"/>
        <w:rPr>
          <w:rFonts w:asciiTheme="minorHAnsi" w:hAnsiTheme="minorHAnsi"/>
        </w:rPr>
      </w:pPr>
    </w:p>
    <w:p w:rsidR="003D0F2A" w:rsidRDefault="003D0F2A" w:rsidP="004B6690">
      <w:pPr>
        <w:ind w:firstLine="851"/>
        <w:jc w:val="both"/>
        <w:rPr>
          <w:rFonts w:asciiTheme="minorHAnsi" w:hAnsiTheme="minorHAnsi"/>
        </w:rPr>
      </w:pPr>
    </w:p>
    <w:p w:rsidR="003D0F2A" w:rsidRDefault="003D0F2A" w:rsidP="004B6690">
      <w:pPr>
        <w:ind w:firstLine="851"/>
        <w:jc w:val="both"/>
        <w:rPr>
          <w:rFonts w:asciiTheme="minorHAnsi" w:hAnsiTheme="minorHAnsi"/>
        </w:rPr>
      </w:pPr>
    </w:p>
    <w:p w:rsidR="003D0F2A" w:rsidRDefault="003D0F2A" w:rsidP="004B6690">
      <w:pPr>
        <w:ind w:firstLine="851"/>
        <w:jc w:val="both"/>
        <w:rPr>
          <w:rFonts w:asciiTheme="minorHAnsi" w:hAnsiTheme="minorHAnsi"/>
        </w:rPr>
      </w:pPr>
    </w:p>
    <w:sectPr w:rsidR="003D0F2A" w:rsidSect="00FF4F32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F4F32"/>
    <w:rsid w:val="00010861"/>
    <w:rsid w:val="00034734"/>
    <w:rsid w:val="00040CA6"/>
    <w:rsid w:val="00041AC8"/>
    <w:rsid w:val="00050F1C"/>
    <w:rsid w:val="00097E43"/>
    <w:rsid w:val="00123AC2"/>
    <w:rsid w:val="001353B4"/>
    <w:rsid w:val="00143849"/>
    <w:rsid w:val="001E1A6C"/>
    <w:rsid w:val="00207322"/>
    <w:rsid w:val="0023397F"/>
    <w:rsid w:val="002364AD"/>
    <w:rsid w:val="00260EA5"/>
    <w:rsid w:val="002A7712"/>
    <w:rsid w:val="002D6A94"/>
    <w:rsid w:val="00386BEC"/>
    <w:rsid w:val="003D0F2A"/>
    <w:rsid w:val="004217CE"/>
    <w:rsid w:val="004A6D3C"/>
    <w:rsid w:val="004B6690"/>
    <w:rsid w:val="004C6C2A"/>
    <w:rsid w:val="004D218F"/>
    <w:rsid w:val="004D22A1"/>
    <w:rsid w:val="004E0FA8"/>
    <w:rsid w:val="004F028E"/>
    <w:rsid w:val="00526438"/>
    <w:rsid w:val="005404CF"/>
    <w:rsid w:val="006649D9"/>
    <w:rsid w:val="00667B36"/>
    <w:rsid w:val="00682666"/>
    <w:rsid w:val="00687FA4"/>
    <w:rsid w:val="006A7499"/>
    <w:rsid w:val="006D2F7D"/>
    <w:rsid w:val="007553D2"/>
    <w:rsid w:val="0079557E"/>
    <w:rsid w:val="007A6B75"/>
    <w:rsid w:val="007B0FA1"/>
    <w:rsid w:val="007C5E8A"/>
    <w:rsid w:val="0080018E"/>
    <w:rsid w:val="00845D4F"/>
    <w:rsid w:val="00880E15"/>
    <w:rsid w:val="0088683B"/>
    <w:rsid w:val="00962678"/>
    <w:rsid w:val="009A011E"/>
    <w:rsid w:val="009C1E96"/>
    <w:rsid w:val="00A255D9"/>
    <w:rsid w:val="00A6476C"/>
    <w:rsid w:val="00AC2569"/>
    <w:rsid w:val="00B81BEB"/>
    <w:rsid w:val="00B92629"/>
    <w:rsid w:val="00B95A1E"/>
    <w:rsid w:val="00BD7AB7"/>
    <w:rsid w:val="00BE0B5F"/>
    <w:rsid w:val="00BF0EB7"/>
    <w:rsid w:val="00CA7831"/>
    <w:rsid w:val="00CD4628"/>
    <w:rsid w:val="00CF0D9B"/>
    <w:rsid w:val="00D341B6"/>
    <w:rsid w:val="00D41263"/>
    <w:rsid w:val="00D57EB7"/>
    <w:rsid w:val="00D628CB"/>
    <w:rsid w:val="00D6352F"/>
    <w:rsid w:val="00EC71D5"/>
    <w:rsid w:val="00FA0635"/>
    <w:rsid w:val="00FB11CF"/>
    <w:rsid w:val="00F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4F32"/>
    <w:rPr>
      <w:noProof/>
      <w:sz w:val="24"/>
      <w:szCs w:val="24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1689</Words>
  <Characters>9182</Characters>
  <Application>Microsoft Office Word</Application>
  <DocSecurity>4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CASO BARRICK GOLD CORPORATION</vt:lpstr>
    </vt:vector>
  </TitlesOfParts>
  <Company>Windows uE</Company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CASO BARRICK GOLD CORPORATION</dc:title>
  <dc:creator>user</dc:creator>
  <cp:lastModifiedBy>Amanda Romero</cp:lastModifiedBy>
  <cp:revision>2</cp:revision>
  <cp:lastPrinted>2012-11-08T18:21:00Z</cp:lastPrinted>
  <dcterms:created xsi:type="dcterms:W3CDTF">2015-11-16T22:11:00Z</dcterms:created>
  <dcterms:modified xsi:type="dcterms:W3CDTF">2015-11-16T22:11:00Z</dcterms:modified>
</cp:coreProperties>
</file>