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DB" w:rsidRDefault="00210EDB"/>
    <w:p w:rsidR="001E576A" w:rsidRPr="00D130E8" w:rsidRDefault="001E576A">
      <w:pPr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/>
          <w:sz w:val="24"/>
          <w:u w:val="single"/>
        </w:rPr>
        <w:t>To the:</w:t>
      </w:r>
    </w:p>
    <w:p w:rsidR="001E576A" w:rsidRPr="00D130E8" w:rsidRDefault="001E576A">
      <w:pPr>
        <w:rPr>
          <w:rFonts w:ascii="Arial" w:hAnsi="Arial" w:cs="Arial"/>
          <w:sz w:val="24"/>
          <w:szCs w:val="24"/>
          <w:u w:val="single"/>
          <w:lang/>
        </w:rPr>
      </w:pPr>
      <w:r>
        <w:rPr>
          <w:rFonts w:ascii="Arial" w:hAnsi="Arial"/>
          <w:sz w:val="24"/>
          <w:u w:val="single"/>
        </w:rPr>
        <w:t>Business &amp; Human Rights Resource Centre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 w:rsidRDefault="001E576A">
      <w:pPr>
        <w:rPr>
          <w:rFonts w:ascii="Arial" w:hAnsi="Arial" w:cs="Arial"/>
          <w:sz w:val="24"/>
          <w:szCs w:val="24"/>
          <w:lang/>
        </w:rPr>
      </w:pPr>
    </w:p>
    <w:p w:rsidR="001E576A" w:rsidRPr="00D130E8" w:rsidRDefault="001E57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 xml:space="preserve">Bayer AG response to statements made by the “Coordination gegen Bayer-Gefahren / Coalition against Bayer Dangers” on taxes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 w:rsidRDefault="001E576A">
      <w:pPr>
        <w:rPr>
          <w:rFonts w:ascii="Arial" w:hAnsi="Arial" w:cs="Arial"/>
          <w:sz w:val="24"/>
          <w:szCs w:val="24"/>
        </w:rPr>
      </w:pPr>
    </w:p>
    <w:p w:rsidR="001E576A" w:rsidRPr="00D130E8" w:rsidRDefault="001E576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“Coordination gegen Bayer-Gefahren / Coalition against Bayer Dangers” (CBG) has accused the Bayer Group of “tax-dodging tactics.”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 w:rsidRDefault="001E576A">
      <w:pPr>
        <w:rPr>
          <w:rFonts w:ascii="Arial" w:hAnsi="Arial" w:cs="Arial"/>
          <w:sz w:val="24"/>
          <w:szCs w:val="24"/>
        </w:rPr>
      </w:pPr>
    </w:p>
    <w:p w:rsidR="005B5C98" w:rsidRDefault="001E576A" w:rsidP="001E576A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Bayer is defending itself against this accusation.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5C98" w:rsidRDefault="005B5C98" w:rsidP="001E576A">
      <w:pPr>
        <w:rPr>
          <w:rFonts w:ascii="Arial" w:hAnsi="Arial" w:cs="Arial"/>
          <w:sz w:val="24"/>
          <w:szCs w:val="24"/>
        </w:rPr>
      </w:pPr>
    </w:p>
    <w:p w:rsidR="005B5C98" w:rsidRDefault="005B5C9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Bayer is a global company that is strongly committed to Germany due to its operations and the location of the headquarters in Leverkusen.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5C98" w:rsidRDefault="005B5C98">
      <w:pPr>
        <w:rPr>
          <w:rFonts w:ascii="Arial" w:hAnsi="Arial" w:cs="Arial"/>
          <w:sz w:val="24"/>
          <w:szCs w:val="24"/>
        </w:rPr>
      </w:pPr>
    </w:p>
    <w:p w:rsidR="005B5C98" w:rsidRDefault="005B5C9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We pay tax in all relevant countries on the basis of the added value generated there and observe the statutory regulations that apply in all cases.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5C98" w:rsidRDefault="005B5C98">
      <w:pPr>
        <w:rPr>
          <w:rFonts w:ascii="Arial" w:hAnsi="Arial" w:cs="Arial"/>
          <w:sz w:val="24"/>
          <w:szCs w:val="24"/>
        </w:rPr>
      </w:pPr>
    </w:p>
    <w:p w:rsidR="005B5C98" w:rsidRDefault="005B5C9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particular significance to the Bayer Group of Germany as a location is also clearly demonstrated in the income tax paid there. </w:t>
      </w:r>
      <w:r>
        <w:rPr>
          <w:rFonts w:ascii="Arial" w:hAnsi="Arial"/>
          <w:sz w:val="24"/>
        </w:rPr>
        <w:t>In 2013, this amounted to EUR 795 million, some 48% of all income tax paid, despite only 12% of the Group’s sales being generated in Germany.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5C98" w:rsidRDefault="005B5C98">
      <w:pPr>
        <w:rPr>
          <w:rFonts w:ascii="Arial" w:hAnsi="Arial" w:cs="Arial"/>
          <w:sz w:val="24"/>
          <w:szCs w:val="24"/>
        </w:rPr>
      </w:pPr>
    </w:p>
    <w:p w:rsidR="009B60FF" w:rsidRDefault="005B5C9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The statements made by the CBG contain several factual errors.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9B60FF" w:rsidRDefault="009B60FF">
      <w:pPr>
        <w:rPr>
          <w:rFonts w:ascii="Arial" w:hAnsi="Arial" w:cs="Arial"/>
          <w:sz w:val="24"/>
          <w:szCs w:val="24"/>
        </w:rPr>
      </w:pPr>
    </w:p>
    <w:p w:rsidR="00025D7D" w:rsidRDefault="009B60F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For instance, the protest group claims that by ceasing to use the Schering brand name following acquisition of Schering AG, taxable profit was reduced by some EUR 405 million. </w:t>
      </w:r>
      <w:r>
        <w:rPr>
          <w:rFonts w:ascii="Arial" w:hAnsi="Arial"/>
          <w:sz w:val="24"/>
        </w:rPr>
        <w:t xml:space="preserve">This is incorrect. </w:t>
      </w:r>
      <w:r>
        <w:rPr>
          <w:rFonts w:ascii="Arial" w:hAnsi="Arial"/>
          <w:sz w:val="24"/>
        </w:rPr>
        <w:t>At no point did writedown of the Schering brand name reduce the Bayer Group’s tax liability in any way.</w:t>
      </w:r>
    </w:p>
    <w:p w:rsidR="00025D7D" w:rsidRDefault="00025D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 </w:t>
      </w:r>
    </w:p>
    <w:p w:rsidR="005B5C98" w:rsidRDefault="00025D7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 further incorrect statement relates to the alleged relocation of brand name and trademark rights for Aspirin to the Netherlands. </w:t>
      </w:r>
      <w:r>
        <w:rPr>
          <w:rFonts w:ascii="Arial" w:hAnsi="Arial"/>
          <w:sz w:val="24"/>
        </w:rPr>
        <w:t xml:space="preserve">In fact, these trademarks are registered in Germany and lead to taxable income there.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A5A48" w:rsidRDefault="005A5A48">
      <w:pPr>
        <w:rPr>
          <w:rFonts w:ascii="Arial" w:hAnsi="Arial" w:cs="Arial"/>
          <w:sz w:val="24"/>
          <w:szCs w:val="24"/>
        </w:rPr>
      </w:pPr>
    </w:p>
    <w:p w:rsidR="005A5A48" w:rsidRDefault="005A5A4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Alongside incorrect statements and allegations that we can see no basis for, the CBG’s claims include misinterpretations and accusations that can only be attributed to a lack of understanding of the facts.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B5C98" w:rsidRDefault="005B5C98">
      <w:pPr>
        <w:rPr>
          <w:rFonts w:ascii="Arial" w:hAnsi="Arial" w:cs="Arial"/>
          <w:sz w:val="24"/>
          <w:szCs w:val="24"/>
        </w:rPr>
      </w:pPr>
    </w:p>
    <w:p w:rsidR="00D130E8" w:rsidRPr="00D130E8" w:rsidRDefault="00853CE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We believe it is important to know what the CBG stands for in order to understand its claims about Bayer. </w:t>
      </w:r>
    </w:p>
    <w:p w:rsidR="00D130E8" w:rsidRPr="00D130E8" w:rsidRDefault="00D130E8" w:rsidP="00D130E8">
      <w:pPr>
        <w:pStyle w:val="NurText"/>
        <w:rPr>
          <w:sz w:val="24"/>
          <w:szCs w:val="24"/>
        </w:rPr>
      </w:pPr>
      <w:r>
        <w:rPr>
          <w:sz w:val="24"/>
        </w:rPr>
        <w:t xml:space="preserve">Public statements have made clear that the CBG takes a fundamentally anti-industry and anti-capitalist position that is not always in line with the key principles and values of the freedom- and democracy-based constitution of the Federal Republic of Germany. </w:t>
      </w:r>
      <w:r>
        <w:rPr>
          <w:sz w:val="24"/>
        </w:rPr>
        <w:t>For example, one of the organization’s aims is to subject Bayer to “gesellschaftliche Kontrolle” (“social control”).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130E8" w:rsidRPr="00D130E8" w:rsidRDefault="00D130E8">
      <w:pPr>
        <w:rPr>
          <w:rFonts w:ascii="Arial" w:hAnsi="Arial" w:cs="Arial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 w:rsidRDefault="001E576A">
      <w:pPr>
        <w:rPr>
          <w:rFonts w:ascii="Arial" w:hAnsi="Arial" w:cs="Arial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 w:rsidRDefault="001E576A">
      <w:pPr>
        <w:rPr>
          <w:rFonts w:ascii="Arial" w:hAnsi="Arial" w:cs="Arial"/>
          <w:sz w:val="24"/>
          <w:szCs w:val="24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 w:rsidRDefault="001E576A" w:rsidP="001E576A">
      <w:pPr>
        <w:rPr>
          <w:rFonts w:ascii="Arial" w:hAnsi="Arial" w:cs="Arial"/>
          <w:sz w:val="24"/>
          <w:szCs w:val="24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E576A" w:rsidRPr="00D13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6A"/>
    <w:rsid w:val="00025D7D"/>
    <w:rsid w:val="001B700B"/>
    <w:rsid w:val="001E576A"/>
    <w:rsid w:val="00210EDB"/>
    <w:rsid w:val="004338BB"/>
    <w:rsid w:val="004D7EB5"/>
    <w:rsid w:val="005A5A48"/>
    <w:rsid w:val="005B5C98"/>
    <w:rsid w:val="00853CE3"/>
    <w:rsid w:val="009B60FF"/>
    <w:rsid w:val="009E0C08"/>
    <w:rsid w:val="00B82689"/>
    <w:rsid w:val="00BD0D6B"/>
    <w:rsid w:val="00D130E8"/>
    <w:rsid w:val="00EE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76A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D130E8"/>
    <w:rPr>
      <w:rFonts w:ascii="Arial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30E8"/>
    <w:rPr>
      <w:rFonts w:ascii="Arial" w:hAnsi="Arial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576A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D130E8"/>
    <w:rPr>
      <w:rFonts w:ascii="Arial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130E8"/>
    <w:rPr>
      <w:rFonts w:ascii="Arial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Frenzel</dc:creator>
  <cp:lastModifiedBy>Dirk Frenzel</cp:lastModifiedBy>
  <cp:revision>2</cp:revision>
  <dcterms:created xsi:type="dcterms:W3CDTF">2015-02-02T17:09:00Z</dcterms:created>
  <dcterms:modified xsi:type="dcterms:W3CDTF">2015-02-02T17:09:00Z</dcterms:modified>
</cp:coreProperties>
</file>