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3190" w14:textId="77777777" w:rsidR="00006F9C" w:rsidRDefault="00006F9C" w:rsidP="00BF5DAA">
      <w:pPr>
        <w:ind w:left="1440" w:firstLine="261"/>
        <w:rPr>
          <w:b/>
        </w:rPr>
      </w:pPr>
      <w:r>
        <w:rPr>
          <w:b/>
          <w:noProof/>
          <w:lang w:val="en-GB" w:eastAsia="zh-CN"/>
        </w:rPr>
        <w:drawing>
          <wp:inline distT="0" distB="0" distL="0" distR="0" wp14:anchorId="36DBD09A" wp14:editId="4D698BBF">
            <wp:extent cx="28003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TJN logo.png"/>
                    <pic:cNvPicPr/>
                  </pic:nvPicPr>
                  <pic:blipFill>
                    <a:blip r:embed="rId8">
                      <a:extLst>
                        <a:ext uri="{28A0092B-C50C-407E-A947-70E740481C1C}">
                          <a14:useLocalDpi xmlns:a14="http://schemas.microsoft.com/office/drawing/2010/main" val="0"/>
                        </a:ext>
                      </a:extLst>
                    </a:blip>
                    <a:stretch>
                      <a:fillRect/>
                    </a:stretch>
                  </pic:blipFill>
                  <pic:spPr>
                    <a:xfrm>
                      <a:off x="0" y="0"/>
                      <a:ext cx="2800350" cy="2800350"/>
                    </a:xfrm>
                    <a:prstGeom prst="rect">
                      <a:avLst/>
                    </a:prstGeom>
                  </pic:spPr>
                </pic:pic>
              </a:graphicData>
            </a:graphic>
          </wp:inline>
        </w:drawing>
      </w:r>
    </w:p>
    <w:p w14:paraId="3092A2F4" w14:textId="678EB604" w:rsidR="0078335D" w:rsidRPr="0078335D" w:rsidRDefault="0078335D" w:rsidP="0078335D">
      <w:pPr>
        <w:rPr>
          <w:i/>
          <w:u w:val="single"/>
        </w:rPr>
      </w:pPr>
      <w:r w:rsidRPr="0078335D">
        <w:rPr>
          <w:i/>
          <w:u w:val="single"/>
        </w:rPr>
        <w:t xml:space="preserve">Embargo Time: 00:01 GMT </w:t>
      </w:r>
      <w:r w:rsidR="002F5CBE">
        <w:rPr>
          <w:i/>
          <w:u w:val="single"/>
        </w:rPr>
        <w:t>Wednesday 18</w:t>
      </w:r>
      <w:r w:rsidR="002F5CBE" w:rsidRPr="002F5CBE">
        <w:rPr>
          <w:i/>
          <w:u w:val="single"/>
          <w:vertAlign w:val="superscript"/>
        </w:rPr>
        <w:t>th</w:t>
      </w:r>
      <w:r w:rsidR="002F5CBE">
        <w:rPr>
          <w:i/>
          <w:u w:val="single"/>
        </w:rPr>
        <w:t xml:space="preserve"> March</w:t>
      </w:r>
      <w:r w:rsidRPr="0078335D">
        <w:rPr>
          <w:i/>
          <w:u w:val="single"/>
        </w:rPr>
        <w:t xml:space="preserve"> 2015</w:t>
      </w:r>
    </w:p>
    <w:p w14:paraId="04823EA4" w14:textId="77777777" w:rsidR="0078335D" w:rsidRDefault="0078335D">
      <w:pPr>
        <w:rPr>
          <w:b/>
        </w:rPr>
      </w:pPr>
    </w:p>
    <w:p w14:paraId="35702606" w14:textId="77777777" w:rsidR="00446B0A" w:rsidRDefault="001C222D">
      <w:pPr>
        <w:rPr>
          <w:b/>
        </w:rPr>
      </w:pPr>
      <w:r w:rsidRPr="001C222D">
        <w:rPr>
          <w:b/>
        </w:rPr>
        <w:t>New Report: Ten Reasons to Defend the Corporate Income Tax.</w:t>
      </w:r>
    </w:p>
    <w:p w14:paraId="2A6F7D50" w14:textId="3AB3B024" w:rsidR="001C222D" w:rsidRPr="00E468E9" w:rsidRDefault="00C7119C">
      <w:pPr>
        <w:rPr>
          <w:i/>
        </w:rPr>
      </w:pPr>
      <w:r w:rsidRPr="00C7119C">
        <w:rPr>
          <w:i/>
        </w:rPr>
        <w:t>Trillions</w:t>
      </w:r>
      <w:r>
        <w:rPr>
          <w:i/>
        </w:rPr>
        <w:t xml:space="preserve"> in public spending at risk as attacks </w:t>
      </w:r>
      <w:r w:rsidR="00EE04A3">
        <w:rPr>
          <w:i/>
        </w:rPr>
        <w:t>on corporate tax intensify</w:t>
      </w:r>
    </w:p>
    <w:p w14:paraId="02A98230" w14:textId="77777777" w:rsidR="001C222D" w:rsidRDefault="001C222D"/>
    <w:p w14:paraId="3BF40C7B" w14:textId="336EE2CE" w:rsidR="00C91D94" w:rsidRDefault="001C222D">
      <w:r>
        <w:t xml:space="preserve">On </w:t>
      </w:r>
      <w:r w:rsidR="002F5CBE">
        <w:t>Wednesday 18</w:t>
      </w:r>
      <w:r w:rsidR="002F5CBE" w:rsidRPr="002F5CBE">
        <w:rPr>
          <w:vertAlign w:val="superscript"/>
        </w:rPr>
        <w:t>th</w:t>
      </w:r>
      <w:r w:rsidR="002F5CBE">
        <w:t xml:space="preserve"> </w:t>
      </w:r>
      <w:r w:rsidR="00ED2F92">
        <w:t xml:space="preserve">March 2015 </w:t>
      </w:r>
      <w:r>
        <w:t xml:space="preserve">the Tax Justice Network will publish a landmark report entitled </w:t>
      </w:r>
      <w:r w:rsidRPr="001C222D">
        <w:rPr>
          <w:b/>
        </w:rPr>
        <w:t>Ten Reasons to Defend the Corporation Tax</w:t>
      </w:r>
      <w:r>
        <w:rPr>
          <w:b/>
        </w:rPr>
        <w:t>.</w:t>
      </w:r>
      <w:r>
        <w:t xml:space="preserve"> </w:t>
      </w:r>
      <w:r w:rsidR="00C91D94">
        <w:t xml:space="preserve"> </w:t>
      </w:r>
      <w:r w:rsidR="0078335D">
        <w:t xml:space="preserve"> A </w:t>
      </w:r>
      <w:r w:rsidR="00C91D94">
        <w:t xml:space="preserve">short summary document </w:t>
      </w:r>
      <w:r w:rsidR="00A562F1">
        <w:t xml:space="preserve">and the full document are attached. </w:t>
      </w:r>
    </w:p>
    <w:p w14:paraId="1C8FA880" w14:textId="77777777" w:rsidR="001C222D" w:rsidRDefault="001C222D"/>
    <w:p w14:paraId="4E3FEA80" w14:textId="2326B849" w:rsidR="001C222D" w:rsidRDefault="001C222D" w:rsidP="006B4BEF">
      <w:r>
        <w:t>The corporate income tax is under attack. Nation states are scrambling to offer multinational corporations an ever growing feast of lower taxes, loopholes and incentives. Lobbyists</w:t>
      </w:r>
      <w:r w:rsidR="008B1A22">
        <w:t xml:space="preserve"> and</w:t>
      </w:r>
      <w:r>
        <w:t xml:space="preserve"> politicians constantly try to persuade us that the corporate tax is a bad, inefficient, unreasonable tax. </w:t>
      </w:r>
      <w:r w:rsidR="0078335D">
        <w:t>Yet i</w:t>
      </w:r>
      <w:r w:rsidR="008B1A22">
        <w:t>t</w:t>
      </w:r>
      <w:r w:rsidR="0078335D">
        <w:t xml:space="preserve"> is one of the most precious of all taxes.</w:t>
      </w:r>
    </w:p>
    <w:p w14:paraId="05140C97" w14:textId="77777777" w:rsidR="001C222D" w:rsidRDefault="001C222D"/>
    <w:p w14:paraId="50C09256" w14:textId="18CBDD60" w:rsidR="00416010" w:rsidRDefault="008B1A22">
      <w:r>
        <w:t xml:space="preserve">One of our ten points concerns revenue. </w:t>
      </w:r>
      <w:r w:rsidR="0012080C">
        <w:t xml:space="preserve">Corporate </w:t>
      </w:r>
      <w:r w:rsidR="00EE04A3">
        <w:t xml:space="preserve">income </w:t>
      </w:r>
      <w:r w:rsidR="0012080C">
        <w:t xml:space="preserve">taxes have added up to </w:t>
      </w:r>
      <w:r w:rsidR="000C4DD4">
        <w:t>almost</w:t>
      </w:r>
      <w:r w:rsidR="003A79EA">
        <w:t xml:space="preserve"> </w:t>
      </w:r>
      <w:r w:rsidR="0012080C">
        <w:t xml:space="preserve">US$ </w:t>
      </w:r>
      <w:r w:rsidR="00EE04A3">
        <w:t>7.5</w:t>
      </w:r>
      <w:r w:rsidR="0012080C">
        <w:t xml:space="preserve"> trillion since the global financial crisis erupted in 2008</w:t>
      </w:r>
      <w:r w:rsidR="00EE04A3">
        <w:t>,</w:t>
      </w:r>
      <w:r w:rsidR="00A40DE3">
        <w:t xml:space="preserve"> in OECD countries alone</w:t>
      </w:r>
      <w:r w:rsidR="00416010">
        <w:t xml:space="preserve">. This is </w:t>
      </w:r>
      <w:r w:rsidR="00C7119C">
        <w:t xml:space="preserve">nearly half of all </w:t>
      </w:r>
      <w:r w:rsidR="006B4BEF">
        <w:t xml:space="preserve">OECD </w:t>
      </w:r>
      <w:r w:rsidR="00C7119C">
        <w:t xml:space="preserve">public health spending and </w:t>
      </w:r>
      <w:r w:rsidR="008C0547">
        <w:t>around</w:t>
      </w:r>
      <w:r w:rsidR="00416010">
        <w:t xml:space="preserve"> double the amount spent on public tertiary education, one of the fundamental underpinnings of corporate profits.</w:t>
      </w:r>
      <w:r w:rsidR="00416010">
        <w:rPr>
          <w:rStyle w:val="EndnoteReference"/>
        </w:rPr>
        <w:endnoteReference w:id="1"/>
      </w:r>
      <w:r w:rsidR="00482414">
        <w:t xml:space="preserve">  </w:t>
      </w:r>
      <w:r w:rsidR="00482414" w:rsidRPr="00482414">
        <w:t>It is even more important for developing countries.</w:t>
      </w:r>
    </w:p>
    <w:p w14:paraId="497F3F41" w14:textId="77777777" w:rsidR="00416010" w:rsidRDefault="00416010"/>
    <w:p w14:paraId="381F2DD3" w14:textId="3FF4EE12" w:rsidR="00416010" w:rsidRDefault="00416010">
      <w:r>
        <w:t xml:space="preserve">And yet the corporate tax is disappearing fast. Average headline tax rates are around half what they were in 1980, and on current trends will reach zero in the next two or three decades. </w:t>
      </w:r>
      <w:r w:rsidR="006B4BEF">
        <w:t xml:space="preserve"> </w:t>
      </w:r>
      <w:r w:rsidR="008B1A22">
        <w:t>W</w:t>
      </w:r>
      <w:r>
        <w:t xml:space="preserve">e may not even have this much time, given the influence of the large accountancy firms </w:t>
      </w:r>
      <w:r w:rsidR="008B1A22">
        <w:t xml:space="preserve">and corporate lobbyists </w:t>
      </w:r>
      <w:r>
        <w:t>actively working to hasten its demise.</w:t>
      </w:r>
    </w:p>
    <w:p w14:paraId="0375D94C" w14:textId="77777777" w:rsidR="0012080C" w:rsidRDefault="0012080C"/>
    <w:p w14:paraId="6D33B965" w14:textId="73307C83" w:rsidR="001C222D" w:rsidRDefault="001C222D">
      <w:r>
        <w:t>Since the 1970s multinational corporate profits have soared but the constant attacks on the corporate tax mean nation states are capturing a</w:t>
      </w:r>
      <w:r w:rsidR="003A79EA">
        <w:t xml:space="preserve"> dwindling </w:t>
      </w:r>
      <w:r>
        <w:t xml:space="preserve">share of this bonanza. The result is greater inequality, higher taxes for poorer sections of society, distorted markets, and </w:t>
      </w:r>
      <w:r w:rsidR="00416010">
        <w:t>rising fears of plutocracy.</w:t>
      </w:r>
    </w:p>
    <w:p w14:paraId="745C4EE6" w14:textId="77777777" w:rsidR="001C222D" w:rsidRDefault="001C222D"/>
    <w:p w14:paraId="144BCD76" w14:textId="67815942" w:rsidR="001C222D" w:rsidRDefault="001C222D">
      <w:r>
        <w:lastRenderedPageBreak/>
        <w:t>Th</w:t>
      </w:r>
      <w:r w:rsidR="00416010">
        <w:t>e attached</w:t>
      </w:r>
      <w:r>
        <w:t xml:space="preserve"> document</w:t>
      </w:r>
      <w:r w:rsidR="00416010">
        <w:t>s</w:t>
      </w:r>
      <w:r>
        <w:t xml:space="preserve"> outlines ten reasons why it is essential to defend the corporate income tax. </w:t>
      </w:r>
      <w:r w:rsidR="00416010">
        <w:t>In summary, t</w:t>
      </w:r>
      <w:r>
        <w:t>he</w:t>
      </w:r>
      <w:r w:rsidR="00416010">
        <w:t>se</w:t>
      </w:r>
      <w:r>
        <w:t xml:space="preserve"> are:</w:t>
      </w:r>
    </w:p>
    <w:p w14:paraId="3B15DDBE" w14:textId="77777777" w:rsidR="001C222D" w:rsidRDefault="001C222D"/>
    <w:p w14:paraId="50E88C80" w14:textId="77777777" w:rsidR="001C222D" w:rsidRDefault="001C222D" w:rsidP="001C222D">
      <w:pPr>
        <w:pStyle w:val="ListParagraph"/>
        <w:numPr>
          <w:ilvl w:val="0"/>
          <w:numId w:val="1"/>
        </w:numPr>
      </w:pPr>
      <w:r>
        <w:t xml:space="preserve">Corporate income taxes </w:t>
      </w:r>
      <w:r w:rsidRPr="001C222D">
        <w:rPr>
          <w:b/>
        </w:rPr>
        <w:t>raise essential revenue</w:t>
      </w:r>
      <w:r>
        <w:rPr>
          <w:b/>
        </w:rPr>
        <w:t xml:space="preserve"> </w:t>
      </w:r>
      <w:r>
        <w:t>for schools, hospitals and the rule of law.</w:t>
      </w:r>
    </w:p>
    <w:p w14:paraId="0462F979" w14:textId="77777777" w:rsidR="00EB23D3" w:rsidRDefault="00EB23D3" w:rsidP="00EB23D3"/>
    <w:p w14:paraId="64094ACE" w14:textId="00E166E7" w:rsidR="001C222D" w:rsidRDefault="001C222D" w:rsidP="001C222D">
      <w:pPr>
        <w:pStyle w:val="ListParagraph"/>
        <w:numPr>
          <w:ilvl w:val="0"/>
          <w:numId w:val="1"/>
        </w:numPr>
      </w:pPr>
      <w:r>
        <w:t xml:space="preserve">Less well understood is the fact that </w:t>
      </w:r>
      <w:r w:rsidRPr="001C222D">
        <w:rPr>
          <w:b/>
        </w:rPr>
        <w:t xml:space="preserve">the corporate tax </w:t>
      </w:r>
      <w:r w:rsidR="00EE04A3">
        <w:rPr>
          <w:b/>
        </w:rPr>
        <w:t xml:space="preserve">helps </w:t>
      </w:r>
      <w:r w:rsidRPr="001C222D">
        <w:rPr>
          <w:b/>
        </w:rPr>
        <w:t>hold the whole tax system together</w:t>
      </w:r>
      <w:r w:rsidR="00671E1A">
        <w:t>:</w:t>
      </w:r>
      <w:r>
        <w:t xml:space="preserve"> </w:t>
      </w:r>
      <w:r w:rsidR="00671E1A">
        <w:t>w</w:t>
      </w:r>
      <w:r>
        <w:t xml:space="preserve">ithout it, </w:t>
      </w:r>
      <w:r w:rsidR="00671E1A">
        <w:t xml:space="preserve">people will </w:t>
      </w:r>
      <w:r w:rsidR="00416010">
        <w:t xml:space="preserve">stash </w:t>
      </w:r>
      <w:r>
        <w:t xml:space="preserve">their </w:t>
      </w:r>
      <w:r w:rsidR="00FF077A">
        <w:t xml:space="preserve">money </w:t>
      </w:r>
      <w:r>
        <w:t xml:space="preserve">in </w:t>
      </w:r>
      <w:r w:rsidR="00671E1A">
        <w:t xml:space="preserve">zero-tax </w:t>
      </w:r>
      <w:r>
        <w:t>corporate structures and</w:t>
      </w:r>
      <w:r w:rsidR="00671E1A">
        <w:t xml:space="preserve"> </w:t>
      </w:r>
      <w:r w:rsidR="00EE04A3">
        <w:t xml:space="preserve">defer or even </w:t>
      </w:r>
      <w:r>
        <w:t>escape tax</w:t>
      </w:r>
      <w:r w:rsidR="00EE04A3">
        <w:t xml:space="preserve"> entirely</w:t>
      </w:r>
      <w:r>
        <w:t xml:space="preserve">. </w:t>
      </w:r>
    </w:p>
    <w:p w14:paraId="5387B559" w14:textId="77777777" w:rsidR="00EB23D3" w:rsidRDefault="00EB23D3" w:rsidP="00EB23D3"/>
    <w:p w14:paraId="1845027B" w14:textId="7267CC7E" w:rsidR="001C222D" w:rsidRDefault="001C222D" w:rsidP="001C222D">
      <w:pPr>
        <w:pStyle w:val="ListParagraph"/>
        <w:numPr>
          <w:ilvl w:val="0"/>
          <w:numId w:val="1"/>
        </w:numPr>
      </w:pPr>
      <w:r>
        <w:t xml:space="preserve">The corporate income tax </w:t>
      </w:r>
      <w:r w:rsidRPr="001C222D">
        <w:rPr>
          <w:b/>
        </w:rPr>
        <w:t>curbs inequality and protects democracy</w:t>
      </w:r>
      <w:r>
        <w:t xml:space="preserve">. </w:t>
      </w:r>
      <w:r w:rsidR="00EE04A3">
        <w:t>T</w:t>
      </w:r>
      <w:r>
        <w:t>he tax charge falls largely on the wealthy owners of capital</w:t>
      </w:r>
      <w:r w:rsidR="0006729F">
        <w:t>: without it, corporations and their wealthy owners free-ride off the public services paid for by others.</w:t>
      </w:r>
    </w:p>
    <w:p w14:paraId="2A7CF8C9" w14:textId="77777777" w:rsidR="00EB23D3" w:rsidRDefault="00EB23D3" w:rsidP="00EB23D3"/>
    <w:p w14:paraId="1760F12B" w14:textId="2507FE72" w:rsidR="001C222D" w:rsidRDefault="001C222D" w:rsidP="001C222D">
      <w:pPr>
        <w:pStyle w:val="ListParagraph"/>
        <w:numPr>
          <w:ilvl w:val="0"/>
          <w:numId w:val="1"/>
        </w:numPr>
      </w:pPr>
      <w:r>
        <w:t xml:space="preserve">Corporate taxes </w:t>
      </w:r>
      <w:r w:rsidRPr="00C91D94">
        <w:rPr>
          <w:b/>
        </w:rPr>
        <w:t>enhance national welfare</w:t>
      </w:r>
      <w:r>
        <w:t xml:space="preserve">. So-called </w:t>
      </w:r>
      <w:r w:rsidRPr="00C91D94">
        <w:t>“competit</w:t>
      </w:r>
      <w:r w:rsidR="00EB23D3">
        <w:t xml:space="preserve">ive” tax-cutting is </w:t>
      </w:r>
      <w:hyperlink r:id="rId9" w:history="1">
        <w:r w:rsidR="00EB23D3" w:rsidRPr="008B1A22">
          <w:rPr>
            <w:rStyle w:val="Hyperlink"/>
          </w:rPr>
          <w:t>fools’ gold</w:t>
        </w:r>
      </w:hyperlink>
      <w:r w:rsidR="000C4DD4">
        <w:t>, particularly for the larger economies.</w:t>
      </w:r>
    </w:p>
    <w:p w14:paraId="7D10B04C" w14:textId="77777777" w:rsidR="00EB23D3" w:rsidRPr="00C91D94" w:rsidRDefault="00EB23D3" w:rsidP="00EB23D3"/>
    <w:p w14:paraId="67528FBC" w14:textId="77777777" w:rsidR="00246C9F" w:rsidRDefault="001C222D" w:rsidP="001C222D">
      <w:pPr>
        <w:pStyle w:val="ListParagraph"/>
        <w:numPr>
          <w:ilvl w:val="0"/>
          <w:numId w:val="1"/>
        </w:numPr>
      </w:pPr>
      <w:r>
        <w:t xml:space="preserve">Corporate tax cuts, incentives and loopholes </w:t>
      </w:r>
      <w:r w:rsidRPr="001C222D">
        <w:rPr>
          <w:b/>
        </w:rPr>
        <w:t>ricochet around the world</w:t>
      </w:r>
      <w:r>
        <w:t>. A tax cut in one place</w:t>
      </w:r>
      <w:r w:rsidR="000C4DD4">
        <w:t xml:space="preserve"> may suck capital out of others</w:t>
      </w:r>
      <w:r>
        <w:t xml:space="preserve"> and prompt</w:t>
      </w:r>
    </w:p>
    <w:p w14:paraId="59334C7B" w14:textId="77777777" w:rsidR="00246C9F" w:rsidRDefault="00246C9F" w:rsidP="00246C9F">
      <w:pPr>
        <w:pStyle w:val="ListParagraph"/>
      </w:pPr>
    </w:p>
    <w:p w14:paraId="04483DDD" w14:textId="65611A1A" w:rsidR="001C222D" w:rsidRDefault="001C222D" w:rsidP="001C222D">
      <w:pPr>
        <w:pStyle w:val="ListParagraph"/>
        <w:numPr>
          <w:ilvl w:val="0"/>
          <w:numId w:val="1"/>
        </w:numPr>
      </w:pPr>
      <w:r>
        <w:t xml:space="preserve"> other jurisdictions to follow suit, in a race to the bottom where the only winners are the very wealthiest sections of society.</w:t>
      </w:r>
    </w:p>
    <w:p w14:paraId="6279EA46" w14:textId="77777777" w:rsidR="00EB23D3" w:rsidRDefault="00EB23D3" w:rsidP="00EB23D3"/>
    <w:p w14:paraId="7A1D78F6" w14:textId="77777777" w:rsidR="00C91D94" w:rsidRDefault="00C91D94" w:rsidP="001C222D">
      <w:pPr>
        <w:pStyle w:val="ListParagraph"/>
        <w:numPr>
          <w:ilvl w:val="0"/>
          <w:numId w:val="1"/>
        </w:numPr>
      </w:pPr>
      <w:r>
        <w:t xml:space="preserve">The corporate income tax is </w:t>
      </w:r>
      <w:r w:rsidRPr="00C91D94">
        <w:rPr>
          <w:b/>
        </w:rPr>
        <w:t>particularly important for developing countries</w:t>
      </w:r>
      <w:r>
        <w:t>, which rely more heavily on it than rich countries do.</w:t>
      </w:r>
    </w:p>
    <w:p w14:paraId="57B66708" w14:textId="77777777" w:rsidR="00EB23D3" w:rsidRDefault="00EB23D3" w:rsidP="00EB23D3"/>
    <w:p w14:paraId="0B9B8CE1" w14:textId="77777777" w:rsidR="00C91D94" w:rsidRDefault="00C91D94" w:rsidP="001C222D">
      <w:pPr>
        <w:pStyle w:val="ListParagraph"/>
        <w:numPr>
          <w:ilvl w:val="0"/>
          <w:numId w:val="1"/>
        </w:numPr>
      </w:pPr>
      <w:r>
        <w:t xml:space="preserve">Corporate taxes can </w:t>
      </w:r>
      <w:r w:rsidRPr="00C91D94">
        <w:rPr>
          <w:b/>
        </w:rPr>
        <w:t>rebalance economies</w:t>
      </w:r>
      <w:r>
        <w:t>. Corporations around the world are hoarding cash, not investing it. Corporate taxes harness this idle cash and put it to productive uses, via government spending on education, roads and other public services.</w:t>
      </w:r>
    </w:p>
    <w:p w14:paraId="69784796" w14:textId="77777777" w:rsidR="00EB23D3" w:rsidRDefault="00EB23D3" w:rsidP="00EB23D3"/>
    <w:p w14:paraId="465F3A01" w14:textId="77777777" w:rsidR="00C91D94" w:rsidRDefault="00C91D94" w:rsidP="001C222D">
      <w:pPr>
        <w:pStyle w:val="ListParagraph"/>
        <w:numPr>
          <w:ilvl w:val="0"/>
          <w:numId w:val="1"/>
        </w:numPr>
      </w:pPr>
      <w:r>
        <w:t xml:space="preserve">The corporate tax </w:t>
      </w:r>
      <w:r w:rsidRPr="00C91D94">
        <w:rPr>
          <w:b/>
        </w:rPr>
        <w:t>curbs rent-seeking</w:t>
      </w:r>
      <w:r>
        <w:t>. Because rent-seeking tends to be more profitable than genuine productive activity, the corporate tax falls more heavily on it.</w:t>
      </w:r>
    </w:p>
    <w:p w14:paraId="4E412383" w14:textId="77777777" w:rsidR="00EB23D3" w:rsidRDefault="00EB23D3" w:rsidP="00EB23D3"/>
    <w:p w14:paraId="33FC28B0" w14:textId="298A72A7" w:rsidR="00C91D94" w:rsidRDefault="00C91D94" w:rsidP="001C222D">
      <w:pPr>
        <w:pStyle w:val="ListParagraph"/>
        <w:numPr>
          <w:ilvl w:val="0"/>
          <w:numId w:val="1"/>
        </w:numPr>
      </w:pPr>
      <w:r>
        <w:t xml:space="preserve">Tax cuts and special incentives </w:t>
      </w:r>
      <w:r w:rsidRPr="00C91D94">
        <w:rPr>
          <w:b/>
        </w:rPr>
        <w:t>don’t stop at zero</w:t>
      </w:r>
      <w:r>
        <w:t xml:space="preserve">: </w:t>
      </w:r>
      <w:r w:rsidR="00FF077A">
        <w:t xml:space="preserve">they </w:t>
      </w:r>
      <w:r>
        <w:t xml:space="preserve">turn negative. In this race to below the bottom there is no limit on corporations’ </w:t>
      </w:r>
      <w:r w:rsidR="008B1A22">
        <w:t>zeal</w:t>
      </w:r>
      <w:r>
        <w:t xml:space="preserve"> </w:t>
      </w:r>
      <w:r w:rsidR="008B1A22">
        <w:t xml:space="preserve">for </w:t>
      </w:r>
      <w:r>
        <w:t>free-rid</w:t>
      </w:r>
      <w:r w:rsidR="008B1A22">
        <w:t>ing</w:t>
      </w:r>
      <w:r>
        <w:t xml:space="preserve"> off public goods </w:t>
      </w:r>
      <w:r w:rsidR="008B1A22">
        <w:t xml:space="preserve">and subsidies paid for </w:t>
      </w:r>
      <w:r>
        <w:t>provided by others.</w:t>
      </w:r>
    </w:p>
    <w:p w14:paraId="6BB1C871" w14:textId="77777777" w:rsidR="00EB23D3" w:rsidRDefault="00EB23D3" w:rsidP="00EB23D3"/>
    <w:p w14:paraId="1E639575" w14:textId="10F20BB5" w:rsidR="00C91D94" w:rsidRDefault="00C91D94" w:rsidP="001C222D">
      <w:pPr>
        <w:pStyle w:val="ListParagraph"/>
        <w:numPr>
          <w:ilvl w:val="0"/>
          <w:numId w:val="1"/>
        </w:numPr>
      </w:pPr>
      <w:r>
        <w:t xml:space="preserve">Corporate taxes </w:t>
      </w:r>
      <w:r w:rsidRPr="00C91D94">
        <w:rPr>
          <w:b/>
        </w:rPr>
        <w:t>spur transparency and more accountable government</w:t>
      </w:r>
      <w:r>
        <w:t xml:space="preserve">. To collect the tax, states </w:t>
      </w:r>
      <w:r w:rsidR="00FF077A">
        <w:t xml:space="preserve">must </w:t>
      </w:r>
      <w:r>
        <w:t>put in place good tracking measures.</w:t>
      </w:r>
      <w:r w:rsidR="008B1A22">
        <w:t xml:space="preserve"> </w:t>
      </w:r>
    </w:p>
    <w:p w14:paraId="6D696D76" w14:textId="77777777" w:rsidR="00C91D94" w:rsidRDefault="00C91D94" w:rsidP="00C91D94"/>
    <w:p w14:paraId="00993E68" w14:textId="09810BB0" w:rsidR="00C91D94" w:rsidRDefault="00006F9C" w:rsidP="00C91D94">
      <w:r>
        <w:t>O</w:t>
      </w:r>
      <w:r w:rsidR="00EB23D3">
        <w:t xml:space="preserve">ur </w:t>
      </w:r>
      <w:r w:rsidR="00C91D94">
        <w:t xml:space="preserve">document also addresses seven common myths about the tax: that </w:t>
      </w:r>
      <w:r w:rsidR="00C4274C">
        <w:t xml:space="preserve">it’s fine </w:t>
      </w:r>
      <w:r w:rsidR="00C91D94">
        <w:t>because tax avoidance ‘is legal;’ that taxes are ‘too high’</w:t>
      </w:r>
      <w:r w:rsidR="00EB23D3">
        <w:t>;</w:t>
      </w:r>
      <w:r w:rsidR="00C91D94">
        <w:t xml:space="preserve"> that tax is </w:t>
      </w:r>
      <w:r w:rsidR="00C4274C">
        <w:t>‘</w:t>
      </w:r>
      <w:r w:rsidR="00C91D94">
        <w:t>theft</w:t>
      </w:r>
      <w:r w:rsidR="00C4274C">
        <w:t>’</w:t>
      </w:r>
      <w:r w:rsidR="00C91D94">
        <w:t xml:space="preserve">; that the corporate tax is unfair </w:t>
      </w:r>
      <w:r w:rsidR="00C4274C">
        <w:t>‘</w:t>
      </w:r>
      <w:r w:rsidR="00C91D94">
        <w:t>double tax</w:t>
      </w:r>
      <w:r w:rsidR="00C4274C">
        <w:t>’</w:t>
      </w:r>
      <w:r w:rsidR="00C91D94">
        <w:t xml:space="preserve">; that </w:t>
      </w:r>
      <w:r w:rsidR="00E468E9">
        <w:t xml:space="preserve">it </w:t>
      </w:r>
      <w:r w:rsidR="00C91D94">
        <w:t xml:space="preserve">is inefficient and should be replaced by VAT; that corporate </w:t>
      </w:r>
      <w:r w:rsidR="00C4274C">
        <w:t xml:space="preserve">directors </w:t>
      </w:r>
      <w:r w:rsidR="00C91D94">
        <w:t xml:space="preserve">have a </w:t>
      </w:r>
      <w:r w:rsidR="00E468E9">
        <w:t xml:space="preserve">fiduciary </w:t>
      </w:r>
      <w:r w:rsidR="00C91D94">
        <w:t xml:space="preserve">duty to minimise tax; </w:t>
      </w:r>
      <w:r w:rsidR="00C6129B">
        <w:lastRenderedPageBreak/>
        <w:t xml:space="preserve">that the tax falls most heavily on ‘workers’; </w:t>
      </w:r>
      <w:r w:rsidR="00C91D94">
        <w:t>and that the Laffer Curve and so-called Dynamic Scoring are useful guides to policy.</w:t>
      </w:r>
    </w:p>
    <w:p w14:paraId="11FBDD0C" w14:textId="77777777" w:rsidR="00C91D94" w:rsidRDefault="00C91D94" w:rsidP="00C91D94"/>
    <w:p w14:paraId="0356ADE9" w14:textId="383D5F67" w:rsidR="00E468E9" w:rsidRDefault="00C4274C" w:rsidP="00C91D94">
      <w:r>
        <w:t>In short, t</w:t>
      </w:r>
      <w:r w:rsidR="00443E95">
        <w:t xml:space="preserve">he corporate </w:t>
      </w:r>
      <w:r w:rsidR="00A562F1">
        <w:t xml:space="preserve">income </w:t>
      </w:r>
      <w:r w:rsidR="00443E95">
        <w:t xml:space="preserve">tax is worth fighting for. </w:t>
      </w:r>
    </w:p>
    <w:p w14:paraId="3B5C8029" w14:textId="77777777" w:rsidR="00E468E9" w:rsidRDefault="00E468E9" w:rsidP="00C91D94"/>
    <w:p w14:paraId="065BD0DC" w14:textId="48C909DE" w:rsidR="00C91D94" w:rsidRDefault="00443E95" w:rsidP="00C91D94">
      <w:r>
        <w:t xml:space="preserve">Please see the short summary and the </w:t>
      </w:r>
      <w:r w:rsidR="004C5686">
        <w:t>ful</w:t>
      </w:r>
      <w:r w:rsidR="00A562F1">
        <w:t xml:space="preserve">l </w:t>
      </w:r>
      <w:r>
        <w:t>report</w:t>
      </w:r>
      <w:r w:rsidR="00A562F1">
        <w:t>, attached.</w:t>
      </w:r>
      <w:r w:rsidR="00FF077A">
        <w:t>)</w:t>
      </w:r>
    </w:p>
    <w:p w14:paraId="4D81B056" w14:textId="77777777" w:rsidR="00E468E9" w:rsidRDefault="00E468E9" w:rsidP="00C91D94"/>
    <w:p w14:paraId="0B682915" w14:textId="77777777" w:rsidR="00006F9C" w:rsidRPr="00993A31" w:rsidRDefault="00006F9C" w:rsidP="00C91D94">
      <w:pPr>
        <w:rPr>
          <w:i/>
        </w:rPr>
      </w:pPr>
      <w:r w:rsidRPr="00993A31">
        <w:rPr>
          <w:i/>
        </w:rPr>
        <w:t>John Christensen, Director of the Tax Justice Network, said:</w:t>
      </w:r>
    </w:p>
    <w:p w14:paraId="35FCB959" w14:textId="77777777" w:rsidR="00006F9C" w:rsidRDefault="00006F9C" w:rsidP="00C91D94"/>
    <w:p w14:paraId="10021F1F" w14:textId="2581B615" w:rsidR="008E1DED" w:rsidRDefault="00637962" w:rsidP="005C7D30">
      <w:pPr>
        <w:ind w:left="720"/>
      </w:pPr>
      <w:r>
        <w:t xml:space="preserve">The </w:t>
      </w:r>
      <w:r w:rsidR="008E1DED" w:rsidRPr="008E1DED">
        <w:t xml:space="preserve"> corporate income tax is one of the best and most direct ways of taxing capital. On current trends the tax will </w:t>
      </w:r>
      <w:r w:rsidR="00C4274C">
        <w:t xml:space="preserve">soon </w:t>
      </w:r>
      <w:r w:rsidR="008E1DED" w:rsidRPr="008E1DED">
        <w:t>disappear, ushering in an era of unaccountable, untaxed plutocracy</w:t>
      </w:r>
      <w:r w:rsidR="001008EA">
        <w:t xml:space="preserve"> and towering</w:t>
      </w:r>
      <w:r w:rsidR="008E1DED" w:rsidRPr="008E1DED">
        <w:t xml:space="preserve"> inequality in all countries.</w:t>
      </w:r>
    </w:p>
    <w:p w14:paraId="544D7B0D" w14:textId="77777777" w:rsidR="00993A31" w:rsidRDefault="00993A31" w:rsidP="00C91D94"/>
    <w:p w14:paraId="3B769530" w14:textId="77777777" w:rsidR="00443E95" w:rsidRPr="00993A31" w:rsidRDefault="00006F9C" w:rsidP="00C91D94">
      <w:pPr>
        <w:rPr>
          <w:i/>
        </w:rPr>
      </w:pPr>
      <w:r w:rsidRPr="00993A31">
        <w:rPr>
          <w:i/>
        </w:rPr>
        <w:t>Nicholas Shaxson, the report’s main au</w:t>
      </w:r>
      <w:bookmarkStart w:id="0" w:name="_GoBack"/>
      <w:bookmarkEnd w:id="0"/>
      <w:r w:rsidRPr="00993A31">
        <w:rPr>
          <w:i/>
        </w:rPr>
        <w:t>thor, said:</w:t>
      </w:r>
    </w:p>
    <w:p w14:paraId="4F4628C1" w14:textId="77777777" w:rsidR="00006F9C" w:rsidRDefault="00006F9C" w:rsidP="00C91D94"/>
    <w:p w14:paraId="6CA5D774" w14:textId="6A362844" w:rsidR="00993A31" w:rsidRPr="001676E1" w:rsidRDefault="00993A31" w:rsidP="001676E1">
      <w:pPr>
        <w:ind w:left="720"/>
        <w:rPr>
          <w:rFonts w:ascii="Cambria" w:hAnsi="Cambria" w:cs="Cambria"/>
        </w:rPr>
      </w:pPr>
      <w:r>
        <w:t>Corporate profits are soaring, as workers lose political battles with the owners of capital</w:t>
      </w:r>
      <w:r>
        <w:rPr>
          <w:rFonts w:ascii="Cambria" w:hAnsi="Cambria" w:cs="Cambria"/>
        </w:rPr>
        <w:t xml:space="preserve">; as multinationals shake off pesky regulations; and </w:t>
      </w:r>
      <w:r w:rsidR="001676E1">
        <w:rPr>
          <w:rFonts w:ascii="Cambria" w:hAnsi="Cambria" w:cs="Cambria"/>
        </w:rPr>
        <w:t xml:space="preserve">as </w:t>
      </w:r>
      <w:r>
        <w:rPr>
          <w:rFonts w:ascii="Cambria" w:hAnsi="Cambria" w:cs="Cambria"/>
        </w:rPr>
        <w:t xml:space="preserve">public assets </w:t>
      </w:r>
      <w:r w:rsidR="00637962">
        <w:rPr>
          <w:rFonts w:ascii="Cambria" w:hAnsi="Cambria" w:cs="Cambria"/>
        </w:rPr>
        <w:t xml:space="preserve">are </w:t>
      </w:r>
      <w:r w:rsidR="00E468E9">
        <w:rPr>
          <w:rFonts w:ascii="Cambria" w:hAnsi="Cambria" w:cs="Cambria"/>
        </w:rPr>
        <w:t>sold off</w:t>
      </w:r>
      <w:r>
        <w:rPr>
          <w:rFonts w:ascii="Cambria" w:hAnsi="Cambria" w:cs="Cambria"/>
        </w:rPr>
        <w:t xml:space="preserve">. </w:t>
      </w:r>
      <w:r w:rsidR="001676E1">
        <w:rPr>
          <w:rFonts w:ascii="Cambria" w:hAnsi="Cambria" w:cs="Cambria"/>
        </w:rPr>
        <w:t xml:space="preserve"> Yet t</w:t>
      </w:r>
      <w:r>
        <w:rPr>
          <w:rFonts w:ascii="Cambria" w:hAnsi="Cambria" w:cs="Cambria"/>
        </w:rPr>
        <w:t xml:space="preserve">axpayers are </w:t>
      </w:r>
      <w:r w:rsidR="001676E1">
        <w:rPr>
          <w:rFonts w:ascii="Cambria" w:hAnsi="Cambria" w:cs="Cambria"/>
        </w:rPr>
        <w:t xml:space="preserve">seeing less and less </w:t>
      </w:r>
      <w:r>
        <w:rPr>
          <w:rFonts w:ascii="Cambria" w:hAnsi="Cambria" w:cs="Cambria"/>
        </w:rPr>
        <w:t>of this bonanza</w:t>
      </w:r>
      <w:r w:rsidR="00E468E9">
        <w:rPr>
          <w:rFonts w:ascii="Cambria" w:hAnsi="Cambria" w:cs="Cambria"/>
        </w:rPr>
        <w:t>, as</w:t>
      </w:r>
      <w:r w:rsidR="001676E1">
        <w:rPr>
          <w:rFonts w:ascii="Cambria" w:hAnsi="Cambria" w:cs="Cambria"/>
        </w:rPr>
        <w:t xml:space="preserve"> </w:t>
      </w:r>
      <w:r w:rsidR="00E468E9">
        <w:rPr>
          <w:rFonts w:ascii="Cambria" w:hAnsi="Cambria" w:cs="Cambria"/>
        </w:rPr>
        <w:t>c</w:t>
      </w:r>
      <w:r w:rsidR="001676E1">
        <w:rPr>
          <w:rFonts w:ascii="Cambria" w:hAnsi="Cambria" w:cs="Cambria"/>
        </w:rPr>
        <w:t xml:space="preserve">orporations </w:t>
      </w:r>
      <w:r w:rsidR="00E468E9">
        <w:rPr>
          <w:rFonts w:ascii="Cambria" w:hAnsi="Cambria" w:cs="Cambria"/>
        </w:rPr>
        <w:t xml:space="preserve">increasingly </w:t>
      </w:r>
      <w:r w:rsidR="001676E1">
        <w:rPr>
          <w:rFonts w:ascii="Cambria" w:hAnsi="Cambria" w:cs="Cambria"/>
        </w:rPr>
        <w:t xml:space="preserve">free-ride off public goods, leaving </w:t>
      </w:r>
      <w:r>
        <w:rPr>
          <w:rFonts w:ascii="Cambria" w:hAnsi="Cambria" w:cs="Cambria"/>
        </w:rPr>
        <w:t xml:space="preserve">everyone else </w:t>
      </w:r>
      <w:r w:rsidR="001676E1">
        <w:rPr>
          <w:rFonts w:ascii="Cambria" w:hAnsi="Cambria" w:cs="Cambria"/>
        </w:rPr>
        <w:t xml:space="preserve">to </w:t>
      </w:r>
      <w:r>
        <w:rPr>
          <w:rFonts w:ascii="Cambria" w:hAnsi="Cambria" w:cs="Cambria"/>
        </w:rPr>
        <w:t xml:space="preserve">pay the taxes they </w:t>
      </w:r>
      <w:r w:rsidR="001676E1">
        <w:rPr>
          <w:rFonts w:ascii="Cambria" w:hAnsi="Cambria" w:cs="Cambria"/>
        </w:rPr>
        <w:t>won’t</w:t>
      </w:r>
      <w:r>
        <w:rPr>
          <w:rFonts w:ascii="Cambria" w:hAnsi="Cambria" w:cs="Cambria"/>
        </w:rPr>
        <w:t xml:space="preserve">. </w:t>
      </w:r>
      <w:r w:rsidR="00E468E9">
        <w:rPr>
          <w:rFonts w:ascii="Cambria" w:hAnsi="Cambria" w:cs="Cambria"/>
        </w:rPr>
        <w:t xml:space="preserve">The result? </w:t>
      </w:r>
      <w:r w:rsidR="001676E1">
        <w:rPr>
          <w:rFonts w:ascii="Cambria" w:hAnsi="Cambria" w:cs="Cambria"/>
        </w:rPr>
        <w:t xml:space="preserve">Inequality </w:t>
      </w:r>
      <w:r w:rsidR="00E468E9">
        <w:rPr>
          <w:rFonts w:ascii="Cambria" w:hAnsi="Cambria" w:cs="Cambria"/>
        </w:rPr>
        <w:t>rises</w:t>
      </w:r>
      <w:r w:rsidR="001676E1">
        <w:rPr>
          <w:rFonts w:ascii="Cambria" w:hAnsi="Cambria" w:cs="Cambria"/>
        </w:rPr>
        <w:t xml:space="preserve">, whole economies are thrown out of balance, and </w:t>
      </w:r>
      <w:r w:rsidR="00E468E9">
        <w:rPr>
          <w:rFonts w:ascii="Cambria" w:hAnsi="Cambria" w:cs="Cambria"/>
        </w:rPr>
        <w:t xml:space="preserve">democracy and </w:t>
      </w:r>
      <w:r w:rsidR="001676E1">
        <w:rPr>
          <w:rFonts w:ascii="Cambria" w:hAnsi="Cambria" w:cs="Cambria"/>
        </w:rPr>
        <w:t>prosperity suffer.</w:t>
      </w:r>
    </w:p>
    <w:p w14:paraId="31477B52" w14:textId="77777777" w:rsidR="00993A31" w:rsidRDefault="00993A31" w:rsidP="00C91D94"/>
    <w:p w14:paraId="1E52CE23" w14:textId="77777777" w:rsidR="00006F9C" w:rsidRDefault="00993A31" w:rsidP="00C91D94">
      <w:r>
        <w:t xml:space="preserve">Louis Brandeis, a former U.S. Supreme Court Justice, said: </w:t>
      </w:r>
    </w:p>
    <w:p w14:paraId="69BAC3EB" w14:textId="77777777" w:rsidR="00993A31" w:rsidRDefault="00993A31" w:rsidP="00C91D94"/>
    <w:p w14:paraId="3CFAF8D8" w14:textId="77777777" w:rsidR="00993A31" w:rsidRDefault="00993A31" w:rsidP="005C7D30">
      <w:pPr>
        <w:ind w:left="720"/>
      </w:pPr>
      <w:r w:rsidRPr="005C7D30">
        <w:t>“We can either have democracy in this country or we can have great wealth concentrated in the hands of a few. But we can’t have both.”</w:t>
      </w:r>
    </w:p>
    <w:p w14:paraId="552D81AC" w14:textId="77777777" w:rsidR="00993A31" w:rsidRDefault="00993A31" w:rsidP="00C91D94"/>
    <w:p w14:paraId="337FC71F" w14:textId="455F11D2" w:rsidR="005C7D30" w:rsidRPr="001676E1" w:rsidRDefault="005C7D30" w:rsidP="00C91D94">
      <w:pPr>
        <w:rPr>
          <w:i/>
        </w:rPr>
      </w:pPr>
      <w:r w:rsidRPr="001676E1">
        <w:rPr>
          <w:i/>
        </w:rPr>
        <w:t>Contact:</w:t>
      </w:r>
    </w:p>
    <w:p w14:paraId="4806BBCA" w14:textId="77777777" w:rsidR="005C7D30" w:rsidRDefault="005C7D30" w:rsidP="00C91D94"/>
    <w:p w14:paraId="6B3B6C2B" w14:textId="7B731BD0" w:rsidR="005C7D30" w:rsidRDefault="005C7D30" w:rsidP="00C91D94">
      <w:r w:rsidRPr="005C7D30">
        <w:rPr>
          <w:b/>
        </w:rPr>
        <w:t>John  Christensen</w:t>
      </w:r>
      <w:r>
        <w:t>, Director, Tax Justice Network</w:t>
      </w:r>
      <w:r>
        <w:br/>
        <w:t>+44 7979 868 302</w:t>
      </w:r>
    </w:p>
    <w:p w14:paraId="776F1485" w14:textId="77777777" w:rsidR="005C7D30" w:rsidRDefault="005C7D30" w:rsidP="00C91D94"/>
    <w:p w14:paraId="09FEF12D" w14:textId="3536402C" w:rsidR="005C7D30" w:rsidRDefault="005C7D30" w:rsidP="00C91D94">
      <w:r w:rsidRPr="005C7D30">
        <w:rPr>
          <w:b/>
        </w:rPr>
        <w:t>Nicholas Shaxson</w:t>
      </w:r>
      <w:r>
        <w:t>, Tax Justice Network</w:t>
      </w:r>
      <w:r>
        <w:br/>
        <w:t>+49 170 356 5101</w:t>
      </w:r>
    </w:p>
    <w:p w14:paraId="14771382" w14:textId="77777777" w:rsidR="005C7D30" w:rsidRDefault="005C7D30" w:rsidP="00C91D94"/>
    <w:p w14:paraId="63BB915D" w14:textId="7A85DCE4" w:rsidR="005C7D30" w:rsidRDefault="005C7D30" w:rsidP="00C91D94">
      <w:r>
        <w:t>www.taxjustice.net</w:t>
      </w:r>
    </w:p>
    <w:p w14:paraId="533517B8" w14:textId="654006D6" w:rsidR="001C222D" w:rsidRPr="001C222D" w:rsidRDefault="001C222D"/>
    <w:sectPr w:rsidR="001C222D" w:rsidRPr="001C222D" w:rsidSect="00ED2F92">
      <w:footerReference w:type="default" r:id="rId10"/>
      <w:pgSz w:w="11900" w:h="16840"/>
      <w:pgMar w:top="1440" w:right="1800" w:bottom="1440" w:left="1800" w:header="708" w:footer="3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DF1BF" w14:textId="77777777" w:rsidR="00CA0845" w:rsidRDefault="00CA0845" w:rsidP="00A40DE3">
      <w:r>
        <w:separator/>
      </w:r>
    </w:p>
  </w:endnote>
  <w:endnote w:type="continuationSeparator" w:id="0">
    <w:p w14:paraId="0468650D" w14:textId="77777777" w:rsidR="00CA0845" w:rsidRDefault="00CA0845" w:rsidP="00A40DE3">
      <w:r>
        <w:continuationSeparator/>
      </w:r>
    </w:p>
  </w:endnote>
  <w:endnote w:id="1">
    <w:p w14:paraId="547377A0" w14:textId="6E791AA2" w:rsidR="00C4274C" w:rsidRDefault="00C4274C" w:rsidP="00416010">
      <w:pPr>
        <w:pStyle w:val="EndnoteText"/>
      </w:pPr>
      <w:r>
        <w:rPr>
          <w:rStyle w:val="EndnoteReference"/>
        </w:rPr>
        <w:endnoteRef/>
      </w:r>
      <w:r>
        <w:t xml:space="preserve"> </w:t>
      </w:r>
      <w:r w:rsidRPr="00416010">
        <w:rPr>
          <w:sz w:val="20"/>
          <w:szCs w:val="20"/>
        </w:rPr>
        <w:t xml:space="preserve">From OECD Revenue Statistics, </w:t>
      </w:r>
      <w:hyperlink r:id="rId1" w:history="1">
        <w:r w:rsidRPr="00E468E9">
          <w:rPr>
            <w:rStyle w:val="Hyperlink"/>
            <w:sz w:val="20"/>
            <w:szCs w:val="20"/>
          </w:rPr>
          <w:t>Comparative Tables</w:t>
        </w:r>
      </w:hyperlink>
      <w:r w:rsidRPr="00416010">
        <w:rPr>
          <w:sz w:val="20"/>
          <w:szCs w:val="20"/>
        </w:rPr>
        <w:t xml:space="preserve">, code 1210, corporate tax revenues as a share of GDP. (Data source excludes OECD members </w:t>
      </w:r>
      <w:r w:rsidRPr="00416010">
        <w:rPr>
          <w:rFonts w:cs="Helvetica"/>
          <w:sz w:val="20"/>
          <w:szCs w:val="20"/>
        </w:rPr>
        <w:t xml:space="preserve">Chile, Hungary, Mexico, Poland and Slovenia.) GDP data sourced from </w:t>
      </w:r>
      <w:hyperlink r:id="rId2" w:history="1">
        <w:r w:rsidRPr="00E468E9">
          <w:rPr>
            <w:rStyle w:val="Hyperlink"/>
            <w:rFonts w:cs="Helvetica"/>
            <w:sz w:val="20"/>
            <w:szCs w:val="20"/>
          </w:rPr>
          <w:t>OECD</w:t>
        </w:r>
      </w:hyperlink>
      <w:r>
        <w:rPr>
          <w:rFonts w:cs="Helvetica"/>
          <w:sz w:val="20"/>
          <w:szCs w:val="20"/>
        </w:rPr>
        <w:t xml:space="preserve"> national accounts data, GDP, US$, current prices, current PPPs</w:t>
      </w:r>
      <w:r w:rsidRPr="00416010">
        <w:rPr>
          <w:rFonts w:cs="Helvetica"/>
          <w:sz w:val="20"/>
          <w:szCs w:val="20"/>
        </w:rPr>
        <w:t>.</w:t>
      </w:r>
      <w:r>
        <w:rPr>
          <w:rFonts w:cs="Helvetica"/>
          <w:sz w:val="20"/>
          <w:szCs w:val="20"/>
        </w:rPr>
        <w:t xml:space="preserve"> </w:t>
      </w:r>
      <w:r w:rsidRPr="00416010">
        <w:rPr>
          <w:sz w:val="20"/>
          <w:szCs w:val="20"/>
        </w:rPr>
        <w:t>Total for 2008-2013 is $6.2 trn, with an annual average just over $1tn/year</w:t>
      </w:r>
      <w:r>
        <w:rPr>
          <w:sz w:val="20"/>
          <w:szCs w:val="20"/>
        </w:rPr>
        <w:t xml:space="preserve">. Adding estimate for 2014 gives $7.3 trn including 2014 . </w:t>
      </w:r>
      <w:r>
        <w:rPr>
          <w:rFonts w:cs="Helvetica"/>
          <w:sz w:val="20"/>
          <w:szCs w:val="20"/>
        </w:rPr>
        <w:t xml:space="preserve">Education data from </w:t>
      </w:r>
      <w:hyperlink r:id="rId3" w:history="1">
        <w:r w:rsidRPr="00E468E9">
          <w:rPr>
            <w:rStyle w:val="Hyperlink"/>
            <w:rFonts w:cs="Helvetica"/>
            <w:sz w:val="20"/>
            <w:szCs w:val="20"/>
          </w:rPr>
          <w:t>Education At a Glance, 2013 OECD indicators</w:t>
        </w:r>
      </w:hyperlink>
      <w:r>
        <w:rPr>
          <w:rFonts w:cs="Helvetica"/>
          <w:sz w:val="20"/>
          <w:szCs w:val="20"/>
        </w:rPr>
        <w:t xml:space="preserve">, and earlier years. The tertiary share has been stable at ca. 1.5 percent of GDP; corporate tax revenues have averaged 3.0 percent of GDP. Education data from </w:t>
      </w:r>
      <w:hyperlink r:id="rId4" w:history="1">
        <w:r w:rsidRPr="00EE04A3">
          <w:rPr>
            <w:rStyle w:val="Hyperlink"/>
            <w:rFonts w:cs="Helvetica"/>
            <w:sz w:val="20"/>
            <w:szCs w:val="20"/>
          </w:rPr>
          <w:t>OECD StatExtracts</w:t>
        </w:r>
      </w:hyperlink>
      <w:r>
        <w:rPr>
          <w:rFonts w:cs="Helvetica"/>
          <w:sz w:val="20"/>
          <w:szCs w:val="20"/>
        </w:rPr>
        <w:t>, General Government total current Expenditure, % of GDP.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70D0" w14:textId="77777777" w:rsidR="00ED2F92" w:rsidRDefault="00ED2F92">
    <w:pPr>
      <w:pStyle w:val="Footer"/>
      <w:pBdr>
        <w:top w:val="single" w:sz="4" w:space="1" w:color="D9D9D9" w:themeColor="background1" w:themeShade="D9"/>
      </w:pBdr>
      <w:jc w:val="right"/>
    </w:pPr>
  </w:p>
  <w:p w14:paraId="6B67952E" w14:textId="77777777" w:rsidR="00ED2F92" w:rsidRDefault="00ED2F92">
    <w:pPr>
      <w:pStyle w:val="Footer"/>
      <w:pBdr>
        <w:top w:val="single" w:sz="4" w:space="1" w:color="D9D9D9" w:themeColor="background1" w:themeShade="D9"/>
      </w:pBdr>
      <w:jc w:val="right"/>
    </w:pPr>
  </w:p>
  <w:p w14:paraId="16496CFE" w14:textId="4F330BCF" w:rsidR="00ED2F92" w:rsidRDefault="00CA0845">
    <w:pPr>
      <w:pStyle w:val="Footer"/>
      <w:pBdr>
        <w:top w:val="single" w:sz="4" w:space="1" w:color="D9D9D9" w:themeColor="background1" w:themeShade="D9"/>
      </w:pBdr>
      <w:jc w:val="right"/>
    </w:pPr>
    <w:sdt>
      <w:sdtPr>
        <w:id w:val="1705063400"/>
        <w:docPartObj>
          <w:docPartGallery w:val="Page Numbers (Bottom of Page)"/>
          <w:docPartUnique/>
        </w:docPartObj>
      </w:sdtPr>
      <w:sdtEndPr>
        <w:rPr>
          <w:color w:val="7F7F7F" w:themeColor="background1" w:themeShade="7F"/>
          <w:spacing w:val="60"/>
        </w:rPr>
      </w:sdtEndPr>
      <w:sdtContent>
        <w:r w:rsidR="00ED2F92">
          <w:fldChar w:fldCharType="begin"/>
        </w:r>
        <w:r w:rsidR="00ED2F92">
          <w:instrText xml:space="preserve"> PAGE   \* MERGEFORMAT </w:instrText>
        </w:r>
        <w:r w:rsidR="00ED2F92">
          <w:fldChar w:fldCharType="separate"/>
        </w:r>
        <w:r w:rsidR="00E93C54">
          <w:rPr>
            <w:noProof/>
          </w:rPr>
          <w:t>3</w:t>
        </w:r>
        <w:r w:rsidR="00ED2F92">
          <w:rPr>
            <w:noProof/>
          </w:rPr>
          <w:fldChar w:fldCharType="end"/>
        </w:r>
        <w:r w:rsidR="00ED2F92">
          <w:t xml:space="preserve"> | </w:t>
        </w:r>
        <w:r w:rsidR="00ED2F92">
          <w:rPr>
            <w:color w:val="7F7F7F" w:themeColor="background1" w:themeShade="7F"/>
            <w:spacing w:val="60"/>
          </w:rPr>
          <w:t>Page</w:t>
        </w:r>
      </w:sdtContent>
    </w:sdt>
  </w:p>
  <w:p w14:paraId="08C5636B" w14:textId="77777777" w:rsidR="00ED2F92" w:rsidRDefault="00ED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12FBC" w14:textId="77777777" w:rsidR="00CA0845" w:rsidRDefault="00CA0845" w:rsidP="00A40DE3">
      <w:r>
        <w:separator/>
      </w:r>
    </w:p>
  </w:footnote>
  <w:footnote w:type="continuationSeparator" w:id="0">
    <w:p w14:paraId="3E2D267A" w14:textId="77777777" w:rsidR="00CA0845" w:rsidRDefault="00CA0845" w:rsidP="00A40D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4120C"/>
    <w:multiLevelType w:val="hybridMultilevel"/>
    <w:tmpl w:val="4E463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2D"/>
    <w:rsid w:val="00006F9C"/>
    <w:rsid w:val="0006729F"/>
    <w:rsid w:val="000C4DD4"/>
    <w:rsid w:val="001008EA"/>
    <w:rsid w:val="0012080C"/>
    <w:rsid w:val="001676E1"/>
    <w:rsid w:val="001C222D"/>
    <w:rsid w:val="001D4BEC"/>
    <w:rsid w:val="00246C9F"/>
    <w:rsid w:val="002F5CBE"/>
    <w:rsid w:val="003A79EA"/>
    <w:rsid w:val="00412543"/>
    <w:rsid w:val="00416010"/>
    <w:rsid w:val="00443E95"/>
    <w:rsid w:val="00446B0A"/>
    <w:rsid w:val="00482414"/>
    <w:rsid w:val="004C5686"/>
    <w:rsid w:val="005C7D30"/>
    <w:rsid w:val="00614A9D"/>
    <w:rsid w:val="00637962"/>
    <w:rsid w:val="00671E1A"/>
    <w:rsid w:val="006B4BEF"/>
    <w:rsid w:val="0078335D"/>
    <w:rsid w:val="008064AC"/>
    <w:rsid w:val="00834FAF"/>
    <w:rsid w:val="008522E3"/>
    <w:rsid w:val="008B1A22"/>
    <w:rsid w:val="008C0547"/>
    <w:rsid w:val="008E1DED"/>
    <w:rsid w:val="00993A31"/>
    <w:rsid w:val="00A40DE3"/>
    <w:rsid w:val="00A562F1"/>
    <w:rsid w:val="00BF5DAA"/>
    <w:rsid w:val="00C4274C"/>
    <w:rsid w:val="00C6129B"/>
    <w:rsid w:val="00C7119C"/>
    <w:rsid w:val="00C91D94"/>
    <w:rsid w:val="00CA0845"/>
    <w:rsid w:val="00D62CF0"/>
    <w:rsid w:val="00D76E18"/>
    <w:rsid w:val="00DE16A7"/>
    <w:rsid w:val="00E468E9"/>
    <w:rsid w:val="00E93C54"/>
    <w:rsid w:val="00EB23D3"/>
    <w:rsid w:val="00ED2F92"/>
    <w:rsid w:val="00EE04A3"/>
    <w:rsid w:val="00F070B6"/>
    <w:rsid w:val="00FF0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F2225"/>
  <w14:defaultImageDpi w14:val="300"/>
  <w15:docId w15:val="{2263A676-E098-4F64-83DC-2415942D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22D"/>
    <w:pPr>
      <w:ind w:left="720"/>
      <w:contextualSpacing/>
    </w:pPr>
  </w:style>
  <w:style w:type="paragraph" w:styleId="BalloonText">
    <w:name w:val="Balloon Text"/>
    <w:basedOn w:val="Normal"/>
    <w:link w:val="BalloonTextChar"/>
    <w:uiPriority w:val="99"/>
    <w:semiHidden/>
    <w:unhideWhenUsed/>
    <w:rsid w:val="00006F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6F9C"/>
    <w:rPr>
      <w:rFonts w:ascii="Lucida Grande" w:hAnsi="Lucida Grande" w:cs="Lucida Grande"/>
      <w:sz w:val="18"/>
      <w:szCs w:val="18"/>
    </w:rPr>
  </w:style>
  <w:style w:type="character" w:styleId="Hyperlink">
    <w:name w:val="Hyperlink"/>
    <w:basedOn w:val="DefaultParagraphFont"/>
    <w:uiPriority w:val="99"/>
    <w:unhideWhenUsed/>
    <w:rsid w:val="00F070B6"/>
    <w:rPr>
      <w:color w:val="0000FF" w:themeColor="hyperlink"/>
      <w:u w:val="single"/>
    </w:rPr>
  </w:style>
  <w:style w:type="paragraph" w:styleId="FootnoteText">
    <w:name w:val="footnote text"/>
    <w:basedOn w:val="Normal"/>
    <w:link w:val="FootnoteTextChar"/>
    <w:uiPriority w:val="99"/>
    <w:unhideWhenUsed/>
    <w:rsid w:val="00A40DE3"/>
  </w:style>
  <w:style w:type="character" w:customStyle="1" w:styleId="FootnoteTextChar">
    <w:name w:val="Footnote Text Char"/>
    <w:basedOn w:val="DefaultParagraphFont"/>
    <w:link w:val="FootnoteText"/>
    <w:uiPriority w:val="99"/>
    <w:rsid w:val="00A40DE3"/>
  </w:style>
  <w:style w:type="character" w:styleId="FootnoteReference">
    <w:name w:val="footnote reference"/>
    <w:basedOn w:val="DefaultParagraphFont"/>
    <w:uiPriority w:val="99"/>
    <w:unhideWhenUsed/>
    <w:rsid w:val="00A40DE3"/>
    <w:rPr>
      <w:vertAlign w:val="superscript"/>
    </w:rPr>
  </w:style>
  <w:style w:type="paragraph" w:styleId="EndnoteText">
    <w:name w:val="endnote text"/>
    <w:basedOn w:val="Normal"/>
    <w:link w:val="EndnoteTextChar"/>
    <w:uiPriority w:val="99"/>
    <w:semiHidden/>
    <w:unhideWhenUsed/>
    <w:rsid w:val="00416010"/>
  </w:style>
  <w:style w:type="character" w:customStyle="1" w:styleId="EndnoteTextChar">
    <w:name w:val="Endnote Text Char"/>
    <w:basedOn w:val="DefaultParagraphFont"/>
    <w:link w:val="EndnoteText"/>
    <w:uiPriority w:val="99"/>
    <w:semiHidden/>
    <w:rsid w:val="00416010"/>
  </w:style>
  <w:style w:type="character" w:styleId="EndnoteReference">
    <w:name w:val="endnote reference"/>
    <w:basedOn w:val="DefaultParagraphFont"/>
    <w:uiPriority w:val="99"/>
    <w:semiHidden/>
    <w:unhideWhenUsed/>
    <w:rsid w:val="00416010"/>
    <w:rPr>
      <w:vertAlign w:val="superscript"/>
    </w:rPr>
  </w:style>
  <w:style w:type="paragraph" w:styleId="Header">
    <w:name w:val="header"/>
    <w:basedOn w:val="Normal"/>
    <w:link w:val="HeaderChar"/>
    <w:uiPriority w:val="99"/>
    <w:unhideWhenUsed/>
    <w:rsid w:val="00ED2F92"/>
    <w:pPr>
      <w:tabs>
        <w:tab w:val="center" w:pos="4513"/>
        <w:tab w:val="right" w:pos="9026"/>
      </w:tabs>
    </w:pPr>
  </w:style>
  <w:style w:type="character" w:customStyle="1" w:styleId="HeaderChar">
    <w:name w:val="Header Char"/>
    <w:basedOn w:val="DefaultParagraphFont"/>
    <w:link w:val="Header"/>
    <w:uiPriority w:val="99"/>
    <w:rsid w:val="00ED2F92"/>
  </w:style>
  <w:style w:type="paragraph" w:styleId="Footer">
    <w:name w:val="footer"/>
    <w:basedOn w:val="Normal"/>
    <w:link w:val="FooterChar"/>
    <w:uiPriority w:val="99"/>
    <w:unhideWhenUsed/>
    <w:rsid w:val="00ED2F92"/>
    <w:pPr>
      <w:tabs>
        <w:tab w:val="center" w:pos="4513"/>
        <w:tab w:val="right" w:pos="9026"/>
      </w:tabs>
    </w:pPr>
  </w:style>
  <w:style w:type="character" w:customStyle="1" w:styleId="FooterChar">
    <w:name w:val="Footer Char"/>
    <w:basedOn w:val="DefaultParagraphFont"/>
    <w:link w:val="Footer"/>
    <w:uiPriority w:val="99"/>
    <w:rsid w:val="00ED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olsgold.internationa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www.oecd.org/education/eag.htm" TargetMode="External"/><Relationship Id="rId2" Type="http://schemas.openxmlformats.org/officeDocument/2006/relationships/hyperlink" Target="http://stats.oecd.org/index.aspx?queryid=60702" TargetMode="External"/><Relationship Id="rId1" Type="http://schemas.openxmlformats.org/officeDocument/2006/relationships/hyperlink" Target="http://stats.oecd.org/index.aspx?DataSetCode=REV" TargetMode="External"/><Relationship Id="rId4" Type="http://schemas.openxmlformats.org/officeDocument/2006/relationships/hyperlink" Target="http://stats.oecd.org/index.aspx?DataSetCode=HEALTH_ST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9615-F791-4126-8D50-25D33819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Shaxson</dc:creator>
  <cp:keywords/>
  <dc:description/>
  <cp:lastModifiedBy>Sonia Hierzig</cp:lastModifiedBy>
  <cp:revision>2</cp:revision>
  <dcterms:created xsi:type="dcterms:W3CDTF">2015-03-17T10:58:00Z</dcterms:created>
  <dcterms:modified xsi:type="dcterms:W3CDTF">2015-03-17T10:58:00Z</dcterms:modified>
</cp:coreProperties>
</file>