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67" w:rsidRDefault="00024367" w:rsidP="007150AA">
      <w:pPr>
        <w:pStyle w:val="Testonormale"/>
        <w:spacing w:after="160" w:line="259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The </w:t>
      </w:r>
      <w:r w:rsidRPr="00C406FC">
        <w:rPr>
          <w:b/>
          <w:lang w:val="en-US"/>
        </w:rPr>
        <w:t>Local Stakeholder Engagement</w:t>
      </w:r>
      <w:r>
        <w:rPr>
          <w:b/>
          <w:lang w:val="en-US"/>
        </w:rPr>
        <w:t xml:space="preserve"> </w:t>
      </w:r>
      <w:r w:rsidR="007B2578">
        <w:rPr>
          <w:b/>
          <w:lang w:val="en-US"/>
        </w:rPr>
        <w:t xml:space="preserve">Operating </w:t>
      </w:r>
      <w:r w:rsidRPr="00C406FC">
        <w:rPr>
          <w:b/>
          <w:lang w:val="en-US"/>
        </w:rPr>
        <w:t>Instruction</w:t>
      </w:r>
    </w:p>
    <w:p w:rsidR="00DC12BC" w:rsidRDefault="007150AA" w:rsidP="00DC12BC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onsolas"/>
          <w:szCs w:val="21"/>
          <w:lang w:val="en-US"/>
        </w:rPr>
      </w:pPr>
      <w:r w:rsidRPr="00DC12BC">
        <w:rPr>
          <w:lang w:val="en-US"/>
        </w:rPr>
        <w:t xml:space="preserve">The Local Stakeholder Engagement </w:t>
      </w:r>
      <w:r w:rsidR="00567682" w:rsidRPr="00DC12BC">
        <w:rPr>
          <w:lang w:val="en-US"/>
        </w:rPr>
        <w:t>Operating</w:t>
      </w:r>
      <w:r w:rsidRPr="00DC12BC">
        <w:rPr>
          <w:lang w:val="en-US"/>
        </w:rPr>
        <w:t xml:space="preserve"> Instruction</w:t>
      </w:r>
      <w:r w:rsidR="00DC12BC" w:rsidRPr="00DC12BC">
        <w:rPr>
          <w:rFonts w:ascii="Calibri" w:hAnsi="Calibri" w:cs="Consolas"/>
          <w:szCs w:val="21"/>
          <w:lang w:val="en-US"/>
        </w:rPr>
        <w:t>, aimed at describing activities and operating processes on how to identify, analyze, evaluate and engage with stakeholders at local level (e.g., local authorities, communities, NGOs – Non Governmental Organizations).</w:t>
      </w:r>
    </w:p>
    <w:p w:rsidR="00DC12BC" w:rsidRPr="00DC12BC" w:rsidRDefault="00DC12BC" w:rsidP="00DC12BC">
      <w:pPr>
        <w:autoSpaceDE w:val="0"/>
        <w:autoSpaceDN w:val="0"/>
        <w:adjustRightInd w:val="0"/>
        <w:spacing w:after="0" w:line="320" w:lineRule="exact"/>
        <w:jc w:val="both"/>
        <w:rPr>
          <w:rFonts w:ascii="Calibri" w:hAnsi="Calibri" w:cs="Consolas"/>
          <w:szCs w:val="21"/>
          <w:lang w:val="en-US"/>
        </w:rPr>
      </w:pPr>
      <w:r w:rsidRPr="00DC12BC">
        <w:rPr>
          <w:rFonts w:ascii="Calibri" w:hAnsi="Calibri" w:cs="Consolas"/>
          <w:szCs w:val="21"/>
          <w:lang w:val="en-US"/>
        </w:rPr>
        <w:t>The document adopts the methodologies set by Eni Central Sustainability Function, in order to ensure a uniform approach on evaluation and recording, on the definition of engagement strategy, management plans, on consultation and local grievance mechanisms.</w:t>
      </w:r>
    </w:p>
    <w:p w:rsidR="00DC12BC" w:rsidRDefault="00DC12BC" w:rsidP="00DC12BC">
      <w:pPr>
        <w:pStyle w:val="Paragrafoelenco"/>
        <w:autoSpaceDE w:val="0"/>
        <w:autoSpaceDN w:val="0"/>
        <w:adjustRightInd w:val="0"/>
        <w:spacing w:after="0" w:line="320" w:lineRule="exact"/>
        <w:ind w:left="360"/>
        <w:contextualSpacing w:val="0"/>
        <w:jc w:val="both"/>
        <w:rPr>
          <w:rFonts w:ascii="Calibri" w:hAnsi="Calibri" w:cs="Consolas"/>
          <w:szCs w:val="21"/>
          <w:lang w:val="en-US"/>
        </w:rPr>
      </w:pPr>
    </w:p>
    <w:p w:rsidR="00DC12BC" w:rsidRPr="00913A4A" w:rsidRDefault="00DC12BC" w:rsidP="00DC12BC">
      <w:pPr>
        <w:pStyle w:val="testocorrente"/>
        <w:spacing w:before="0"/>
        <w:ind w:left="0" w:right="-1"/>
        <w:jc w:val="both"/>
        <w:rPr>
          <w:rFonts w:asciiTheme="minorHAnsi" w:hAnsiTheme="minorHAnsi"/>
          <w:sz w:val="22"/>
          <w:szCs w:val="22"/>
          <w:lang w:val="en-GB"/>
        </w:rPr>
      </w:pPr>
      <w:r w:rsidRPr="00913A4A">
        <w:rPr>
          <w:rFonts w:asciiTheme="minorHAnsi" w:hAnsiTheme="minorHAnsi"/>
          <w:color w:val="000000"/>
          <w:sz w:val="22"/>
          <w:szCs w:val="22"/>
          <w:lang w:val="en-US"/>
        </w:rPr>
        <w:t>T</w:t>
      </w:r>
      <w:r w:rsidRPr="00913A4A">
        <w:rPr>
          <w:rFonts w:asciiTheme="minorHAnsi" w:hAnsiTheme="minorHAnsi"/>
          <w:color w:val="000000"/>
          <w:sz w:val="22"/>
          <w:szCs w:val="22"/>
          <w:lang w:val="en-GB"/>
        </w:rPr>
        <w:t xml:space="preserve">he grievance mechanism </w:t>
      </w:r>
      <w:r w:rsidRPr="00913A4A">
        <w:rPr>
          <w:rFonts w:asciiTheme="minorHAnsi" w:hAnsiTheme="minorHAnsi"/>
          <w:sz w:val="22"/>
          <w:szCs w:val="22"/>
          <w:lang w:val="en-GB"/>
        </w:rPr>
        <w:t xml:space="preserve">is the set of activities to </w:t>
      </w:r>
      <w:proofErr w:type="gramStart"/>
      <w:r w:rsidRPr="00913A4A">
        <w:rPr>
          <w:rFonts w:asciiTheme="minorHAnsi" w:hAnsiTheme="minorHAnsi"/>
          <w:sz w:val="22"/>
          <w:szCs w:val="22"/>
          <w:lang w:val="en-GB"/>
        </w:rPr>
        <w:t>be carried</w:t>
      </w:r>
      <w:proofErr w:type="gramEnd"/>
      <w:r w:rsidRPr="00913A4A">
        <w:rPr>
          <w:rFonts w:asciiTheme="minorHAnsi" w:hAnsiTheme="minorHAnsi"/>
          <w:sz w:val="22"/>
          <w:szCs w:val="22"/>
          <w:lang w:val="en-GB"/>
        </w:rPr>
        <w:t xml:space="preserve"> out when Eni receives, in writing or verbally, concerns or grievances in relation to its activities. The mechanism guarantees a proactive and structured approach enabling the company to receive, recognize, investigate, respond and resolve complaints and grievances from individuals/groups of individuals and organizations in a timely manner. </w:t>
      </w:r>
    </w:p>
    <w:p w:rsidR="00DC12BC" w:rsidRPr="00913A4A" w:rsidRDefault="00DC12BC" w:rsidP="00DC12BC">
      <w:pPr>
        <w:pStyle w:val="testocorrente"/>
        <w:spacing w:before="0"/>
        <w:ind w:left="0" w:right="-1"/>
        <w:jc w:val="both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  <w:r w:rsidRPr="00913A4A">
        <w:rPr>
          <w:rFonts w:asciiTheme="minorHAnsi" w:hAnsiTheme="minorHAnsi"/>
          <w:sz w:val="22"/>
          <w:szCs w:val="22"/>
          <w:lang w:val="en-GB"/>
        </w:rPr>
        <w:t xml:space="preserve">The mechanism is an integral part of </w:t>
      </w:r>
      <w:proofErr w:type="spellStart"/>
      <w:r w:rsidRPr="00913A4A">
        <w:rPr>
          <w:rFonts w:asciiTheme="minorHAnsi" w:hAnsiTheme="minorHAnsi"/>
          <w:sz w:val="22"/>
          <w:szCs w:val="22"/>
          <w:lang w:val="en-GB"/>
        </w:rPr>
        <w:t>Eni’s</w:t>
      </w:r>
      <w:proofErr w:type="spellEnd"/>
      <w:r w:rsidRPr="00913A4A">
        <w:rPr>
          <w:rFonts w:asciiTheme="minorHAnsi" w:hAnsiTheme="minorHAnsi"/>
          <w:sz w:val="22"/>
          <w:szCs w:val="22"/>
          <w:lang w:val="en-GB"/>
        </w:rPr>
        <w:t xml:space="preserve"> overall strategy of relating with its stakeholders and it supports Eni in:</w:t>
      </w:r>
    </w:p>
    <w:p w:rsidR="00DC12BC" w:rsidRPr="00913A4A" w:rsidRDefault="00DC12BC" w:rsidP="00DC12BC">
      <w:pPr>
        <w:pStyle w:val="puntoelenco2livello"/>
        <w:tabs>
          <w:tab w:val="clear" w:pos="360"/>
        </w:tabs>
        <w:spacing w:before="0" w:after="0"/>
        <w:ind w:left="567" w:right="-1" w:hanging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13A4A">
        <w:rPr>
          <w:rFonts w:asciiTheme="minorHAnsi" w:hAnsiTheme="minorHAnsi"/>
          <w:sz w:val="22"/>
          <w:szCs w:val="22"/>
        </w:rPr>
        <w:t>Defining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an </w:t>
      </w:r>
      <w:proofErr w:type="spellStart"/>
      <w:r w:rsidRPr="00913A4A">
        <w:rPr>
          <w:rFonts w:asciiTheme="minorHAnsi" w:hAnsiTheme="minorHAnsi"/>
          <w:sz w:val="22"/>
          <w:szCs w:val="22"/>
        </w:rPr>
        <w:t>effective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Eni stakeholder engagement  </w:t>
      </w:r>
      <w:proofErr w:type="spellStart"/>
      <w:r w:rsidRPr="00913A4A">
        <w:rPr>
          <w:rFonts w:asciiTheme="minorHAnsi" w:hAnsiTheme="minorHAnsi"/>
          <w:sz w:val="22"/>
          <w:szCs w:val="22"/>
        </w:rPr>
        <w:t>strategy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capable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913A4A">
        <w:rPr>
          <w:rFonts w:asciiTheme="minorHAnsi" w:hAnsiTheme="minorHAnsi"/>
          <w:sz w:val="22"/>
          <w:szCs w:val="22"/>
        </w:rPr>
        <w:t>remedying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concerns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raised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or </w:t>
      </w:r>
      <w:proofErr w:type="spellStart"/>
      <w:r w:rsidRPr="00913A4A">
        <w:rPr>
          <w:rFonts w:asciiTheme="minorHAnsi" w:hAnsiTheme="minorHAnsi"/>
          <w:sz w:val="22"/>
          <w:szCs w:val="22"/>
        </w:rPr>
        <w:t>impacts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caused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by </w:t>
      </w:r>
      <w:proofErr w:type="spellStart"/>
      <w:r w:rsidRPr="00913A4A">
        <w:rPr>
          <w:rFonts w:asciiTheme="minorHAnsi" w:hAnsiTheme="minorHAnsi"/>
          <w:sz w:val="22"/>
          <w:szCs w:val="22"/>
        </w:rPr>
        <w:t>Eni’s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activities</w:t>
      </w:r>
      <w:proofErr w:type="spellEnd"/>
      <w:r w:rsidRPr="00913A4A">
        <w:rPr>
          <w:rFonts w:asciiTheme="minorHAnsi" w:hAnsiTheme="minorHAnsi"/>
          <w:sz w:val="22"/>
          <w:szCs w:val="22"/>
        </w:rPr>
        <w:t>;</w:t>
      </w:r>
    </w:p>
    <w:p w:rsidR="00DC12BC" w:rsidRPr="00913A4A" w:rsidRDefault="00DC12BC" w:rsidP="00DC12BC">
      <w:pPr>
        <w:pStyle w:val="puntoelenco2livello"/>
        <w:tabs>
          <w:tab w:val="clear" w:pos="360"/>
        </w:tabs>
        <w:spacing w:before="0" w:after="0"/>
        <w:ind w:left="567" w:right="-1" w:hanging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13A4A">
        <w:rPr>
          <w:rFonts w:asciiTheme="minorHAnsi" w:hAnsiTheme="minorHAnsi"/>
          <w:sz w:val="22"/>
          <w:szCs w:val="22"/>
          <w:lang w:val="en-US"/>
        </w:rPr>
        <w:t>mainta</w:t>
      </w:r>
      <w:r w:rsidRPr="00913A4A">
        <w:rPr>
          <w:rFonts w:asciiTheme="minorHAnsi" w:hAnsiTheme="minorHAnsi"/>
          <w:sz w:val="22"/>
          <w:szCs w:val="22"/>
          <w:lang w:val="en-GB"/>
        </w:rPr>
        <w:t>ning</w:t>
      </w:r>
      <w:proofErr w:type="spellEnd"/>
      <w:r w:rsidRPr="00913A4A">
        <w:rPr>
          <w:rFonts w:asciiTheme="minorHAnsi" w:hAnsiTheme="minorHAnsi"/>
          <w:sz w:val="22"/>
          <w:szCs w:val="22"/>
          <w:lang w:val="en-GB"/>
        </w:rPr>
        <w:t xml:space="preserve"> the social licence to operate, demonstrating </w:t>
      </w:r>
      <w:proofErr w:type="spellStart"/>
      <w:r w:rsidRPr="00913A4A">
        <w:rPr>
          <w:rFonts w:asciiTheme="minorHAnsi" w:hAnsiTheme="minorHAnsi"/>
          <w:sz w:val="22"/>
          <w:szCs w:val="22"/>
          <w:lang w:val="en-GB"/>
        </w:rPr>
        <w:t>Eni’s</w:t>
      </w:r>
      <w:proofErr w:type="spellEnd"/>
      <w:r w:rsidRPr="00913A4A">
        <w:rPr>
          <w:rFonts w:asciiTheme="minorHAnsi" w:hAnsiTheme="minorHAnsi"/>
          <w:sz w:val="22"/>
          <w:szCs w:val="22"/>
          <w:lang w:val="en-GB"/>
        </w:rPr>
        <w:t xml:space="preserve"> due consideration of a community’s concerns;</w:t>
      </w:r>
    </w:p>
    <w:p w:rsidR="00DC12BC" w:rsidRPr="00913A4A" w:rsidRDefault="00DC12BC" w:rsidP="00DC12BC">
      <w:pPr>
        <w:pStyle w:val="puntoelenco2livello"/>
        <w:tabs>
          <w:tab w:val="clear" w:pos="360"/>
        </w:tabs>
        <w:spacing w:before="0" w:after="0"/>
        <w:ind w:left="567" w:right="-1" w:hanging="283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13A4A">
        <w:rPr>
          <w:rFonts w:asciiTheme="minorHAnsi" w:hAnsiTheme="minorHAnsi"/>
          <w:sz w:val="22"/>
          <w:szCs w:val="22"/>
        </w:rPr>
        <w:t>promptly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identifying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Pr="00913A4A">
        <w:rPr>
          <w:rFonts w:asciiTheme="minorHAnsi" w:hAnsiTheme="minorHAnsi"/>
          <w:sz w:val="22"/>
          <w:szCs w:val="22"/>
        </w:rPr>
        <w:t>possible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impact </w:t>
      </w:r>
      <w:proofErr w:type="spellStart"/>
      <w:r w:rsidRPr="00913A4A">
        <w:rPr>
          <w:rFonts w:asciiTheme="minorHAnsi" w:hAnsiTheme="minorHAnsi"/>
          <w:sz w:val="22"/>
          <w:szCs w:val="22"/>
        </w:rPr>
        <w:t>that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Eni’s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activities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may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have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on the </w:t>
      </w:r>
      <w:proofErr w:type="spellStart"/>
      <w:r w:rsidRPr="00913A4A">
        <w:rPr>
          <w:rFonts w:asciiTheme="minorHAnsi" w:hAnsiTheme="minorHAnsi"/>
          <w:sz w:val="22"/>
          <w:szCs w:val="22"/>
        </w:rPr>
        <w:t>local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communities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involved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- in </w:t>
      </w:r>
      <w:proofErr w:type="spellStart"/>
      <w:r w:rsidRPr="00913A4A">
        <w:rPr>
          <w:rFonts w:asciiTheme="minorHAnsi" w:hAnsiTheme="minorHAnsi"/>
          <w:sz w:val="22"/>
          <w:szCs w:val="22"/>
        </w:rPr>
        <w:t>environmental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, social and </w:t>
      </w:r>
      <w:proofErr w:type="spellStart"/>
      <w:r w:rsidRPr="00913A4A">
        <w:rPr>
          <w:rFonts w:asciiTheme="minorHAnsi" w:hAnsiTheme="minorHAnsi"/>
          <w:sz w:val="22"/>
          <w:szCs w:val="22"/>
        </w:rPr>
        <w:t>health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terms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- in </w:t>
      </w:r>
      <w:proofErr w:type="spellStart"/>
      <w:r w:rsidRPr="00913A4A">
        <w:rPr>
          <w:rFonts w:asciiTheme="minorHAnsi" w:hAnsiTheme="minorHAnsi"/>
          <w:sz w:val="22"/>
          <w:szCs w:val="22"/>
        </w:rPr>
        <w:t>order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to </w:t>
      </w:r>
      <w:proofErr w:type="spellStart"/>
      <w:r w:rsidRPr="00913A4A">
        <w:rPr>
          <w:rFonts w:asciiTheme="minorHAnsi" w:hAnsiTheme="minorHAnsi"/>
          <w:sz w:val="22"/>
          <w:szCs w:val="22"/>
        </w:rPr>
        <w:t>prevent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13A4A">
        <w:rPr>
          <w:rFonts w:asciiTheme="minorHAnsi" w:hAnsiTheme="minorHAnsi"/>
          <w:sz w:val="22"/>
          <w:szCs w:val="22"/>
        </w:rPr>
        <w:t>where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possible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913A4A">
        <w:rPr>
          <w:rFonts w:asciiTheme="minorHAnsi" w:hAnsiTheme="minorHAnsi"/>
          <w:sz w:val="22"/>
          <w:szCs w:val="22"/>
        </w:rPr>
        <w:t>any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risks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associated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with </w:t>
      </w:r>
      <w:proofErr w:type="spellStart"/>
      <w:r w:rsidRPr="00913A4A">
        <w:rPr>
          <w:rFonts w:asciiTheme="minorHAnsi" w:hAnsiTheme="minorHAnsi"/>
          <w:sz w:val="22"/>
          <w:szCs w:val="22"/>
        </w:rPr>
        <w:t>them</w:t>
      </w:r>
      <w:proofErr w:type="spellEnd"/>
      <w:r w:rsidRPr="00913A4A">
        <w:rPr>
          <w:rFonts w:asciiTheme="minorHAnsi" w:hAnsiTheme="minorHAnsi"/>
          <w:sz w:val="22"/>
          <w:szCs w:val="22"/>
        </w:rPr>
        <w:t>;</w:t>
      </w:r>
      <w:r w:rsidRPr="00913A4A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C12BC" w:rsidRPr="00913A4A" w:rsidRDefault="00DC12BC" w:rsidP="00DC12BC">
      <w:pPr>
        <w:pStyle w:val="puntoelenco2livello"/>
        <w:tabs>
          <w:tab w:val="clear" w:pos="360"/>
        </w:tabs>
        <w:spacing w:before="0" w:after="0"/>
        <w:ind w:left="567" w:right="-1" w:hanging="283"/>
        <w:jc w:val="both"/>
        <w:rPr>
          <w:rFonts w:asciiTheme="minorHAnsi" w:hAnsiTheme="minorHAnsi"/>
          <w:sz w:val="22"/>
          <w:szCs w:val="22"/>
        </w:rPr>
      </w:pPr>
      <w:proofErr w:type="spellStart"/>
      <w:r w:rsidRPr="00913A4A">
        <w:rPr>
          <w:rFonts w:asciiTheme="minorHAnsi" w:hAnsiTheme="minorHAnsi"/>
          <w:sz w:val="22"/>
          <w:szCs w:val="22"/>
        </w:rPr>
        <w:t>ensuring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that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Eni </w:t>
      </w:r>
      <w:proofErr w:type="spellStart"/>
      <w:r w:rsidRPr="00913A4A">
        <w:rPr>
          <w:rFonts w:asciiTheme="minorHAnsi" w:hAnsiTheme="minorHAnsi"/>
          <w:sz w:val="22"/>
          <w:szCs w:val="22"/>
        </w:rPr>
        <w:t>fulfils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its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responsibilities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in relation to human </w:t>
      </w:r>
      <w:proofErr w:type="spellStart"/>
      <w:r w:rsidRPr="00913A4A">
        <w:rPr>
          <w:rFonts w:asciiTheme="minorHAnsi" w:hAnsiTheme="minorHAnsi"/>
          <w:sz w:val="22"/>
          <w:szCs w:val="22"/>
        </w:rPr>
        <w:t>rights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and the promotion of </w:t>
      </w:r>
      <w:proofErr w:type="spellStart"/>
      <w:r w:rsidRPr="00913A4A">
        <w:rPr>
          <w:rFonts w:asciiTheme="minorHAnsi" w:hAnsiTheme="minorHAnsi"/>
          <w:sz w:val="22"/>
          <w:szCs w:val="22"/>
        </w:rPr>
        <w:t>mutual</w:t>
      </w:r>
      <w:proofErr w:type="spellEnd"/>
      <w:r w:rsidRPr="00913A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3A4A">
        <w:rPr>
          <w:rFonts w:asciiTheme="minorHAnsi" w:hAnsiTheme="minorHAnsi"/>
          <w:sz w:val="22"/>
          <w:szCs w:val="22"/>
        </w:rPr>
        <w:t>prosperity</w:t>
      </w:r>
      <w:proofErr w:type="spellEnd"/>
      <w:r w:rsidRPr="00913A4A">
        <w:rPr>
          <w:rFonts w:asciiTheme="minorHAnsi" w:hAnsiTheme="minorHAnsi"/>
          <w:sz w:val="22"/>
          <w:szCs w:val="22"/>
        </w:rPr>
        <w:t>.</w:t>
      </w:r>
    </w:p>
    <w:p w:rsidR="00DC12BC" w:rsidRPr="00913A4A" w:rsidRDefault="00DC12BC" w:rsidP="00DC12BC">
      <w:pPr>
        <w:spacing w:after="0" w:line="320" w:lineRule="exact"/>
        <w:ind w:left="284" w:right="-1"/>
        <w:jc w:val="both"/>
        <w:rPr>
          <w:rFonts w:ascii="Verdana" w:hAnsi="Verdana"/>
          <w:sz w:val="20"/>
          <w:szCs w:val="20"/>
          <w:lang w:val="en-GB"/>
        </w:rPr>
      </w:pPr>
      <w:r w:rsidRPr="00913A4A">
        <w:rPr>
          <w:lang w:val="en-GB"/>
        </w:rPr>
        <w:t xml:space="preserve">Any subsidiary of Eni </w:t>
      </w:r>
      <w:proofErr w:type="gramStart"/>
      <w:r w:rsidRPr="00913A4A">
        <w:rPr>
          <w:lang w:val="en-GB"/>
        </w:rPr>
        <w:t>is requested</w:t>
      </w:r>
      <w:proofErr w:type="gramEnd"/>
      <w:r w:rsidRPr="00913A4A">
        <w:rPr>
          <w:lang w:val="en-GB"/>
        </w:rPr>
        <w:t xml:space="preserve"> to implement a grievance mech</w:t>
      </w:r>
      <w:r w:rsidRPr="002B778A">
        <w:rPr>
          <w:rFonts w:ascii="Verdana" w:hAnsi="Verdana"/>
          <w:sz w:val="20"/>
          <w:szCs w:val="20"/>
          <w:lang w:val="en-GB"/>
        </w:rPr>
        <w:t>anism from the very start of its operating activities.</w:t>
      </w:r>
    </w:p>
    <w:p w:rsidR="00863D10" w:rsidRDefault="00DC12BC" w:rsidP="00DC12BC">
      <w:pPr>
        <w:pStyle w:val="Testonormale"/>
        <w:spacing w:after="160" w:line="259" w:lineRule="auto"/>
        <w:contextualSpacing/>
        <w:jc w:val="both"/>
        <w:rPr>
          <w:lang w:val="en-GB"/>
        </w:rPr>
      </w:pPr>
    </w:p>
    <w:p w:rsidR="002055CA" w:rsidRPr="007150AA" w:rsidRDefault="002055CA" w:rsidP="00567682">
      <w:pPr>
        <w:jc w:val="both"/>
        <w:rPr>
          <w:lang w:val="en-GB"/>
        </w:rPr>
      </w:pPr>
    </w:p>
    <w:sectPr w:rsidR="002055CA" w:rsidRPr="00715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447"/>
    <w:multiLevelType w:val="hybridMultilevel"/>
    <w:tmpl w:val="05168B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71418E"/>
    <w:multiLevelType w:val="hybridMultilevel"/>
    <w:tmpl w:val="F8021C4C"/>
    <w:lvl w:ilvl="0" w:tplc="FBE88568">
      <w:start w:val="1"/>
      <w:numFmt w:val="bullet"/>
      <w:pStyle w:val="puntoelenco1livello"/>
      <w:lvlText w:val=""/>
      <w:lvlJc w:val="left"/>
      <w:pPr>
        <w:ind w:left="1211" w:hanging="360"/>
      </w:pPr>
      <w:rPr>
        <w:rFonts w:ascii="Wingdings" w:hAnsi="Wingdings" w:hint="default"/>
        <w:color w:val="FF9900"/>
        <w:sz w:val="20"/>
        <w:szCs w:val="20"/>
      </w:rPr>
    </w:lvl>
    <w:lvl w:ilvl="1" w:tplc="0F28BB90">
      <w:start w:val="1"/>
      <w:numFmt w:val="bullet"/>
      <w:pStyle w:val="puntoelenco2livello"/>
      <w:lvlText w:val="-"/>
      <w:lvlJc w:val="left"/>
      <w:pPr>
        <w:ind w:left="2291" w:hanging="360"/>
      </w:pPr>
      <w:rPr>
        <w:rFonts w:ascii="Courier New" w:hAnsi="Courier New" w:cs="Courier New" w:hint="default"/>
        <w:bCs/>
        <w:iCs w:val="0"/>
        <w:color w:val="000000"/>
        <w:sz w:val="18"/>
      </w:rPr>
    </w:lvl>
    <w:lvl w:ilvl="2" w:tplc="8BE43032">
      <w:start w:val="1"/>
      <w:numFmt w:val="bullet"/>
      <w:pStyle w:val="puntoelenco3livello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9D0941"/>
    <w:multiLevelType w:val="hybridMultilevel"/>
    <w:tmpl w:val="703C4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D0BFE"/>
    <w:multiLevelType w:val="hybridMultilevel"/>
    <w:tmpl w:val="343EAA46"/>
    <w:lvl w:ilvl="0" w:tplc="C7B4C6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A"/>
    <w:rsid w:val="00024367"/>
    <w:rsid w:val="001F7C11"/>
    <w:rsid w:val="002055CA"/>
    <w:rsid w:val="00402F47"/>
    <w:rsid w:val="00567682"/>
    <w:rsid w:val="007150AA"/>
    <w:rsid w:val="007B2578"/>
    <w:rsid w:val="00DC12BC"/>
    <w:rsid w:val="00E82018"/>
    <w:rsid w:val="00F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E2CF-FFA7-47B1-A428-1E7990FD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5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0A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150A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50AA"/>
    <w:rPr>
      <w:rFonts w:ascii="Calibri" w:hAnsi="Calibri" w:cs="Consolas"/>
      <w:szCs w:val="21"/>
    </w:rPr>
  </w:style>
  <w:style w:type="paragraph" w:customStyle="1" w:styleId="testocorrente">
    <w:name w:val="testo corrente"/>
    <w:basedOn w:val="Normale"/>
    <w:link w:val="testocorrenteCarattere"/>
    <w:qFormat/>
    <w:rsid w:val="007150AA"/>
    <w:pPr>
      <w:spacing w:before="120" w:after="0" w:line="320" w:lineRule="exact"/>
      <w:ind w:left="851" w:right="964"/>
    </w:pPr>
    <w:rPr>
      <w:rFonts w:ascii="Verdana" w:eastAsia="PMingLiU" w:hAnsi="Verdana" w:cs="Times New Roman"/>
      <w:sz w:val="20"/>
      <w:szCs w:val="24"/>
      <w:lang w:val="x-none" w:eastAsia="x-none" w:bidi="he-IL"/>
    </w:rPr>
  </w:style>
  <w:style w:type="character" w:customStyle="1" w:styleId="testocorrenteCarattere">
    <w:name w:val="testo corrente Carattere"/>
    <w:link w:val="testocorrente"/>
    <w:rsid w:val="007150AA"/>
    <w:rPr>
      <w:rFonts w:ascii="Verdana" w:eastAsia="PMingLiU" w:hAnsi="Verdana" w:cs="Times New Roman"/>
      <w:sz w:val="20"/>
      <w:szCs w:val="24"/>
      <w:lang w:val="x-none" w:eastAsia="x-none" w:bidi="he-IL"/>
    </w:rPr>
  </w:style>
  <w:style w:type="paragraph" w:customStyle="1" w:styleId="puntoelenco1livello">
    <w:name w:val="punto elenco 1° livello"/>
    <w:basedOn w:val="testocorrente"/>
    <w:qFormat/>
    <w:rsid w:val="007150AA"/>
    <w:pPr>
      <w:numPr>
        <w:numId w:val="2"/>
      </w:numPr>
      <w:tabs>
        <w:tab w:val="num" w:pos="360"/>
      </w:tabs>
      <w:spacing w:before="60" w:after="60"/>
      <w:ind w:left="851" w:firstLine="0"/>
    </w:pPr>
  </w:style>
  <w:style w:type="paragraph" w:customStyle="1" w:styleId="puntoelenco2livello">
    <w:name w:val="punto elenco 2° livello"/>
    <w:basedOn w:val="puntoelenco1livello"/>
    <w:uiPriority w:val="99"/>
    <w:qFormat/>
    <w:rsid w:val="007150AA"/>
    <w:pPr>
      <w:numPr>
        <w:ilvl w:val="1"/>
      </w:numPr>
      <w:tabs>
        <w:tab w:val="num" w:pos="360"/>
      </w:tabs>
      <w:ind w:left="1418" w:hanging="284"/>
    </w:pPr>
    <w:rPr>
      <w:szCs w:val="20"/>
    </w:rPr>
  </w:style>
  <w:style w:type="paragraph" w:customStyle="1" w:styleId="puntoelenco3livello">
    <w:name w:val="punto elenco 3° livello"/>
    <w:basedOn w:val="puntoelenco2livello"/>
    <w:qFormat/>
    <w:rsid w:val="007150AA"/>
    <w:pPr>
      <w:numPr>
        <w:ilvl w:val="2"/>
      </w:numPr>
      <w:tabs>
        <w:tab w:val="num" w:pos="360"/>
      </w:tabs>
      <w:ind w:left="1701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4D14-2309-4CCC-B65E-D0B15314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Iacovacci</dc:creator>
  <cp:keywords/>
  <dc:description/>
  <cp:lastModifiedBy>Vetta Pasquale</cp:lastModifiedBy>
  <cp:revision>6</cp:revision>
  <dcterms:created xsi:type="dcterms:W3CDTF">2016-12-02T09:28:00Z</dcterms:created>
  <dcterms:modified xsi:type="dcterms:W3CDTF">2016-12-02T15:08:00Z</dcterms:modified>
</cp:coreProperties>
</file>