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7DB1" w14:textId="77777777" w:rsidR="004B5070" w:rsidRDefault="004B5070" w:rsidP="004B5070">
      <w:pPr>
        <w:spacing w:after="160" w:line="212" w:lineRule="atLeast"/>
        <w:rPr>
          <w:rFonts w:ascii="Calibri" w:hAnsi="Calibri" w:cs="Calibri"/>
          <w:color w:val="212121"/>
          <w:sz w:val="20"/>
          <w:szCs w:val="20"/>
        </w:rPr>
      </w:pPr>
      <w:r>
        <w:rPr>
          <w:rFonts w:ascii="Calibri" w:hAnsi="Calibri" w:cs="Calibri"/>
          <w:color w:val="212121"/>
          <w:sz w:val="22"/>
          <w:szCs w:val="22"/>
          <w:lang w:val="en-CA"/>
        </w:rPr>
        <w:t>In March 2023,</w:t>
      </w:r>
      <w:r>
        <w:rPr>
          <w:rStyle w:val="apple-converted-space"/>
          <w:rFonts w:ascii="Calibri" w:hAnsi="Calibri" w:cs="Calibri"/>
          <w:color w:val="212121"/>
          <w:sz w:val="22"/>
          <w:szCs w:val="22"/>
          <w:lang w:val="en-CA"/>
        </w:rPr>
        <w:t> </w:t>
      </w:r>
      <w:hyperlink r:id="rId4" w:tooltip="https://bc-cb.rcmp-grc.gc.ca/ViewPage.action?siteNodeId=2136&amp;languageId=1&amp;contentId=78991&amp;detachmentDataId=43869" w:history="1">
        <w:r>
          <w:rPr>
            <w:rStyle w:val="Hyperlink"/>
            <w:rFonts w:ascii="Calibri" w:hAnsi="Calibri" w:cs="Calibri"/>
            <w:color w:val="0D64EF"/>
            <w:sz w:val="22"/>
            <w:szCs w:val="22"/>
            <w:lang w:val="en-CA"/>
          </w:rPr>
          <w:t>Houston RCMP</w:t>
        </w:r>
      </w:hyperlink>
      <w:r>
        <w:rPr>
          <w:rStyle w:val="apple-converted-space"/>
          <w:rFonts w:ascii="Calibri" w:hAnsi="Calibri" w:cs="Calibri"/>
          <w:color w:val="212121"/>
          <w:sz w:val="22"/>
          <w:szCs w:val="22"/>
          <w:lang w:val="en-CA"/>
        </w:rPr>
        <w:t> </w:t>
      </w:r>
      <w:r>
        <w:rPr>
          <w:rFonts w:ascii="Calibri" w:hAnsi="Calibri" w:cs="Calibri"/>
          <w:color w:val="212121"/>
          <w:sz w:val="22"/>
          <w:szCs w:val="22"/>
          <w:lang w:val="en-CA"/>
        </w:rPr>
        <w:t xml:space="preserve">reported that it was “investigating another act of violence against pipeline personnel at a forest road work site”. In this March 26, </w:t>
      </w:r>
      <w:proofErr w:type="gramStart"/>
      <w:r>
        <w:rPr>
          <w:rFonts w:ascii="Calibri" w:hAnsi="Calibri" w:cs="Calibri"/>
          <w:color w:val="212121"/>
          <w:sz w:val="22"/>
          <w:szCs w:val="22"/>
          <w:lang w:val="en-CA"/>
        </w:rPr>
        <w:t>2023</w:t>
      </w:r>
      <w:proofErr w:type="gramEnd"/>
      <w:r>
        <w:rPr>
          <w:rFonts w:ascii="Calibri" w:hAnsi="Calibri" w:cs="Calibri"/>
          <w:color w:val="212121"/>
          <w:sz w:val="22"/>
          <w:szCs w:val="22"/>
          <w:lang w:val="en-CA"/>
        </w:rPr>
        <w:t xml:space="preserve"> incident, a</w:t>
      </w:r>
      <w:r>
        <w:rPr>
          <w:rStyle w:val="apple-converted-space"/>
          <w:rFonts w:ascii="Calibri" w:hAnsi="Calibri" w:cs="Calibri"/>
          <w:color w:val="212121"/>
          <w:sz w:val="22"/>
          <w:szCs w:val="22"/>
          <w:lang w:val="en-CA"/>
        </w:rPr>
        <w:t> </w:t>
      </w:r>
      <w:r>
        <w:rPr>
          <w:rFonts w:ascii="Calibri" w:hAnsi="Calibri" w:cs="Calibri"/>
          <w:color w:val="000000"/>
          <w:sz w:val="22"/>
          <w:szCs w:val="22"/>
        </w:rPr>
        <w:t>Coastal GasLink worker was swarmed by masked and camouflaged individuals. We fully cooperated with RCMP during the investigation and are thankful that no one was injured. Questions specific to the investigation and actions by the RCMP would best be answered by them.</w:t>
      </w:r>
      <w:r>
        <w:rPr>
          <w:rStyle w:val="apple-converted-space"/>
          <w:rFonts w:ascii="Calibri" w:hAnsi="Calibri" w:cs="Calibri"/>
          <w:color w:val="000000"/>
          <w:sz w:val="22"/>
          <w:szCs w:val="22"/>
        </w:rPr>
        <w:t> </w:t>
      </w:r>
    </w:p>
    <w:p w14:paraId="673ECBAF" w14:textId="77777777" w:rsidR="004B5070" w:rsidRDefault="004B5070" w:rsidP="004B5070">
      <w:pPr>
        <w:spacing w:after="160" w:line="212" w:lineRule="atLeast"/>
        <w:rPr>
          <w:rFonts w:ascii="Calibri" w:hAnsi="Calibri" w:cs="Calibri"/>
          <w:color w:val="212121"/>
          <w:sz w:val="20"/>
          <w:szCs w:val="20"/>
        </w:rPr>
      </w:pPr>
      <w:r>
        <w:rPr>
          <w:rFonts w:ascii="Calibri" w:hAnsi="Calibri" w:cs="Calibri"/>
          <w:color w:val="212121"/>
          <w:sz w:val="22"/>
          <w:szCs w:val="22"/>
        </w:rPr>
        <w:t>Coastal GasLink has had to take the steps necessary to protect the safety of the women and men who worked on our project, many of whom are from Indigenous and local communities. There have been significant acts of violence that have put people, property, and the environment at risk. These attacks</w:t>
      </w:r>
      <w:r>
        <w:rPr>
          <w:rStyle w:val="apple-converted-space"/>
          <w:rFonts w:ascii="Calibri" w:hAnsi="Calibri" w:cs="Calibri"/>
          <w:color w:val="212121"/>
          <w:sz w:val="22"/>
          <w:szCs w:val="22"/>
        </w:rPr>
        <w:t> </w:t>
      </w:r>
      <w:r>
        <w:rPr>
          <w:rFonts w:ascii="Calibri" w:hAnsi="Calibri" w:cs="Calibri"/>
          <w:color w:val="000000"/>
          <w:sz w:val="22"/>
          <w:szCs w:val="22"/>
        </w:rPr>
        <w:t>have been well documented by the</w:t>
      </w:r>
      <w:r>
        <w:rPr>
          <w:rStyle w:val="apple-converted-space"/>
          <w:rFonts w:ascii="Calibri" w:hAnsi="Calibri" w:cs="Calibri"/>
          <w:color w:val="000000"/>
          <w:sz w:val="22"/>
          <w:szCs w:val="22"/>
        </w:rPr>
        <w:t> </w:t>
      </w:r>
      <w:hyperlink r:id="rId5" w:tooltip="https://www.cbc.ca/newsinteractives/features/when-anarchists-attack" w:history="1">
        <w:r>
          <w:rPr>
            <w:rStyle w:val="Hyperlink"/>
            <w:rFonts w:ascii="Calibri" w:hAnsi="Calibri" w:cs="Calibri"/>
            <w:color w:val="0D64EF"/>
            <w:sz w:val="22"/>
            <w:szCs w:val="22"/>
          </w:rPr>
          <w:t>CBC</w:t>
        </w:r>
      </w:hyperlink>
      <w:r>
        <w:rPr>
          <w:rStyle w:val="apple-converted-space"/>
          <w:rFonts w:ascii="Calibri" w:hAnsi="Calibri" w:cs="Calibri"/>
          <w:color w:val="000000"/>
          <w:sz w:val="22"/>
          <w:szCs w:val="22"/>
        </w:rPr>
        <w:t> </w:t>
      </w:r>
      <w:r>
        <w:rPr>
          <w:rFonts w:ascii="Calibri" w:hAnsi="Calibri" w:cs="Calibri"/>
          <w:color w:val="000000"/>
          <w:sz w:val="22"/>
          <w:szCs w:val="22"/>
        </w:rPr>
        <w:t>and other major publications. Everyone deserves to work in a safe environment, without fear of these dangerous acts, while they provide for their families and communities.</w:t>
      </w:r>
    </w:p>
    <w:p w14:paraId="6F18F75A" w14:textId="77777777" w:rsidR="004B5070" w:rsidRDefault="004B5070" w:rsidP="004B5070">
      <w:pPr>
        <w:spacing w:after="240"/>
        <w:textAlignment w:val="baseline"/>
        <w:rPr>
          <w:rFonts w:ascii="Calibri" w:hAnsi="Calibri" w:cs="Calibri"/>
          <w:color w:val="212121"/>
          <w:sz w:val="20"/>
          <w:szCs w:val="20"/>
        </w:rPr>
      </w:pPr>
      <w:r>
        <w:rPr>
          <w:rFonts w:ascii="Calibri" w:hAnsi="Calibri" w:cs="Calibri"/>
          <w:color w:val="000000"/>
          <w:sz w:val="22"/>
          <w:szCs w:val="22"/>
        </w:rPr>
        <w:t>Today, Coastal GasLink is</w:t>
      </w:r>
      <w:r>
        <w:rPr>
          <w:rStyle w:val="apple-converted-space"/>
          <w:rFonts w:ascii="Calibri" w:hAnsi="Calibri" w:cs="Calibri"/>
          <w:color w:val="000000"/>
          <w:sz w:val="22"/>
          <w:szCs w:val="22"/>
        </w:rPr>
        <w:t> </w:t>
      </w:r>
      <w:hyperlink r:id="rId6" w:tooltip="https://www.tcenergy.com/announcements/2023/2023-11-08-tc-energy-reports-strong-third-quarter-2023-operating-and-financial-results-and-achieves-mechanical-completion-on-coastal-gaslink-ahead-of/" w:history="1">
        <w:r>
          <w:rPr>
            <w:rStyle w:val="Hyperlink"/>
            <w:rFonts w:ascii="Calibri" w:hAnsi="Calibri" w:cs="Calibri"/>
            <w:color w:val="0D64EF"/>
            <w:sz w:val="22"/>
            <w:szCs w:val="22"/>
          </w:rPr>
          <w:t>mechanically complete</w:t>
        </w:r>
      </w:hyperlink>
      <w:r>
        <w:rPr>
          <w:rStyle w:val="apple-converted-space"/>
          <w:rFonts w:ascii="Calibri" w:hAnsi="Calibri" w:cs="Calibri"/>
          <w:color w:val="000000"/>
          <w:sz w:val="22"/>
          <w:szCs w:val="22"/>
        </w:rPr>
        <w:t> </w:t>
      </w:r>
      <w:r>
        <w:rPr>
          <w:rFonts w:ascii="Calibri" w:hAnsi="Calibri" w:cs="Calibri"/>
          <w:color w:val="000000"/>
          <w:sz w:val="22"/>
          <w:szCs w:val="22"/>
        </w:rPr>
        <w:t>and continues to have the unprecedented support</w:t>
      </w:r>
      <w:r>
        <w:rPr>
          <w:rStyle w:val="apple-converted-space"/>
          <w:rFonts w:ascii="Calibri" w:hAnsi="Calibri" w:cs="Calibri"/>
          <w:color w:val="000000"/>
          <w:sz w:val="22"/>
          <w:szCs w:val="22"/>
        </w:rPr>
        <w:t> </w:t>
      </w:r>
      <w:r>
        <w:rPr>
          <w:rFonts w:ascii="Calibri" w:hAnsi="Calibri" w:cs="Calibri"/>
          <w:color w:val="212121"/>
          <w:sz w:val="22"/>
          <w:szCs w:val="22"/>
        </w:rPr>
        <w:t>from</w:t>
      </w:r>
      <w:r>
        <w:rPr>
          <w:rStyle w:val="apple-converted-space"/>
          <w:rFonts w:ascii="Calibri" w:hAnsi="Calibri" w:cs="Calibri"/>
          <w:color w:val="212121"/>
          <w:sz w:val="22"/>
          <w:szCs w:val="22"/>
        </w:rPr>
        <w:t> </w:t>
      </w:r>
      <w:hyperlink r:id="rId7" w:anchor="indigenous-engagement" w:tooltip="https://www.coastalgaslink.com/sustainability/indigenous-relations/#indigenous-engagement" w:history="1">
        <w:r>
          <w:rPr>
            <w:rStyle w:val="Hyperlink"/>
            <w:rFonts w:ascii="Calibri" w:hAnsi="Calibri" w:cs="Calibri"/>
            <w:color w:val="0D64EF"/>
            <w:sz w:val="22"/>
            <w:szCs w:val="22"/>
          </w:rPr>
          <w:t>all 20 out of 20 elected Indigenous communities</w:t>
        </w:r>
      </w:hyperlink>
      <w:r>
        <w:rPr>
          <w:rStyle w:val="apple-converted-space"/>
          <w:rFonts w:ascii="Calibri" w:hAnsi="Calibri" w:cs="Calibri"/>
          <w:color w:val="212121"/>
          <w:sz w:val="22"/>
          <w:szCs w:val="22"/>
        </w:rPr>
        <w:t> </w:t>
      </w:r>
      <w:r>
        <w:rPr>
          <w:rFonts w:ascii="Calibri" w:hAnsi="Calibri" w:cs="Calibri"/>
          <w:color w:val="212121"/>
          <w:sz w:val="22"/>
          <w:szCs w:val="22"/>
        </w:rPr>
        <w:t>across the project route, with 17 of them</w:t>
      </w:r>
      <w:r>
        <w:rPr>
          <w:rStyle w:val="apple-converted-space"/>
          <w:rFonts w:ascii="Calibri" w:hAnsi="Calibri" w:cs="Calibri"/>
          <w:color w:val="212121"/>
          <w:sz w:val="22"/>
          <w:szCs w:val="22"/>
        </w:rPr>
        <w:t> </w:t>
      </w:r>
      <w:hyperlink r:id="rId8" w:tooltip="https://www.coastalgaslink.com/whats-new/news-stories/2022/2022-03-10-indigenous-groups-sign-historic-equity-option-agreements-with-tc-energy-on-coastal-gaslink/" w:history="1">
        <w:r>
          <w:rPr>
            <w:rStyle w:val="Hyperlink"/>
            <w:rFonts w:ascii="Calibri" w:hAnsi="Calibri" w:cs="Calibri"/>
            <w:color w:val="0D64EF"/>
            <w:sz w:val="22"/>
            <w:szCs w:val="22"/>
          </w:rPr>
          <w:t>signing equity option agreements</w:t>
        </w:r>
      </w:hyperlink>
      <w:r>
        <w:rPr>
          <w:rFonts w:ascii="Calibri" w:hAnsi="Calibri" w:cs="Calibri"/>
          <w:color w:val="212121"/>
          <w:sz w:val="22"/>
          <w:szCs w:val="22"/>
        </w:rPr>
        <w:t>.</w:t>
      </w:r>
    </w:p>
    <w:p w14:paraId="2BD61E6C" w14:textId="77777777" w:rsidR="004B5070" w:rsidRDefault="004B5070" w:rsidP="004B5070">
      <w:pPr>
        <w:spacing w:after="240"/>
        <w:textAlignment w:val="baseline"/>
        <w:rPr>
          <w:rFonts w:ascii="Calibri" w:hAnsi="Calibri" w:cs="Calibri"/>
          <w:color w:val="212121"/>
          <w:sz w:val="20"/>
          <w:szCs w:val="20"/>
        </w:rPr>
      </w:pPr>
      <w:r>
        <w:rPr>
          <w:rFonts w:ascii="Calibri" w:hAnsi="Calibri" w:cs="Calibri"/>
          <w:color w:val="212121"/>
          <w:sz w:val="22"/>
          <w:szCs w:val="22"/>
        </w:rPr>
        <w:t>Respecting the rights and interests of Indigenous people has been a fundamental principle in developing and building Coastal GasLink. We recognize with gratitude that we could not have constructed this nationally important project without the participation and support of their communities.</w:t>
      </w:r>
      <w:r>
        <w:rPr>
          <w:rStyle w:val="apple-converted-space"/>
          <w:rFonts w:ascii="Calibri" w:hAnsi="Calibri" w:cs="Calibri"/>
          <w:color w:val="000000"/>
          <w:sz w:val="22"/>
          <w:szCs w:val="22"/>
        </w:rPr>
        <w:t> </w:t>
      </w:r>
      <w:r>
        <w:rPr>
          <w:rFonts w:ascii="Calibri" w:hAnsi="Calibri" w:cs="Calibri"/>
          <w:color w:val="000000"/>
          <w:sz w:val="22"/>
          <w:szCs w:val="22"/>
        </w:rPr>
        <w:t>That is why we are focused on safely delivering lasting benefits for Indigenous and local communities, B.C., and Canada for decades to come.</w:t>
      </w:r>
    </w:p>
    <w:p w14:paraId="5059F046" w14:textId="77777777" w:rsidR="004B5070" w:rsidRDefault="004B5070" w:rsidP="004B5070">
      <w:pPr>
        <w:rPr>
          <w:rFonts w:ascii="Calibri" w:hAnsi="Calibri" w:cs="Calibri"/>
          <w:color w:val="212121"/>
          <w:sz w:val="20"/>
          <w:szCs w:val="20"/>
        </w:rPr>
      </w:pPr>
      <w:r>
        <w:rPr>
          <w:rFonts w:ascii="Calibri" w:hAnsi="Calibri" w:cs="Calibri"/>
          <w:color w:val="212121"/>
          <w:sz w:val="22"/>
          <w:szCs w:val="22"/>
        </w:rPr>
        <w:t>Thank you,</w:t>
      </w:r>
      <w:r>
        <w:rPr>
          <w:rStyle w:val="apple-converted-space"/>
          <w:rFonts w:ascii="Calibri" w:hAnsi="Calibri" w:cs="Calibri"/>
          <w:color w:val="212121"/>
          <w:sz w:val="22"/>
          <w:szCs w:val="22"/>
        </w:rPr>
        <w:t> </w:t>
      </w:r>
    </w:p>
    <w:p w14:paraId="25637B82" w14:textId="77777777" w:rsidR="004B5070" w:rsidRDefault="004B5070" w:rsidP="004B5070">
      <w:pPr>
        <w:rPr>
          <w:rFonts w:ascii="Calibri" w:hAnsi="Calibri" w:cs="Calibri"/>
          <w:color w:val="212121"/>
          <w:sz w:val="20"/>
          <w:szCs w:val="20"/>
        </w:rPr>
      </w:pPr>
      <w:r>
        <w:rPr>
          <w:rFonts w:ascii="Calibri" w:hAnsi="Calibri" w:cs="Calibri"/>
          <w:color w:val="212121"/>
          <w:sz w:val="22"/>
          <w:szCs w:val="22"/>
        </w:rPr>
        <w:t> </w:t>
      </w:r>
    </w:p>
    <w:p w14:paraId="7485E80A" w14:textId="77777777" w:rsidR="004B5070" w:rsidRDefault="004B5070" w:rsidP="004B5070">
      <w:pPr>
        <w:rPr>
          <w:rFonts w:ascii="Calibri" w:hAnsi="Calibri" w:cs="Calibri"/>
          <w:color w:val="212121"/>
          <w:sz w:val="20"/>
          <w:szCs w:val="20"/>
        </w:rPr>
      </w:pPr>
      <w:r>
        <w:rPr>
          <w:rFonts w:ascii="Calibri" w:hAnsi="Calibri" w:cs="Calibri"/>
          <w:b/>
          <w:bCs/>
          <w:color w:val="0D64EF"/>
          <w:sz w:val="20"/>
          <w:szCs w:val="20"/>
        </w:rPr>
        <w:t>Media Relations</w:t>
      </w:r>
    </w:p>
    <w:p w14:paraId="5023C237" w14:textId="77777777" w:rsidR="004B5070" w:rsidRDefault="004B5070" w:rsidP="004B5070">
      <w:pPr>
        <w:rPr>
          <w:rFonts w:ascii="Calibri" w:hAnsi="Calibri" w:cs="Calibri"/>
          <w:color w:val="212121"/>
          <w:sz w:val="20"/>
          <w:szCs w:val="20"/>
        </w:rPr>
      </w:pPr>
      <w:r>
        <w:rPr>
          <w:rFonts w:ascii="Calibri" w:hAnsi="Calibri" w:cs="Calibri"/>
          <w:color w:val="333333"/>
          <w:sz w:val="18"/>
          <w:szCs w:val="18"/>
        </w:rPr>
        <w:t>External Relations</w:t>
      </w:r>
    </w:p>
    <w:p w14:paraId="06DE981E" w14:textId="77777777" w:rsidR="004B5070" w:rsidRDefault="004B5070" w:rsidP="004B5070">
      <w:pPr>
        <w:rPr>
          <w:rFonts w:ascii="Calibri" w:hAnsi="Calibri" w:cs="Calibri"/>
          <w:color w:val="212121"/>
          <w:sz w:val="20"/>
          <w:szCs w:val="20"/>
        </w:rPr>
      </w:pPr>
      <w:r>
        <w:rPr>
          <w:rFonts w:ascii="Calibri" w:hAnsi="Calibri" w:cs="Calibri"/>
          <w:color w:val="000000"/>
          <w:sz w:val="22"/>
          <w:szCs w:val="22"/>
        </w:rPr>
        <w:br/>
      </w:r>
      <w:hyperlink r:id="rId9" w:tooltip="mailto:media@tcenergy.com" w:history="1">
        <w:r>
          <w:rPr>
            <w:rStyle w:val="Hyperlink"/>
            <w:rFonts w:ascii="Calibri" w:hAnsi="Calibri" w:cs="Calibri"/>
            <w:sz w:val="18"/>
            <w:szCs w:val="18"/>
          </w:rPr>
          <w:t>media@tcenergy.com</w:t>
        </w:r>
      </w:hyperlink>
    </w:p>
    <w:p w14:paraId="247E6C19" w14:textId="77777777" w:rsidR="004B5070" w:rsidRDefault="004B5070" w:rsidP="004B5070">
      <w:pPr>
        <w:rPr>
          <w:rFonts w:ascii="Calibri" w:hAnsi="Calibri" w:cs="Calibri"/>
          <w:color w:val="212121"/>
          <w:sz w:val="20"/>
          <w:szCs w:val="20"/>
        </w:rPr>
      </w:pPr>
      <w:r>
        <w:rPr>
          <w:rFonts w:ascii="Calibri" w:hAnsi="Calibri" w:cs="Calibri"/>
          <w:b/>
          <w:bCs/>
          <w:color w:val="000000"/>
          <w:sz w:val="18"/>
          <w:szCs w:val="18"/>
        </w:rPr>
        <w:t>Toll-Free:</w:t>
      </w:r>
      <w:r>
        <w:rPr>
          <w:rFonts w:ascii="Calibri" w:hAnsi="Calibri" w:cs="Calibri"/>
          <w:color w:val="000000"/>
          <w:sz w:val="18"/>
          <w:szCs w:val="18"/>
        </w:rPr>
        <w:t>1-800-608-7859 </w:t>
      </w:r>
    </w:p>
    <w:p w14:paraId="2105D393" w14:textId="77777777" w:rsidR="004B5070" w:rsidRDefault="004B5070" w:rsidP="004B5070">
      <w:pPr>
        <w:rPr>
          <w:rFonts w:ascii="Calibri" w:hAnsi="Calibri" w:cs="Calibri"/>
          <w:color w:val="212121"/>
          <w:sz w:val="20"/>
          <w:szCs w:val="20"/>
        </w:rPr>
      </w:pPr>
      <w:r>
        <w:rPr>
          <w:rFonts w:ascii="Calibri" w:hAnsi="Calibri" w:cs="Calibri"/>
          <w:color w:val="000000"/>
          <w:sz w:val="18"/>
          <w:szCs w:val="18"/>
        </w:rPr>
        <w:t> </w:t>
      </w:r>
    </w:p>
    <w:p w14:paraId="779275BB" w14:textId="77777777" w:rsidR="004B5070" w:rsidRDefault="004B5070" w:rsidP="004B5070">
      <w:pPr>
        <w:rPr>
          <w:rFonts w:ascii="Calibri" w:hAnsi="Calibri" w:cs="Calibri"/>
          <w:color w:val="212121"/>
          <w:sz w:val="20"/>
          <w:szCs w:val="20"/>
        </w:rPr>
      </w:pPr>
      <w:r>
        <w:rPr>
          <w:rFonts w:ascii="Calibri" w:hAnsi="Calibri" w:cs="Calibri"/>
          <w:b/>
          <w:bCs/>
          <w:color w:val="0D64EF"/>
          <w:sz w:val="20"/>
          <w:szCs w:val="20"/>
        </w:rPr>
        <w:t>TC Energy</w:t>
      </w:r>
    </w:p>
    <w:p w14:paraId="48BB8423" w14:textId="77777777" w:rsidR="004B5070" w:rsidRDefault="004B5070" w:rsidP="004B5070">
      <w:pPr>
        <w:rPr>
          <w:rFonts w:ascii="Calibri" w:hAnsi="Calibri" w:cs="Calibri"/>
          <w:color w:val="212121"/>
          <w:sz w:val="20"/>
          <w:szCs w:val="20"/>
        </w:rPr>
      </w:pPr>
      <w:r>
        <w:rPr>
          <w:rFonts w:ascii="Calibri" w:hAnsi="Calibri" w:cs="Calibri"/>
          <w:color w:val="333333"/>
          <w:sz w:val="18"/>
          <w:szCs w:val="18"/>
        </w:rPr>
        <w:t>450 – 1 Street S.W. Calgary, AB</w:t>
      </w:r>
    </w:p>
    <w:p w14:paraId="5CC920A2" w14:textId="77777777" w:rsidR="004B5070" w:rsidRDefault="004B5070" w:rsidP="004B5070">
      <w:pPr>
        <w:rPr>
          <w:rFonts w:ascii="Calibri" w:hAnsi="Calibri" w:cs="Calibri"/>
          <w:color w:val="212121"/>
          <w:sz w:val="20"/>
          <w:szCs w:val="20"/>
        </w:rPr>
      </w:pPr>
      <w:r>
        <w:rPr>
          <w:rFonts w:ascii="Calibri" w:hAnsi="Calibri" w:cs="Calibri"/>
          <w:color w:val="333333"/>
          <w:sz w:val="18"/>
          <w:szCs w:val="18"/>
        </w:rPr>
        <w:t>Canada, T2P 5H1</w:t>
      </w:r>
    </w:p>
    <w:p w14:paraId="2AF5D29A" w14:textId="77777777" w:rsidR="004B5070" w:rsidRDefault="004B5070" w:rsidP="004B5070">
      <w:pPr>
        <w:rPr>
          <w:rFonts w:ascii="Calibri" w:hAnsi="Calibri" w:cs="Calibri"/>
          <w:color w:val="212121"/>
          <w:sz w:val="20"/>
          <w:szCs w:val="20"/>
        </w:rPr>
      </w:pPr>
      <w:hyperlink r:id="rId10" w:tooltip="https://www.tcenergy.com/" w:history="1">
        <w:r>
          <w:rPr>
            <w:rStyle w:val="Hyperlink"/>
            <w:rFonts w:ascii="Calibri" w:hAnsi="Calibri" w:cs="Calibri"/>
            <w:b/>
            <w:bCs/>
            <w:sz w:val="20"/>
            <w:szCs w:val="20"/>
          </w:rPr>
          <w:t>TCEnergy.com</w:t>
        </w:r>
      </w:hyperlink>
    </w:p>
    <w:p w14:paraId="246C0F46" w14:textId="77777777" w:rsidR="00900BCF" w:rsidRPr="004B5070" w:rsidRDefault="00900BCF">
      <w:pPr>
        <w:rPr>
          <w:lang w:val="en-US" w:eastAsia="ko-KR"/>
        </w:rPr>
      </w:pPr>
    </w:p>
    <w:sectPr w:rsidR="00900BCF" w:rsidRPr="004B5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70"/>
    <w:rsid w:val="00055F72"/>
    <w:rsid w:val="00094056"/>
    <w:rsid w:val="000E72A3"/>
    <w:rsid w:val="000E77B2"/>
    <w:rsid w:val="0014215F"/>
    <w:rsid w:val="00190305"/>
    <w:rsid w:val="00191418"/>
    <w:rsid w:val="001C767E"/>
    <w:rsid w:val="001D371E"/>
    <w:rsid w:val="00231B20"/>
    <w:rsid w:val="002C64CC"/>
    <w:rsid w:val="00355017"/>
    <w:rsid w:val="003901AD"/>
    <w:rsid w:val="003D4F49"/>
    <w:rsid w:val="00423E70"/>
    <w:rsid w:val="004B5070"/>
    <w:rsid w:val="004D2B6B"/>
    <w:rsid w:val="00590031"/>
    <w:rsid w:val="005B7B0D"/>
    <w:rsid w:val="00601832"/>
    <w:rsid w:val="006108CF"/>
    <w:rsid w:val="006A37AD"/>
    <w:rsid w:val="007D37AC"/>
    <w:rsid w:val="007D45FC"/>
    <w:rsid w:val="007F5972"/>
    <w:rsid w:val="008023FA"/>
    <w:rsid w:val="008D7F25"/>
    <w:rsid w:val="00900BCF"/>
    <w:rsid w:val="00936044"/>
    <w:rsid w:val="00952320"/>
    <w:rsid w:val="00A840B3"/>
    <w:rsid w:val="00B17359"/>
    <w:rsid w:val="00B25C08"/>
    <w:rsid w:val="00B50375"/>
    <w:rsid w:val="00B66B2A"/>
    <w:rsid w:val="00B91D49"/>
    <w:rsid w:val="00BD4A4C"/>
    <w:rsid w:val="00C2577B"/>
    <w:rsid w:val="00C309B2"/>
    <w:rsid w:val="00D318B6"/>
    <w:rsid w:val="00D37367"/>
    <w:rsid w:val="00DA4DB2"/>
    <w:rsid w:val="00DB0010"/>
    <w:rsid w:val="00DE6A01"/>
    <w:rsid w:val="00E3105E"/>
    <w:rsid w:val="00F3084B"/>
    <w:rsid w:val="00F46B5E"/>
    <w:rsid w:val="00F638D1"/>
    <w:rsid w:val="00F964DE"/>
    <w:rsid w:val="00FA4202"/>
  </w:rsids>
  <m:mathPr>
    <m:mathFont m:val="Cambria Math"/>
    <m:brkBin m:val="before"/>
    <m:brkBinSub m:val="--"/>
    <m:smallFrac m:val="0"/>
    <m:dispDef/>
    <m:lMargin m:val="0"/>
    <m:rMargin m:val="0"/>
    <m:defJc m:val="centerGroup"/>
    <m:wrapIndent m:val="1440"/>
    <m:intLim m:val="subSup"/>
    <m:naryLim m:val="undOvr"/>
  </m:mathPr>
  <w:themeFontLang w:val="en-KR" w:eastAsia="zh-CN" w:bidi="ne-NP"/>
  <w:clrSchemeMapping w:bg1="light1" w:t1="dark1" w:bg2="light2" w:t2="dark2" w:accent1="accent1" w:accent2="accent2" w:accent3="accent3" w:accent4="accent4" w:accent5="accent5" w:accent6="accent6" w:hyperlink="hyperlink" w:followedHyperlink="followedHyperlink"/>
  <w:decimalSymbol w:val="."/>
  <w:listSeparator w:val=","/>
  <w14:docId w14:val="432AA0B0"/>
  <w15:chartTrackingRefBased/>
  <w15:docId w15:val="{EBEA1A5F-C85F-0740-AD4E-F46D2387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1"/>
        <w:lang w:val="en-KR" w:eastAsia="zh-CN" w:bidi="ne-NP"/>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070"/>
    <w:rPr>
      <w:color w:val="0563C1" w:themeColor="hyperlink"/>
      <w:u w:val="single"/>
    </w:rPr>
  </w:style>
  <w:style w:type="character" w:styleId="UnresolvedMention">
    <w:name w:val="Unresolved Mention"/>
    <w:basedOn w:val="DefaultParagraphFont"/>
    <w:uiPriority w:val="99"/>
    <w:semiHidden/>
    <w:unhideWhenUsed/>
    <w:rsid w:val="004B5070"/>
    <w:rPr>
      <w:color w:val="605E5C"/>
      <w:shd w:val="clear" w:color="auto" w:fill="E1DFDD"/>
    </w:rPr>
  </w:style>
  <w:style w:type="character" w:customStyle="1" w:styleId="apple-converted-space">
    <w:name w:val="apple-converted-space"/>
    <w:basedOn w:val="DefaultParagraphFont"/>
    <w:rsid w:val="004B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6690">
      <w:bodyDiv w:val="1"/>
      <w:marLeft w:val="0"/>
      <w:marRight w:val="0"/>
      <w:marTop w:val="0"/>
      <w:marBottom w:val="0"/>
      <w:divBdr>
        <w:top w:val="none" w:sz="0" w:space="0" w:color="auto"/>
        <w:left w:val="none" w:sz="0" w:space="0" w:color="auto"/>
        <w:bottom w:val="none" w:sz="0" w:space="0" w:color="auto"/>
        <w:right w:val="none" w:sz="0" w:space="0" w:color="auto"/>
      </w:divBdr>
    </w:div>
    <w:div w:id="1038974022">
      <w:bodyDiv w:val="1"/>
      <w:marLeft w:val="0"/>
      <w:marRight w:val="0"/>
      <w:marTop w:val="0"/>
      <w:marBottom w:val="0"/>
      <w:divBdr>
        <w:top w:val="none" w:sz="0" w:space="0" w:color="auto"/>
        <w:left w:val="none" w:sz="0" w:space="0" w:color="auto"/>
        <w:bottom w:val="none" w:sz="0" w:space="0" w:color="auto"/>
        <w:right w:val="none" w:sz="0" w:space="0" w:color="auto"/>
      </w:divBdr>
    </w:div>
    <w:div w:id="11721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gaslink.com/whats-new/news-stories/2022/2022-03-10-indigenous-groups-sign-historic-equity-option-agreements-with-tc-energy-on-coastal-gaslink/" TargetMode="External"/><Relationship Id="rId3" Type="http://schemas.openxmlformats.org/officeDocument/2006/relationships/webSettings" Target="webSettings.xml"/><Relationship Id="rId7" Type="http://schemas.openxmlformats.org/officeDocument/2006/relationships/hyperlink" Target="https://www.coastalgaslink.com/sustainability/indigenous-rel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nergy.com/announcements/2023/2023-11-08-tc-energy-reports-strong-third-quarter-2023-operating-and-financial-results-and-achieves-mechanical-completion-on-coastal-gaslink-ahead-of/" TargetMode="External"/><Relationship Id="rId11" Type="http://schemas.openxmlformats.org/officeDocument/2006/relationships/fontTable" Target="fontTable.xml"/><Relationship Id="rId5" Type="http://schemas.openxmlformats.org/officeDocument/2006/relationships/hyperlink" Target="https://www.cbc.ca/newsinteractives/features/when-anarchists-attack" TargetMode="External"/><Relationship Id="rId10" Type="http://schemas.openxmlformats.org/officeDocument/2006/relationships/hyperlink" Target="https://www.tcenergy.com/" TargetMode="External"/><Relationship Id="rId4" Type="http://schemas.openxmlformats.org/officeDocument/2006/relationships/hyperlink" Target="https://bc-cb.rcmp-grc.gc.ca/ViewPage.action?siteNodeId=2136&amp;languageId=1&amp;contentId=78991&amp;detachmentDataId=43869" TargetMode="External"/><Relationship Id="rId9" Type="http://schemas.openxmlformats.org/officeDocument/2006/relationships/hyperlink" Target="mailto:media@tc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Na Kim</dc:creator>
  <cp:keywords/>
  <dc:description/>
  <cp:lastModifiedBy>Yoo Na Kim</cp:lastModifiedBy>
  <cp:revision>1</cp:revision>
  <dcterms:created xsi:type="dcterms:W3CDTF">2023-12-18T02:50:00Z</dcterms:created>
  <dcterms:modified xsi:type="dcterms:W3CDTF">2023-12-18T03:06:00Z</dcterms:modified>
</cp:coreProperties>
</file>