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B3" w:rsidRPr="009B2AAE" w:rsidRDefault="009B2AAE" w:rsidP="005B4E15">
      <w:pPr>
        <w:rPr>
          <w:rFonts w:asciiTheme="minorBidi" w:hAnsiTheme="minorBidi" w:cstheme="minorBidi"/>
          <w:b/>
          <w:bCs/>
          <w:sz w:val="22"/>
          <w:szCs w:val="22"/>
        </w:rPr>
      </w:pPr>
      <w:r w:rsidRPr="009B2AAE">
        <w:rPr>
          <w:rFonts w:asciiTheme="minorBidi" w:hAnsiTheme="minorBidi" w:cstheme="minorBidi"/>
          <w:b/>
          <w:bCs/>
          <w:sz w:val="22"/>
          <w:szCs w:val="22"/>
        </w:rPr>
        <w:t xml:space="preserve">Response by </w:t>
      </w:r>
      <w:r w:rsidR="005B4E15">
        <w:rPr>
          <w:rFonts w:asciiTheme="minorBidi" w:hAnsiTheme="minorBidi" w:cstheme="minorBidi"/>
          <w:b/>
          <w:bCs/>
          <w:sz w:val="22"/>
          <w:szCs w:val="22"/>
        </w:rPr>
        <w:t>AGL</w:t>
      </w:r>
      <w:r w:rsidRPr="009B2AAE">
        <w:rPr>
          <w:rFonts w:asciiTheme="minorBidi" w:hAnsiTheme="minorBidi" w:cstheme="minorBidi"/>
          <w:b/>
          <w:bCs/>
          <w:sz w:val="22"/>
          <w:szCs w:val="22"/>
        </w:rPr>
        <w:t xml:space="preserve"> – Sub-critical coal report</w:t>
      </w:r>
    </w:p>
    <w:p w:rsidR="009B2AAE" w:rsidRDefault="009B2AAE"/>
    <w:p w:rsidR="00510D14" w:rsidRPr="00510D14" w:rsidRDefault="00510D14" w:rsidP="005B4E15">
      <w:pPr>
        <w:rPr>
          <w:rFonts w:asciiTheme="minorBidi" w:eastAsia="Times New Roman" w:hAnsiTheme="minorBidi" w:cstheme="minorBidi"/>
          <w:i/>
          <w:iCs/>
          <w:sz w:val="21"/>
          <w:szCs w:val="21"/>
        </w:rPr>
      </w:pPr>
      <w:r w:rsidRPr="00510D14">
        <w:rPr>
          <w:rFonts w:asciiTheme="minorBidi" w:hAnsiTheme="minorBidi" w:cstheme="minorBidi"/>
          <w:i/>
          <w:iCs/>
          <w:sz w:val="21"/>
          <w:szCs w:val="21"/>
        </w:rPr>
        <w:t xml:space="preserve">Business &amp; Human Rights Resource Centre invited </w:t>
      </w:r>
      <w:r w:rsidR="005B4E15">
        <w:rPr>
          <w:rFonts w:asciiTheme="minorBidi" w:hAnsiTheme="minorBidi" w:cstheme="minorBidi"/>
          <w:i/>
          <w:iCs/>
          <w:sz w:val="21"/>
          <w:szCs w:val="21"/>
        </w:rPr>
        <w:t>AGL to respond to its ranking in 19</w:t>
      </w:r>
      <w:r w:rsidRPr="00510D14">
        <w:rPr>
          <w:rFonts w:asciiTheme="minorBidi" w:hAnsiTheme="minorBidi" w:cstheme="minorBidi"/>
          <w:i/>
          <w:iCs/>
          <w:sz w:val="21"/>
          <w:szCs w:val="21"/>
          <w:vertAlign w:val="superscript"/>
        </w:rPr>
        <w:t>th</w:t>
      </w:r>
      <w:r w:rsidRPr="00510D14">
        <w:rPr>
          <w:rFonts w:asciiTheme="minorBidi" w:hAnsiTheme="minorBidi" w:cstheme="minorBidi"/>
          <w:i/>
          <w:iCs/>
          <w:sz w:val="21"/>
          <w:szCs w:val="21"/>
        </w:rPr>
        <w:t xml:space="preserve"> place in </w:t>
      </w:r>
      <w:hyperlink r:id="rId5" w:history="1">
        <w:r w:rsidRPr="00510D14">
          <w:rPr>
            <w:rStyle w:val="Hyperlink"/>
            <w:rFonts w:asciiTheme="minorBidi" w:hAnsiTheme="minorBidi" w:cstheme="minorBidi"/>
            <w:i/>
            <w:iCs/>
            <w:sz w:val="21"/>
            <w:szCs w:val="21"/>
          </w:rPr>
          <w:t>a report</w:t>
        </w:r>
      </w:hyperlink>
      <w:r w:rsidRPr="00510D14">
        <w:rPr>
          <w:rFonts w:asciiTheme="minorBidi" w:hAnsiTheme="minorBidi" w:cstheme="minorBidi"/>
          <w:i/>
          <w:iCs/>
          <w:sz w:val="21"/>
          <w:szCs w:val="21"/>
        </w:rPr>
        <w:t xml:space="preserve"> by the Smith School of Enterprise and Environment (Oxford University</w:t>
      </w:r>
      <w:r>
        <w:rPr>
          <w:rFonts w:asciiTheme="minorBidi" w:hAnsiTheme="minorBidi" w:cstheme="minorBidi"/>
          <w:i/>
          <w:iCs/>
          <w:sz w:val="21"/>
          <w:szCs w:val="21"/>
        </w:rPr>
        <w:t>) on energy-generation from sub</w:t>
      </w:r>
      <w:r w:rsidRPr="00510D14">
        <w:rPr>
          <w:rFonts w:asciiTheme="minorBidi" w:hAnsiTheme="minorBidi" w:cstheme="minorBidi"/>
          <w:i/>
          <w:iCs/>
          <w:sz w:val="21"/>
          <w:szCs w:val="21"/>
        </w:rPr>
        <w:t>critical coal.  The report describes subcritical as “t</w:t>
      </w:r>
      <w:r w:rsidRPr="00510D14">
        <w:rPr>
          <w:rFonts w:asciiTheme="minorBidi" w:eastAsia="Times New Roman" w:hAnsiTheme="minorBidi" w:cstheme="minorBidi"/>
          <w:i/>
          <w:iCs/>
          <w:sz w:val="21"/>
          <w:szCs w:val="21"/>
        </w:rPr>
        <w:t xml:space="preserve">he least efficient and most polluting form of coal-fired generation.”  </w:t>
      </w:r>
    </w:p>
    <w:p w:rsidR="00510D14" w:rsidRPr="00510D14" w:rsidRDefault="00510D14" w:rsidP="00510D14">
      <w:pPr>
        <w:rPr>
          <w:rFonts w:asciiTheme="minorBidi" w:eastAsia="Times New Roman" w:hAnsiTheme="minorBidi" w:cstheme="minorBidi"/>
          <w:i/>
          <w:iCs/>
          <w:sz w:val="21"/>
          <w:szCs w:val="21"/>
        </w:rPr>
      </w:pPr>
    </w:p>
    <w:p w:rsidR="00510D14" w:rsidRPr="00510D14" w:rsidRDefault="00510D14" w:rsidP="00510D14">
      <w:pPr>
        <w:rPr>
          <w:rFonts w:asciiTheme="minorBidi" w:eastAsia="Times New Roman" w:hAnsiTheme="minorBidi" w:cstheme="minorBidi"/>
          <w:i/>
          <w:iCs/>
          <w:sz w:val="21"/>
          <w:szCs w:val="21"/>
        </w:rPr>
      </w:pPr>
      <w:r w:rsidRPr="00510D14">
        <w:rPr>
          <w:rFonts w:asciiTheme="minorBidi" w:eastAsia="Times New Roman" w:hAnsiTheme="minorBidi" w:cstheme="minorBidi"/>
          <w:i/>
          <w:iCs/>
          <w:sz w:val="21"/>
          <w:szCs w:val="21"/>
        </w:rPr>
        <w:t xml:space="preserve">Specifically, we asked: </w:t>
      </w:r>
    </w:p>
    <w:p w:rsidR="00510D14" w:rsidRPr="00510D14" w:rsidRDefault="00510D14" w:rsidP="00510D14">
      <w:pPr>
        <w:rPr>
          <w:rFonts w:asciiTheme="minorBidi" w:eastAsia="Times New Roman" w:hAnsiTheme="minorBidi" w:cstheme="minorBidi"/>
          <w:i/>
          <w:iCs/>
          <w:sz w:val="21"/>
          <w:szCs w:val="21"/>
        </w:rPr>
      </w:pPr>
    </w:p>
    <w:p w:rsidR="00510D14" w:rsidRDefault="00510D14" w:rsidP="00510D14">
      <w:pPr>
        <w:pStyle w:val="ListParagraph"/>
        <w:numPr>
          <w:ilvl w:val="0"/>
          <w:numId w:val="1"/>
        </w:numPr>
        <w:rPr>
          <w:rFonts w:asciiTheme="minorBidi" w:hAnsiTheme="minorBidi" w:cstheme="minorBidi"/>
          <w:i/>
          <w:iCs/>
          <w:sz w:val="21"/>
          <w:szCs w:val="21"/>
        </w:rPr>
      </w:pPr>
      <w:r w:rsidRPr="00510D14">
        <w:rPr>
          <w:rFonts w:asciiTheme="minorBidi" w:hAnsiTheme="minorBidi" w:cstheme="minorBidi"/>
          <w:i/>
          <w:iCs/>
          <w:sz w:val="21"/>
          <w:szCs w:val="21"/>
        </w:rPr>
        <w:t>What steps is your company taking to avoid harm to human rights (such as impacts on health, access to water and climate change) from operation of its sub-critical pow</w:t>
      </w:r>
      <w:r>
        <w:rPr>
          <w:rFonts w:asciiTheme="minorBidi" w:hAnsiTheme="minorBidi" w:cstheme="minorBidi"/>
          <w:i/>
          <w:iCs/>
          <w:sz w:val="21"/>
          <w:szCs w:val="21"/>
        </w:rPr>
        <w:t>er stations?</w:t>
      </w:r>
    </w:p>
    <w:p w:rsidR="00510D14" w:rsidRPr="00510D14" w:rsidRDefault="00510D14" w:rsidP="00510D14">
      <w:pPr>
        <w:pStyle w:val="ListParagraph"/>
        <w:numPr>
          <w:ilvl w:val="0"/>
          <w:numId w:val="1"/>
        </w:numPr>
        <w:rPr>
          <w:rFonts w:asciiTheme="minorBidi" w:hAnsiTheme="minorBidi" w:cstheme="minorBidi"/>
          <w:i/>
          <w:iCs/>
          <w:sz w:val="21"/>
          <w:szCs w:val="21"/>
        </w:rPr>
      </w:pPr>
      <w:r w:rsidRPr="00510D14">
        <w:rPr>
          <w:rFonts w:asciiTheme="minorBidi" w:hAnsiTheme="minorBidi" w:cstheme="minorBidi"/>
          <w:i/>
          <w:iCs/>
          <w:sz w:val="21"/>
          <w:szCs w:val="21"/>
        </w:rPr>
        <w:t>Does your company have a plan to reduce or eliminate emissions from sub-critical coal plants?</w:t>
      </w:r>
    </w:p>
    <w:p w:rsidR="00510D14" w:rsidRPr="00510D14" w:rsidRDefault="00510D14" w:rsidP="00510D14">
      <w:pPr>
        <w:rPr>
          <w:rFonts w:asciiTheme="minorBidi" w:hAnsiTheme="minorBidi" w:cstheme="minorBidi"/>
          <w:i/>
          <w:iCs/>
          <w:sz w:val="21"/>
          <w:szCs w:val="21"/>
        </w:rPr>
      </w:pPr>
    </w:p>
    <w:p w:rsidR="00510D14" w:rsidRPr="00510D14" w:rsidRDefault="00510D14" w:rsidP="00510D14">
      <w:pPr>
        <w:rPr>
          <w:rFonts w:asciiTheme="minorBidi" w:eastAsia="Times New Roman" w:hAnsiTheme="minorBidi" w:cstheme="minorBidi"/>
          <w:i/>
          <w:iCs/>
          <w:sz w:val="21"/>
          <w:szCs w:val="21"/>
        </w:rPr>
      </w:pPr>
      <w:r w:rsidRPr="00510D14">
        <w:rPr>
          <w:rFonts w:asciiTheme="minorBidi" w:hAnsiTheme="minorBidi" w:cstheme="minorBidi"/>
          <w:i/>
          <w:iCs/>
          <w:sz w:val="21"/>
          <w:szCs w:val="21"/>
        </w:rPr>
        <w:t>As well as 4 additional questions from the report authors, available on page 14 of the report.</w:t>
      </w:r>
    </w:p>
    <w:p w:rsidR="00510D14" w:rsidRPr="00510D14" w:rsidRDefault="00510D14" w:rsidP="00510D14">
      <w:pPr>
        <w:rPr>
          <w:rFonts w:asciiTheme="minorBidi" w:eastAsia="Times New Roman" w:hAnsiTheme="minorBidi" w:cstheme="minorBidi"/>
          <w:i/>
          <w:iCs/>
          <w:sz w:val="21"/>
          <w:szCs w:val="21"/>
        </w:rPr>
      </w:pPr>
    </w:p>
    <w:p w:rsidR="00510D14" w:rsidRPr="00510D14" w:rsidRDefault="00510D14" w:rsidP="00510D14">
      <w:pPr>
        <w:rPr>
          <w:rFonts w:asciiTheme="minorBidi" w:eastAsia="Times New Roman" w:hAnsiTheme="minorBidi" w:cstheme="minorBidi"/>
          <w:i/>
          <w:iCs/>
          <w:sz w:val="21"/>
          <w:szCs w:val="21"/>
        </w:rPr>
      </w:pPr>
      <w:r w:rsidRPr="00510D14">
        <w:rPr>
          <w:rFonts w:asciiTheme="minorBidi" w:eastAsia="Times New Roman" w:hAnsiTheme="minorBidi" w:cstheme="minorBidi"/>
          <w:i/>
          <w:iCs/>
          <w:sz w:val="21"/>
          <w:szCs w:val="21"/>
        </w:rPr>
        <w:t xml:space="preserve">Responses and non-responses by other companies ranked within the top 20 </w:t>
      </w:r>
      <w:hyperlink r:id="rId6" w:history="1">
        <w:r w:rsidRPr="00510D14">
          <w:rPr>
            <w:rStyle w:val="Hyperlink"/>
            <w:rFonts w:asciiTheme="minorBidi" w:eastAsia="Times New Roman" w:hAnsiTheme="minorBidi" w:cstheme="minorBidi"/>
            <w:i/>
            <w:iCs/>
            <w:sz w:val="21"/>
            <w:szCs w:val="21"/>
          </w:rPr>
          <w:t>are here</w:t>
        </w:r>
      </w:hyperlink>
      <w:r w:rsidRPr="00510D14">
        <w:rPr>
          <w:rFonts w:asciiTheme="minorBidi" w:eastAsia="Times New Roman" w:hAnsiTheme="minorBidi" w:cstheme="minorBidi"/>
          <w:i/>
          <w:iCs/>
          <w:sz w:val="21"/>
          <w:szCs w:val="21"/>
        </w:rPr>
        <w:t xml:space="preserve">. </w:t>
      </w:r>
    </w:p>
    <w:p w:rsidR="00510D14" w:rsidRDefault="00510D14" w:rsidP="00510D14"/>
    <w:p w:rsidR="009B2AAE" w:rsidRDefault="005B4E15" w:rsidP="00510D14">
      <w:pPr>
        <w:rPr>
          <w:rFonts w:asciiTheme="minorBidi" w:hAnsiTheme="minorBidi" w:cstheme="minorBidi"/>
          <w:b/>
          <w:bCs/>
          <w:sz w:val="22"/>
          <w:szCs w:val="22"/>
        </w:rPr>
      </w:pPr>
      <w:r>
        <w:rPr>
          <w:rFonts w:asciiTheme="minorBidi" w:hAnsiTheme="minorBidi" w:cstheme="minorBidi"/>
          <w:b/>
          <w:bCs/>
          <w:sz w:val="22"/>
          <w:szCs w:val="22"/>
        </w:rPr>
        <w:t>AGL response, 27 March 2015</w:t>
      </w:r>
    </w:p>
    <w:p w:rsidR="005B4E15" w:rsidRPr="005B4E15" w:rsidRDefault="005B4E15" w:rsidP="005B4E15">
      <w:pPr>
        <w:spacing w:before="100" w:beforeAutospacing="1" w:after="100" w:afterAutospacing="1"/>
        <w:ind w:left="450"/>
        <w:rPr>
          <w:rFonts w:ascii="Arial" w:hAnsi="Arial" w:cs="Arial"/>
          <w:sz w:val="21"/>
          <w:szCs w:val="21"/>
          <w:lang w:val="en-AU" w:eastAsia="ja-JP"/>
        </w:rPr>
      </w:pPr>
      <w:r w:rsidRPr="005B4E15">
        <w:rPr>
          <w:rFonts w:ascii="Arial" w:hAnsi="Arial" w:cs="Arial"/>
          <w:sz w:val="21"/>
          <w:szCs w:val="21"/>
          <w:lang w:val="en-AU" w:eastAsia="ja-JP"/>
        </w:rPr>
        <w:t>Climate change and greenhouse gas GHG emission reductions are a long term challenge requiring long term and lasting solutions.  Currently, Australians depend on coal for reliable and affordable energy but there is increasing uptake of new technologies such as solar PV and other renewables. AGL Energy Limited (AGL) recognises that as a large emitter we have a key role to play in seeking to reduce our emissions over time.</w:t>
      </w:r>
    </w:p>
    <w:p w:rsidR="005B4E15" w:rsidRPr="005B4E15" w:rsidRDefault="005B4E15" w:rsidP="005B4E15">
      <w:pPr>
        <w:spacing w:before="100" w:beforeAutospacing="1" w:after="100" w:afterAutospacing="1"/>
        <w:ind w:left="450"/>
        <w:rPr>
          <w:rFonts w:ascii="Arial" w:hAnsi="Arial" w:cs="Arial"/>
          <w:sz w:val="21"/>
          <w:szCs w:val="21"/>
          <w:lang w:val="en-AU" w:eastAsia="ja-JP"/>
        </w:rPr>
      </w:pPr>
      <w:r w:rsidRPr="005B4E15">
        <w:rPr>
          <w:rFonts w:ascii="Arial" w:hAnsi="Arial" w:cs="Arial"/>
          <w:sz w:val="21"/>
          <w:szCs w:val="21"/>
          <w:lang w:val="en-AU" w:eastAsia="ja-JP"/>
        </w:rPr>
        <w:t>AGL has a range of programs and policies in place to reduce its GHG emissions, including improving the GHG efficiency of our operations and those which we have an influence on.</w:t>
      </w:r>
    </w:p>
    <w:p w:rsidR="005B4E15" w:rsidRPr="005B4E15" w:rsidRDefault="005B4E15" w:rsidP="005B4E15">
      <w:pPr>
        <w:spacing w:before="100" w:beforeAutospacing="1" w:after="100" w:afterAutospacing="1"/>
        <w:ind w:left="450"/>
        <w:rPr>
          <w:rFonts w:ascii="Arial" w:hAnsi="Arial" w:cs="Arial"/>
          <w:sz w:val="21"/>
          <w:szCs w:val="21"/>
          <w:lang w:val="en-AU" w:eastAsia="ja-JP"/>
        </w:rPr>
      </w:pPr>
      <w:r w:rsidRPr="005B4E15">
        <w:rPr>
          <w:rFonts w:ascii="Arial" w:hAnsi="Arial" w:cs="Arial"/>
          <w:sz w:val="21"/>
          <w:szCs w:val="21"/>
          <w:lang w:val="en-AU" w:eastAsia="ja-JP"/>
        </w:rPr>
        <w:t>Our emissions profile is balanced by 1,766 MW of renewable generation capacity, 17 percent of the total generation portfolio, making AGL the largest ASX listed owner, operator and developer of renewable energy generation in the country.  Last year alone AGL’s renewable portfolio was responsible for the abatement of 3.4 million tonnes of greenhouse gas emissions.</w:t>
      </w:r>
    </w:p>
    <w:p w:rsidR="005B4E15" w:rsidRPr="005B4E15" w:rsidRDefault="005B4E15" w:rsidP="005B4E15">
      <w:pPr>
        <w:spacing w:before="100" w:beforeAutospacing="1" w:after="100" w:afterAutospacing="1"/>
        <w:ind w:left="450"/>
        <w:rPr>
          <w:rFonts w:ascii="Arial" w:hAnsi="Arial" w:cs="Arial"/>
          <w:sz w:val="21"/>
          <w:szCs w:val="21"/>
          <w:lang w:val="en-AU" w:eastAsia="ja-JP"/>
        </w:rPr>
      </w:pPr>
      <w:r w:rsidRPr="005B4E15">
        <w:rPr>
          <w:rFonts w:ascii="Arial" w:hAnsi="Arial" w:cs="Arial"/>
          <w:sz w:val="21"/>
          <w:szCs w:val="21"/>
          <w:lang w:val="en-AU" w:eastAsia="ja-JP"/>
        </w:rPr>
        <w:t>With investments in renewables of over $3 billion, AGL’s fleet of renewable assets will increase further when the 102 MW Nyngan and 53 MW Broken Hill solar plants in western New South Wa</w:t>
      </w:r>
      <w:r w:rsidRPr="005B4E15">
        <w:rPr>
          <w:rFonts w:ascii="Arial" w:hAnsi="Arial" w:cs="Arial"/>
          <w:sz w:val="21"/>
          <w:szCs w:val="21"/>
          <w:lang w:val="en-AU" w:eastAsia="ja-JP"/>
        </w:rPr>
        <w:t>les are commissioned this year.</w:t>
      </w:r>
    </w:p>
    <w:p w:rsidR="009B2AAE" w:rsidRPr="005B4E15" w:rsidRDefault="009B2AAE">
      <w:pPr>
        <w:rPr>
          <w:lang w:val="en-AU"/>
        </w:rPr>
      </w:pPr>
      <w:bookmarkStart w:id="0" w:name="_GoBack"/>
      <w:bookmarkEnd w:id="0"/>
    </w:p>
    <w:sectPr w:rsidR="009B2AAE" w:rsidRPr="005B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B7B90"/>
    <w:multiLevelType w:val="hybridMultilevel"/>
    <w:tmpl w:val="33A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AE"/>
    <w:rsid w:val="003108E5"/>
    <w:rsid w:val="00510D14"/>
    <w:rsid w:val="005859B3"/>
    <w:rsid w:val="005B4E15"/>
    <w:rsid w:val="00642D4C"/>
    <w:rsid w:val="006D470D"/>
    <w:rsid w:val="009B2AAE"/>
    <w:rsid w:val="00DF1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4CC28-94CB-4BEF-A739-DE9FCB36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A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AAE"/>
    <w:rPr>
      <w:color w:val="0000FF"/>
      <w:u w:val="single"/>
    </w:rPr>
  </w:style>
  <w:style w:type="paragraph" w:styleId="ListParagraph">
    <w:name w:val="List Paragraph"/>
    <w:basedOn w:val="Normal"/>
    <w:uiPriority w:val="34"/>
    <w:qFormat/>
    <w:rsid w:val="0051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4297">
      <w:bodyDiv w:val="1"/>
      <w:marLeft w:val="0"/>
      <w:marRight w:val="0"/>
      <w:marTop w:val="0"/>
      <w:marBottom w:val="0"/>
      <w:divBdr>
        <w:top w:val="none" w:sz="0" w:space="0" w:color="auto"/>
        <w:left w:val="none" w:sz="0" w:space="0" w:color="auto"/>
        <w:bottom w:val="none" w:sz="0" w:space="0" w:color="auto"/>
        <w:right w:val="none" w:sz="0" w:space="0" w:color="auto"/>
      </w:divBdr>
      <w:divsChild>
        <w:div w:id="873273495">
          <w:marLeft w:val="0"/>
          <w:marRight w:val="0"/>
          <w:marTop w:val="0"/>
          <w:marBottom w:val="0"/>
          <w:divBdr>
            <w:top w:val="none" w:sz="0" w:space="0" w:color="auto"/>
            <w:left w:val="none" w:sz="0" w:space="0" w:color="auto"/>
            <w:bottom w:val="none" w:sz="0" w:space="0" w:color="auto"/>
            <w:right w:val="none" w:sz="0" w:space="0" w:color="auto"/>
          </w:divBdr>
        </w:div>
        <w:div w:id="1679430194">
          <w:marLeft w:val="0"/>
          <w:marRight w:val="0"/>
          <w:marTop w:val="0"/>
          <w:marBottom w:val="0"/>
          <w:divBdr>
            <w:top w:val="none" w:sz="0" w:space="0" w:color="auto"/>
            <w:left w:val="none" w:sz="0" w:space="0" w:color="auto"/>
            <w:bottom w:val="none" w:sz="0" w:space="0" w:color="auto"/>
            <w:right w:val="none" w:sz="0" w:space="0" w:color="auto"/>
          </w:divBdr>
        </w:div>
      </w:divsChild>
    </w:div>
    <w:div w:id="691541346">
      <w:bodyDiv w:val="1"/>
      <w:marLeft w:val="0"/>
      <w:marRight w:val="0"/>
      <w:marTop w:val="0"/>
      <w:marBottom w:val="0"/>
      <w:divBdr>
        <w:top w:val="none" w:sz="0" w:space="0" w:color="auto"/>
        <w:left w:val="none" w:sz="0" w:space="0" w:color="auto"/>
        <w:bottom w:val="none" w:sz="0" w:space="0" w:color="auto"/>
        <w:right w:val="none" w:sz="0" w:space="0" w:color="auto"/>
      </w:divBdr>
    </w:div>
    <w:div w:id="943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iness-humanrights.org/en/subcritical-coal-engaging-the-top-20-companies-on-climate-human-rights" TargetMode="External"/><Relationship Id="rId5" Type="http://schemas.openxmlformats.org/officeDocument/2006/relationships/hyperlink" Target="http://www.smithschool.ox.ac.uk/research-programmes/stranded-assets/Stranded%20Assets%20and%20Subcritcial%20Coal%20-%20The%20Risk%20to%20Investors%20and%20Companies%20-%20mid%20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4</cp:revision>
  <dcterms:created xsi:type="dcterms:W3CDTF">2015-04-06T16:57:00Z</dcterms:created>
  <dcterms:modified xsi:type="dcterms:W3CDTF">2015-04-06T16:59:00Z</dcterms:modified>
</cp:coreProperties>
</file>