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E9F" w:rsidRDefault="003F6E9F" w:rsidP="003F6E9F">
      <w:pPr>
        <w:pStyle w:val="Heading2"/>
        <w:rPr>
          <w:rFonts w:ascii="Arial" w:eastAsia="Times New Roman" w:hAnsi="Arial" w:cs="Arial"/>
          <w:sz w:val="20"/>
          <w:szCs w:val="20"/>
        </w:rPr>
      </w:pPr>
      <w:hyperlink r:id="rId4" w:history="1">
        <w:r>
          <w:rPr>
            <w:rStyle w:val="Hyperlink"/>
            <w:rFonts w:ascii="Arial" w:eastAsia="Times New Roman" w:hAnsi="Arial" w:cs="Arial"/>
            <w:sz w:val="20"/>
            <w:szCs w:val="20"/>
          </w:rPr>
          <w:t>Glencore response &amp; statement on repeal of transparency regulations under US Dodd-Frank Act section 1504</w:t>
        </w:r>
      </w:hyperlink>
    </w:p>
    <w:p w:rsidR="003F6E9F" w:rsidRDefault="003F6E9F" w:rsidP="003F6E9F">
      <w:pPr>
        <w:pStyle w:val="NormalWeb"/>
        <w:rPr>
          <w:rFonts w:ascii="Arial" w:hAnsi="Arial" w:cs="Arial"/>
          <w:sz w:val="20"/>
          <w:szCs w:val="20"/>
        </w:rPr>
      </w:pPr>
      <w:r>
        <w:rPr>
          <w:rFonts w:ascii="Arial" w:hAnsi="Arial" w:cs="Arial"/>
          <w:sz w:val="20"/>
          <w:szCs w:val="20"/>
        </w:rPr>
        <w:t>We note that Glencore is identified in Publish What You Pay Global Coalition’s open message to US-listed EITI companies. While Glencore is not listed in the US and not required to report under the Dodd Frank Act 2010, Section 1504, we are strong supporters of transparency around payments made to governments in resource producing countries.</w:t>
      </w:r>
    </w:p>
    <w:p w:rsidR="003F6E9F" w:rsidRDefault="003F6E9F" w:rsidP="003F6E9F">
      <w:pPr>
        <w:pStyle w:val="NormalWeb"/>
        <w:rPr>
          <w:rFonts w:ascii="Arial" w:hAnsi="Arial" w:cs="Arial"/>
          <w:sz w:val="20"/>
          <w:szCs w:val="20"/>
        </w:rPr>
      </w:pPr>
      <w:r>
        <w:rPr>
          <w:rFonts w:ascii="Arial" w:hAnsi="Arial" w:cs="Arial"/>
          <w:sz w:val="20"/>
          <w:szCs w:val="20"/>
        </w:rPr>
        <w:t xml:space="preserve">In line with the requirements of Chapter 10 of the EU Accounting Directive, we produce </w:t>
      </w:r>
      <w:hyperlink r:id="rId5" w:tgtFrame="_blank" w:history="1">
        <w:r>
          <w:rPr>
            <w:rStyle w:val="Hyperlink"/>
            <w:rFonts w:ascii="Arial" w:hAnsi="Arial" w:cs="Arial"/>
            <w:sz w:val="20"/>
            <w:szCs w:val="20"/>
          </w:rPr>
          <w:t>annual reports</w:t>
        </w:r>
      </w:hyperlink>
      <w:r>
        <w:rPr>
          <w:rFonts w:ascii="Arial" w:hAnsi="Arial" w:cs="Arial"/>
          <w:sz w:val="20"/>
          <w:szCs w:val="20"/>
        </w:rPr>
        <w:t> on payments to governments and on our economic contribution.</w:t>
      </w:r>
    </w:p>
    <w:p w:rsidR="003D48EB" w:rsidRPr="003F6E9F" w:rsidRDefault="003F6E9F" w:rsidP="003F6E9F">
      <w:pPr>
        <w:pStyle w:val="NormalWeb"/>
        <w:rPr>
          <w:rFonts w:ascii="Arial" w:hAnsi="Arial" w:cs="Arial"/>
          <w:sz w:val="20"/>
          <w:szCs w:val="20"/>
        </w:rPr>
      </w:pPr>
      <w:r>
        <w:rPr>
          <w:rFonts w:ascii="Arial" w:hAnsi="Arial" w:cs="Arial"/>
          <w:sz w:val="20"/>
          <w:szCs w:val="20"/>
        </w:rPr>
        <w:t>Glencore is a supporter of the Extractive Industries Transparency Initiative (EITI), and participates in EITI’s activities in the countries in which we operate. </w:t>
      </w:r>
      <w:bookmarkStart w:id="0" w:name="_GoBack"/>
      <w:bookmarkEnd w:id="0"/>
    </w:p>
    <w:sectPr w:rsidR="003D48EB" w:rsidRPr="003F6E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9F"/>
    <w:rsid w:val="003D48EB"/>
    <w:rsid w:val="003F6E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2C7A4-4A58-4614-BD24-745C4A52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semiHidden/>
    <w:unhideWhenUsed/>
    <w:qFormat/>
    <w:rsid w:val="003F6E9F"/>
    <w:pPr>
      <w:spacing w:before="100" w:beforeAutospacing="1" w:after="100" w:afterAutospacing="1" w:line="240" w:lineRule="auto"/>
      <w:outlineLvl w:val="1"/>
    </w:pPr>
    <w:rPr>
      <w:rFonts w:ascii="Times New Roman" w:eastAsia="Calibri"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F6E9F"/>
    <w:rPr>
      <w:rFonts w:ascii="Times New Roman" w:eastAsia="Calibri" w:hAnsi="Times New Roman" w:cs="Times New Roman"/>
      <w:b/>
      <w:bCs/>
      <w:sz w:val="36"/>
      <w:szCs w:val="36"/>
      <w:lang w:eastAsia="en-GB"/>
    </w:rPr>
  </w:style>
  <w:style w:type="character" w:styleId="Hyperlink">
    <w:name w:val="Hyperlink"/>
    <w:basedOn w:val="DefaultParagraphFont"/>
    <w:uiPriority w:val="99"/>
    <w:semiHidden/>
    <w:unhideWhenUsed/>
    <w:rsid w:val="003F6E9F"/>
    <w:rPr>
      <w:color w:val="0000FF"/>
      <w:u w:val="single"/>
    </w:rPr>
  </w:style>
  <w:style w:type="paragraph" w:styleId="NormalWeb">
    <w:name w:val="Normal (Web)"/>
    <w:basedOn w:val="Normal"/>
    <w:uiPriority w:val="99"/>
    <w:unhideWhenUsed/>
    <w:rsid w:val="003F6E9F"/>
    <w:pPr>
      <w:spacing w:before="100" w:beforeAutospacing="1" w:after="100" w:afterAutospacing="1" w:line="240" w:lineRule="auto"/>
    </w:pPr>
    <w:rPr>
      <w:rFonts w:ascii="Times New Roman" w:eastAsia="Calibri" w:hAnsi="Times New Roman" w:cs="Times New Roman"/>
      <w:sz w:val="24"/>
      <w:szCs w:val="24"/>
      <w:lang w:eastAsia="en-GB"/>
    </w:rPr>
  </w:style>
  <w:style w:type="character" w:styleId="Strong">
    <w:name w:val="Strong"/>
    <w:basedOn w:val="DefaultParagraphFont"/>
    <w:uiPriority w:val="22"/>
    <w:qFormat/>
    <w:rsid w:val="003F6E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1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lencore.com/assets/sustainability/doc/sd_reports/GLEN-Payments-to-Government-2015.pdf" TargetMode="External"/><Relationship Id="rId4" Type="http://schemas.openxmlformats.org/officeDocument/2006/relationships/hyperlink" Target="https://business-humanrights.org/en/glencore-response-statement-on-repeal-of-transparency-regulations-under-us-dodd-frank-act-section-15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Eniko Horvath</dc:creator>
  <cp:keywords/>
  <dc:description/>
  <cp:lastModifiedBy>Eniko Horvath</cp:lastModifiedBy>
  <cp:revision>1</cp:revision>
  <dcterms:created xsi:type="dcterms:W3CDTF">2017-02-20T23:01:00Z</dcterms:created>
  <dcterms:modified xsi:type="dcterms:W3CDTF">2017-02-20T23:02:00Z</dcterms:modified>
</cp:coreProperties>
</file>