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D7E8" w14:textId="77777777" w:rsidR="00EB555B" w:rsidRPr="0092354F" w:rsidRDefault="00477FEE" w:rsidP="00A44C2F">
      <w:pPr>
        <w:jc w:val="center"/>
        <w:rPr>
          <w:rFonts w:ascii="Calibri" w:hAnsi="Calibri"/>
          <w:b/>
          <w:sz w:val="24"/>
          <w:szCs w:val="24"/>
          <w:lang w:val="cy-GB"/>
        </w:rPr>
      </w:pPr>
      <w:r w:rsidRPr="0092354F">
        <w:rPr>
          <w:rFonts w:ascii="Calibri" w:hAnsi="Calibri"/>
          <w:b/>
          <w:noProof/>
          <w:sz w:val="24"/>
          <w:szCs w:val="24"/>
          <w:lang w:val="en-US"/>
        </w:rPr>
        <w:drawing>
          <wp:inline distT="0" distB="0" distL="0" distR="0" wp14:anchorId="501FF3FC" wp14:editId="74DFFADD">
            <wp:extent cx="1390650" cy="1371600"/>
            <wp:effectExtent l="19050" t="0" r="0" b="0"/>
            <wp:docPr id="4" name="Picture 4" descr="Q:\Shared\STANDARD  MRG  DOCUMENTS (Letterhead, Fax, Contracts, Forms, Invoice, Logo, visit &amp; eval plans)\Logos\MRG_logo_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hared\STANDARD  MRG  DOCUMENTS (Letterhead, Fax, Contracts, Forms, Invoice, Logo, visit &amp; eval plans)\Logos\MRG_logo_cmyk JPEG.jpg"/>
                    <pic:cNvPicPr>
                      <a:picLocks noChangeAspect="1" noChangeArrowheads="1"/>
                    </pic:cNvPicPr>
                  </pic:nvPicPr>
                  <pic:blipFill>
                    <a:blip r:embed="rId9" cstate="print"/>
                    <a:srcRect/>
                    <a:stretch>
                      <a:fillRect/>
                    </a:stretch>
                  </pic:blipFill>
                  <pic:spPr bwMode="auto">
                    <a:xfrm>
                      <a:off x="0" y="0"/>
                      <a:ext cx="1390650" cy="1371600"/>
                    </a:xfrm>
                    <a:prstGeom prst="rect">
                      <a:avLst/>
                    </a:prstGeom>
                    <a:noFill/>
                    <a:ln w="9525">
                      <a:noFill/>
                      <a:miter lim="800000"/>
                      <a:headEnd/>
                      <a:tailEnd/>
                    </a:ln>
                  </pic:spPr>
                </pic:pic>
              </a:graphicData>
            </a:graphic>
          </wp:inline>
        </w:drawing>
      </w:r>
      <w:r w:rsidRPr="0092354F">
        <w:rPr>
          <w:rFonts w:ascii="Calibri" w:hAnsi="Calibri"/>
          <w:b/>
          <w:sz w:val="24"/>
          <w:szCs w:val="24"/>
          <w:lang w:val="cy-GB"/>
        </w:rPr>
        <w:t xml:space="preserve">                                                  </w:t>
      </w:r>
      <w:r w:rsidRPr="0092354F">
        <w:rPr>
          <w:rFonts w:ascii="Calibri" w:hAnsi="Calibri"/>
          <w:b/>
          <w:noProof/>
          <w:sz w:val="24"/>
          <w:szCs w:val="24"/>
          <w:lang w:val="en-US"/>
        </w:rPr>
        <w:drawing>
          <wp:inline distT="0" distB="0" distL="0" distR="0" wp14:anchorId="4FA7D4D7" wp14:editId="749D0CF3">
            <wp:extent cx="1971040" cy="452120"/>
            <wp:effectExtent l="0" t="0" r="10160"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452120"/>
                    </a:xfrm>
                    <a:prstGeom prst="rect">
                      <a:avLst/>
                    </a:prstGeom>
                    <a:noFill/>
                    <a:ln>
                      <a:noFill/>
                    </a:ln>
                  </pic:spPr>
                </pic:pic>
              </a:graphicData>
            </a:graphic>
          </wp:inline>
        </w:drawing>
      </w:r>
    </w:p>
    <w:p w14:paraId="3326D79E" w14:textId="77777777" w:rsidR="008902D6" w:rsidRPr="0092354F" w:rsidRDefault="008902D6" w:rsidP="00A44C2F">
      <w:pPr>
        <w:jc w:val="center"/>
        <w:rPr>
          <w:rFonts w:ascii="Calibri" w:hAnsi="Calibri"/>
          <w:b/>
          <w:sz w:val="24"/>
          <w:szCs w:val="24"/>
          <w:lang w:val="cy-GB"/>
        </w:rPr>
      </w:pPr>
    </w:p>
    <w:p w14:paraId="742A9772" w14:textId="77777777" w:rsidR="001777FC" w:rsidRPr="0092354F" w:rsidRDefault="005B0E2D" w:rsidP="006D55E1">
      <w:pPr>
        <w:jc w:val="center"/>
        <w:outlineLvl w:val="0"/>
        <w:rPr>
          <w:rFonts w:ascii="Calibri" w:hAnsi="Calibri"/>
          <w:b/>
          <w:sz w:val="24"/>
          <w:szCs w:val="24"/>
          <w:lang w:val="cy-GB"/>
        </w:rPr>
      </w:pPr>
      <w:r w:rsidRPr="0092354F">
        <w:rPr>
          <w:rFonts w:ascii="Calibri" w:hAnsi="Calibri"/>
          <w:b/>
          <w:sz w:val="24"/>
          <w:szCs w:val="24"/>
          <w:lang w:val="cy-GB"/>
        </w:rPr>
        <w:t xml:space="preserve">February 2016 </w:t>
      </w:r>
      <w:r w:rsidR="00162EDC" w:rsidRPr="0092354F">
        <w:rPr>
          <w:rFonts w:ascii="Calibri" w:hAnsi="Calibri"/>
          <w:b/>
          <w:sz w:val="24"/>
          <w:szCs w:val="24"/>
          <w:lang w:val="cy-GB"/>
        </w:rPr>
        <w:t>Consultation</w:t>
      </w:r>
    </w:p>
    <w:p w14:paraId="2100E275" w14:textId="77777777" w:rsidR="00EB555B" w:rsidRPr="0092354F" w:rsidRDefault="00EB555B" w:rsidP="006D55E1">
      <w:pPr>
        <w:jc w:val="center"/>
        <w:outlineLvl w:val="0"/>
        <w:rPr>
          <w:rFonts w:ascii="Calibri" w:hAnsi="Calibri"/>
          <w:b/>
          <w:sz w:val="24"/>
          <w:szCs w:val="24"/>
          <w:u w:val="single"/>
          <w:lang w:val="cy-GB"/>
        </w:rPr>
      </w:pPr>
      <w:r w:rsidRPr="0092354F">
        <w:rPr>
          <w:rFonts w:ascii="Calibri" w:hAnsi="Calibri"/>
          <w:b/>
          <w:sz w:val="24"/>
          <w:szCs w:val="24"/>
          <w:u w:val="single"/>
          <w:lang w:val="cy-GB"/>
        </w:rPr>
        <w:t>Comments</w:t>
      </w:r>
      <w:r w:rsidR="005B0E2D" w:rsidRPr="0092354F">
        <w:rPr>
          <w:rFonts w:ascii="Calibri" w:hAnsi="Calibri"/>
          <w:b/>
          <w:sz w:val="24"/>
          <w:szCs w:val="24"/>
          <w:u w:val="single"/>
          <w:lang w:val="cy-GB"/>
        </w:rPr>
        <w:t xml:space="preserve"> on the Revised Draft: Corporate Human Rights Benchmark</w:t>
      </w:r>
    </w:p>
    <w:p w14:paraId="39FC67AA" w14:textId="77777777" w:rsidR="008902D6" w:rsidRPr="0092354F" w:rsidRDefault="008902D6" w:rsidP="00A44C2F">
      <w:pPr>
        <w:jc w:val="center"/>
        <w:rPr>
          <w:rFonts w:ascii="Calibri" w:hAnsi="Calibri"/>
          <w:b/>
          <w:sz w:val="24"/>
          <w:szCs w:val="24"/>
          <w:u w:val="single"/>
          <w:lang w:val="cy-GB"/>
        </w:rPr>
      </w:pPr>
    </w:p>
    <w:p w14:paraId="2321B156" w14:textId="77777777" w:rsidR="00162EDC" w:rsidRPr="0092354F" w:rsidRDefault="00477FEE" w:rsidP="00A44C2F">
      <w:pPr>
        <w:rPr>
          <w:rFonts w:ascii="Calibri" w:hAnsi="Calibri"/>
          <w:sz w:val="24"/>
          <w:szCs w:val="24"/>
          <w:lang w:val="cy-GB"/>
        </w:rPr>
      </w:pPr>
      <w:r w:rsidRPr="0092354F">
        <w:rPr>
          <w:rFonts w:ascii="Calibri" w:hAnsi="Calibri"/>
          <w:sz w:val="24"/>
          <w:szCs w:val="24"/>
          <w:lang w:val="cy-GB"/>
        </w:rPr>
        <w:t xml:space="preserve">Minority Rights Group International (MRG), an international non-governmental organization working to secure the rights of minorities and indigenous peoples, and Lex Justi, a law practice with a business and human rights specialty, </w:t>
      </w:r>
      <w:r w:rsidR="00E84310" w:rsidRPr="0092354F">
        <w:rPr>
          <w:rFonts w:ascii="Calibri" w:hAnsi="Calibri"/>
          <w:sz w:val="24"/>
          <w:szCs w:val="24"/>
          <w:lang w:val="cy-GB"/>
        </w:rPr>
        <w:t>would like to</w:t>
      </w:r>
      <w:r w:rsidR="0013014D" w:rsidRPr="0092354F">
        <w:rPr>
          <w:rFonts w:ascii="Calibri" w:hAnsi="Calibri"/>
          <w:sz w:val="24"/>
          <w:szCs w:val="24"/>
          <w:lang w:val="cy-GB"/>
        </w:rPr>
        <w:t xml:space="preserve"> submit comments on the Revised Dr</w:t>
      </w:r>
      <w:r w:rsidR="0019641B" w:rsidRPr="0092354F">
        <w:rPr>
          <w:rFonts w:ascii="Calibri" w:hAnsi="Calibri"/>
          <w:sz w:val="24"/>
          <w:szCs w:val="24"/>
          <w:lang w:val="cy-GB"/>
        </w:rPr>
        <w:t>a</w:t>
      </w:r>
      <w:r w:rsidR="0013014D" w:rsidRPr="0092354F">
        <w:rPr>
          <w:rFonts w:ascii="Calibri" w:hAnsi="Calibri"/>
          <w:sz w:val="24"/>
          <w:szCs w:val="24"/>
          <w:lang w:val="cy-GB"/>
        </w:rPr>
        <w:t xml:space="preserve">ft Measurement Themes and Indicators for the 2016 Corporate Human Rights Benchmark (CHRB) </w:t>
      </w:r>
      <w:r w:rsidR="00E84310" w:rsidRPr="0092354F">
        <w:rPr>
          <w:rFonts w:ascii="Calibri" w:hAnsi="Calibri"/>
          <w:sz w:val="24"/>
          <w:szCs w:val="24"/>
          <w:lang w:val="cy-GB"/>
        </w:rPr>
        <w:t xml:space="preserve">dated </w:t>
      </w:r>
      <w:r w:rsidR="0013014D" w:rsidRPr="0092354F">
        <w:rPr>
          <w:rFonts w:ascii="Calibri" w:hAnsi="Calibri"/>
          <w:sz w:val="24"/>
          <w:szCs w:val="24"/>
          <w:lang w:val="cy-GB"/>
        </w:rPr>
        <w:t>February 2016</w:t>
      </w:r>
      <w:r w:rsidR="00E84310" w:rsidRPr="0092354F">
        <w:rPr>
          <w:rFonts w:ascii="Calibri" w:hAnsi="Calibri"/>
          <w:sz w:val="24"/>
          <w:szCs w:val="24"/>
          <w:lang w:val="cy-GB"/>
        </w:rPr>
        <w:t xml:space="preserve"> (Revised Draft)</w:t>
      </w:r>
      <w:r w:rsidR="0013014D" w:rsidRPr="0092354F">
        <w:rPr>
          <w:rFonts w:ascii="Calibri" w:hAnsi="Calibri"/>
          <w:sz w:val="24"/>
          <w:szCs w:val="24"/>
          <w:lang w:val="cy-GB"/>
        </w:rPr>
        <w:t>. In light of the inten</w:t>
      </w:r>
      <w:r w:rsidR="00E84310" w:rsidRPr="0092354F">
        <w:rPr>
          <w:rFonts w:ascii="Calibri" w:hAnsi="Calibri"/>
          <w:sz w:val="24"/>
          <w:szCs w:val="24"/>
          <w:lang w:val="cy-GB"/>
        </w:rPr>
        <w:t>tion of the drafters to publish the final methodology</w:t>
      </w:r>
      <w:r w:rsidR="0013014D" w:rsidRPr="0092354F">
        <w:rPr>
          <w:rFonts w:ascii="Calibri" w:hAnsi="Calibri"/>
          <w:sz w:val="24"/>
          <w:szCs w:val="24"/>
          <w:lang w:val="cy-GB"/>
        </w:rPr>
        <w:t xml:space="preserve"> </w:t>
      </w:r>
      <w:r w:rsidR="00E84310" w:rsidRPr="0092354F">
        <w:rPr>
          <w:rFonts w:ascii="Calibri" w:hAnsi="Calibri"/>
          <w:sz w:val="24"/>
          <w:szCs w:val="24"/>
          <w:lang w:val="cy-GB"/>
        </w:rPr>
        <w:t>in March 2016, w</w:t>
      </w:r>
      <w:r w:rsidR="00FE04C4" w:rsidRPr="0092354F">
        <w:rPr>
          <w:rFonts w:ascii="Calibri" w:hAnsi="Calibri"/>
          <w:sz w:val="24"/>
          <w:szCs w:val="24"/>
          <w:lang w:val="cy-GB"/>
        </w:rPr>
        <w:t xml:space="preserve">e take this opportunity to </w:t>
      </w:r>
      <w:r w:rsidR="00162EDC" w:rsidRPr="0092354F">
        <w:rPr>
          <w:rFonts w:ascii="Calibri" w:hAnsi="Calibri"/>
          <w:sz w:val="24"/>
          <w:szCs w:val="24"/>
          <w:lang w:val="cy-GB"/>
        </w:rPr>
        <w:t>present our most sa</w:t>
      </w:r>
      <w:r w:rsidR="00E84310" w:rsidRPr="0092354F">
        <w:rPr>
          <w:rFonts w:ascii="Calibri" w:hAnsi="Calibri"/>
          <w:sz w:val="24"/>
          <w:szCs w:val="24"/>
          <w:lang w:val="cy-GB"/>
        </w:rPr>
        <w:t>lient comments on the Revised Draft</w:t>
      </w:r>
      <w:r w:rsidR="00BB1A69" w:rsidRPr="0092354F">
        <w:rPr>
          <w:rFonts w:ascii="Calibri" w:hAnsi="Calibri"/>
          <w:sz w:val="24"/>
          <w:szCs w:val="24"/>
          <w:lang w:val="cy-GB"/>
        </w:rPr>
        <w:t xml:space="preserve">. </w:t>
      </w:r>
    </w:p>
    <w:p w14:paraId="5E9CFC25" w14:textId="4129FC63" w:rsidR="00521F01" w:rsidRPr="0092354F" w:rsidRDefault="00162EDC" w:rsidP="00A44C2F">
      <w:pPr>
        <w:rPr>
          <w:rFonts w:ascii="Calibri" w:hAnsi="Calibri"/>
          <w:sz w:val="24"/>
          <w:szCs w:val="24"/>
          <w:lang w:val="cy-GB"/>
        </w:rPr>
      </w:pPr>
      <w:r w:rsidRPr="0092354F">
        <w:rPr>
          <w:rFonts w:ascii="Calibri" w:hAnsi="Calibri"/>
          <w:sz w:val="24"/>
          <w:szCs w:val="24"/>
          <w:lang w:val="cy-GB"/>
        </w:rPr>
        <w:t xml:space="preserve">We wish to begin by expressing our appreciation for the </w:t>
      </w:r>
      <w:r w:rsidR="00E84310" w:rsidRPr="0092354F">
        <w:rPr>
          <w:rFonts w:ascii="Calibri" w:hAnsi="Calibri"/>
          <w:sz w:val="24"/>
          <w:szCs w:val="24"/>
          <w:lang w:val="cy-GB"/>
        </w:rPr>
        <w:t xml:space="preserve">significant modifications made by the drafters to the earlier draft of December 2015, including enhanced inclusion of human rights principles, incorporation of </w:t>
      </w:r>
      <w:r w:rsidR="005B0E2D" w:rsidRPr="0092354F">
        <w:rPr>
          <w:rFonts w:ascii="Calibri" w:hAnsi="Calibri"/>
          <w:sz w:val="24"/>
          <w:szCs w:val="24"/>
          <w:lang w:val="cy-GB"/>
        </w:rPr>
        <w:t xml:space="preserve">a specific indicator </w:t>
      </w:r>
      <w:r w:rsidR="001907E4" w:rsidRPr="0092354F">
        <w:rPr>
          <w:rFonts w:ascii="Calibri" w:hAnsi="Calibri"/>
          <w:sz w:val="24"/>
          <w:szCs w:val="24"/>
          <w:lang w:val="cy-GB"/>
        </w:rPr>
        <w:t>relating to indigenous peoples’ free</w:t>
      </w:r>
      <w:r w:rsidR="0019641B" w:rsidRPr="0092354F">
        <w:rPr>
          <w:rFonts w:ascii="Calibri" w:hAnsi="Calibri"/>
          <w:sz w:val="24"/>
          <w:szCs w:val="24"/>
          <w:lang w:val="cy-GB"/>
        </w:rPr>
        <w:t>,</w:t>
      </w:r>
      <w:r w:rsidR="001907E4" w:rsidRPr="0092354F">
        <w:rPr>
          <w:rFonts w:ascii="Calibri" w:hAnsi="Calibri"/>
          <w:sz w:val="24"/>
          <w:szCs w:val="24"/>
          <w:lang w:val="cy-GB"/>
        </w:rPr>
        <w:t xml:space="preserve"> prior and informed consent </w:t>
      </w:r>
      <w:r w:rsidR="005B0E2D" w:rsidRPr="0092354F">
        <w:rPr>
          <w:rFonts w:ascii="Calibri" w:hAnsi="Calibri"/>
          <w:sz w:val="24"/>
          <w:szCs w:val="24"/>
          <w:lang w:val="cy-GB"/>
        </w:rPr>
        <w:t xml:space="preserve">for the </w:t>
      </w:r>
      <w:r w:rsidR="0019641B" w:rsidRPr="0092354F">
        <w:rPr>
          <w:rFonts w:ascii="Calibri" w:hAnsi="Calibri"/>
          <w:sz w:val="24"/>
          <w:szCs w:val="24"/>
          <w:lang w:val="cy-GB"/>
        </w:rPr>
        <w:t>E</w:t>
      </w:r>
      <w:r w:rsidR="005B0E2D" w:rsidRPr="0092354F">
        <w:rPr>
          <w:rFonts w:ascii="Calibri" w:hAnsi="Calibri"/>
          <w:sz w:val="24"/>
          <w:szCs w:val="24"/>
          <w:lang w:val="cy-GB"/>
        </w:rPr>
        <w:t xml:space="preserve">xtractives sector (although as noted </w:t>
      </w:r>
      <w:r w:rsidR="001907E4" w:rsidRPr="0092354F">
        <w:rPr>
          <w:rFonts w:ascii="Calibri" w:hAnsi="Calibri"/>
          <w:sz w:val="24"/>
          <w:szCs w:val="24"/>
          <w:lang w:val="cy-GB"/>
        </w:rPr>
        <w:t xml:space="preserve">in our comments below, we believe that this indicator could be strengthened), and the deduction of points for </w:t>
      </w:r>
      <w:r w:rsidR="002D1B8A" w:rsidRPr="0092354F">
        <w:rPr>
          <w:rFonts w:ascii="Calibri" w:hAnsi="Calibri"/>
          <w:sz w:val="24"/>
          <w:szCs w:val="24"/>
          <w:lang w:val="cy-GB"/>
        </w:rPr>
        <w:t xml:space="preserve">the use of indigenous lands without their free, prior and informed consent under the </w:t>
      </w:r>
      <w:r w:rsidR="001907E4" w:rsidRPr="0092354F">
        <w:rPr>
          <w:rFonts w:ascii="Calibri" w:hAnsi="Calibri"/>
          <w:sz w:val="24"/>
          <w:szCs w:val="24"/>
          <w:lang w:val="cy-GB"/>
        </w:rPr>
        <w:t xml:space="preserve">serious allegations. We also appreciate the </w:t>
      </w:r>
      <w:r w:rsidRPr="0092354F">
        <w:rPr>
          <w:rFonts w:ascii="Calibri" w:hAnsi="Calibri"/>
          <w:sz w:val="24"/>
          <w:szCs w:val="24"/>
          <w:lang w:val="cy-GB"/>
        </w:rPr>
        <w:t>transparent nature of the</w:t>
      </w:r>
      <w:r w:rsidR="001907E4" w:rsidRPr="0092354F">
        <w:rPr>
          <w:rFonts w:ascii="Calibri" w:hAnsi="Calibri"/>
          <w:sz w:val="24"/>
          <w:szCs w:val="24"/>
          <w:lang w:val="cy-GB"/>
        </w:rPr>
        <w:t xml:space="preserve"> drafting of the Benchmark</w:t>
      </w:r>
      <w:r w:rsidRPr="0092354F">
        <w:rPr>
          <w:rFonts w:ascii="Calibri" w:hAnsi="Calibri"/>
          <w:sz w:val="24"/>
          <w:szCs w:val="24"/>
          <w:lang w:val="cy-GB"/>
        </w:rPr>
        <w:t xml:space="preserve">. </w:t>
      </w:r>
      <w:r w:rsidR="00FE04C4" w:rsidRPr="0092354F">
        <w:rPr>
          <w:rFonts w:ascii="Calibri" w:hAnsi="Calibri"/>
          <w:sz w:val="24"/>
          <w:szCs w:val="24"/>
          <w:lang w:val="cy-GB"/>
        </w:rPr>
        <w:t>T</w:t>
      </w:r>
      <w:r w:rsidR="00BB1A69" w:rsidRPr="0092354F">
        <w:rPr>
          <w:rFonts w:ascii="Calibri" w:hAnsi="Calibri"/>
          <w:sz w:val="24"/>
          <w:szCs w:val="24"/>
          <w:lang w:val="cy-GB"/>
        </w:rPr>
        <w:t xml:space="preserve">he following is a summary of </w:t>
      </w:r>
      <w:r w:rsidR="00170B01" w:rsidRPr="0092354F">
        <w:rPr>
          <w:rFonts w:ascii="Calibri" w:hAnsi="Calibri"/>
          <w:sz w:val="24"/>
          <w:szCs w:val="24"/>
          <w:lang w:val="cy-GB"/>
        </w:rPr>
        <w:t>our</w:t>
      </w:r>
      <w:r w:rsidR="00BB1A69" w:rsidRPr="0092354F">
        <w:rPr>
          <w:rFonts w:ascii="Calibri" w:hAnsi="Calibri"/>
          <w:sz w:val="24"/>
          <w:szCs w:val="24"/>
          <w:lang w:val="cy-GB"/>
        </w:rPr>
        <w:t xml:space="preserve"> main points and recommend</w:t>
      </w:r>
      <w:r w:rsidR="00170B01" w:rsidRPr="0092354F">
        <w:rPr>
          <w:rFonts w:ascii="Calibri" w:hAnsi="Calibri"/>
          <w:sz w:val="24"/>
          <w:szCs w:val="24"/>
          <w:lang w:val="cy-GB"/>
        </w:rPr>
        <w:t>ations</w:t>
      </w:r>
      <w:r w:rsidR="00FE04C4" w:rsidRPr="0092354F">
        <w:rPr>
          <w:rFonts w:ascii="Calibri" w:hAnsi="Calibri"/>
          <w:sz w:val="24"/>
          <w:szCs w:val="24"/>
          <w:lang w:val="cy-GB"/>
        </w:rPr>
        <w:t>:</w:t>
      </w:r>
    </w:p>
    <w:p w14:paraId="4781F15B" w14:textId="77777777" w:rsidR="00AB07F0" w:rsidRPr="0092354F" w:rsidRDefault="00AB07F0" w:rsidP="00A44C2F">
      <w:pPr>
        <w:shd w:val="clear" w:color="auto" w:fill="FFFFFF"/>
        <w:rPr>
          <w:rFonts w:ascii="Calibri" w:eastAsia="Times New Roman" w:hAnsi="Calibri" w:cs="Arial"/>
          <w:b/>
          <w:color w:val="222222"/>
          <w:sz w:val="24"/>
          <w:szCs w:val="24"/>
        </w:rPr>
      </w:pPr>
    </w:p>
    <w:p w14:paraId="5F1508B2" w14:textId="77777777" w:rsidR="00DE0520" w:rsidRPr="0092354F" w:rsidRDefault="0013014D" w:rsidP="006D55E1">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 xml:space="preserve">1. </w:t>
      </w:r>
      <w:r w:rsidR="002F3B01" w:rsidRPr="0092354F">
        <w:rPr>
          <w:rFonts w:ascii="Calibri" w:eastAsia="Times New Roman" w:hAnsi="Calibri" w:cs="Arial"/>
          <w:b/>
          <w:color w:val="222222"/>
          <w:sz w:val="24"/>
          <w:szCs w:val="24"/>
        </w:rPr>
        <w:t xml:space="preserve"> Indigenous Peoples/Free</w:t>
      </w:r>
      <w:r w:rsidR="0019641B" w:rsidRPr="0092354F">
        <w:rPr>
          <w:rFonts w:ascii="Calibri" w:eastAsia="Times New Roman" w:hAnsi="Calibri" w:cs="Arial"/>
          <w:b/>
          <w:color w:val="222222"/>
          <w:sz w:val="24"/>
          <w:szCs w:val="24"/>
        </w:rPr>
        <w:t>,</w:t>
      </w:r>
      <w:r w:rsidR="002F3B01" w:rsidRPr="0092354F">
        <w:rPr>
          <w:rFonts w:ascii="Calibri" w:eastAsia="Times New Roman" w:hAnsi="Calibri" w:cs="Arial"/>
          <w:b/>
          <w:color w:val="222222"/>
          <w:sz w:val="24"/>
          <w:szCs w:val="24"/>
        </w:rPr>
        <w:t xml:space="preserve"> Prior and Informed Consent (FPIC)</w:t>
      </w:r>
    </w:p>
    <w:p w14:paraId="44FB904C" w14:textId="1986DD3E" w:rsidR="001033F3" w:rsidRPr="0092354F" w:rsidRDefault="00822CD5" w:rsidP="00A44C2F">
      <w:pPr>
        <w:pStyle w:val="ListParagraph"/>
        <w:numPr>
          <w:ilvl w:val="0"/>
          <w:numId w:val="23"/>
        </w:numPr>
        <w:shd w:val="clear" w:color="auto" w:fill="FFFFFF"/>
        <w:rPr>
          <w:rFonts w:ascii="Calibri" w:hAnsi="Calibri"/>
          <w:sz w:val="24"/>
          <w:szCs w:val="24"/>
          <w:lang w:val="cy-GB"/>
        </w:rPr>
      </w:pPr>
      <w:r w:rsidRPr="0092354F">
        <w:rPr>
          <w:rFonts w:ascii="Calibri" w:hAnsi="Calibri"/>
          <w:sz w:val="24"/>
          <w:szCs w:val="24"/>
          <w:lang w:val="cy-GB"/>
        </w:rPr>
        <w:t>We welcome the inclusion of</w:t>
      </w:r>
      <w:r w:rsidR="00FD0EB0" w:rsidRPr="0092354F">
        <w:rPr>
          <w:rFonts w:ascii="Calibri" w:hAnsi="Calibri"/>
          <w:sz w:val="24"/>
          <w:szCs w:val="24"/>
          <w:lang w:val="cy-GB"/>
        </w:rPr>
        <w:t xml:space="preserve"> FPIC </w:t>
      </w:r>
      <w:r w:rsidRPr="0092354F">
        <w:rPr>
          <w:rFonts w:ascii="Calibri" w:hAnsi="Calibri"/>
          <w:sz w:val="24"/>
          <w:szCs w:val="24"/>
          <w:lang w:val="cy-GB"/>
        </w:rPr>
        <w:t>for the Extractive</w:t>
      </w:r>
      <w:r w:rsidR="0019641B" w:rsidRPr="0092354F">
        <w:rPr>
          <w:rFonts w:ascii="Calibri" w:hAnsi="Calibri"/>
          <w:sz w:val="24"/>
          <w:szCs w:val="24"/>
          <w:lang w:val="cy-GB"/>
        </w:rPr>
        <w:t>s</w:t>
      </w:r>
      <w:r w:rsidRPr="0092354F">
        <w:rPr>
          <w:rFonts w:ascii="Calibri" w:hAnsi="Calibri"/>
          <w:sz w:val="24"/>
          <w:szCs w:val="24"/>
          <w:lang w:val="cy-GB"/>
        </w:rPr>
        <w:t xml:space="preserve"> sector in the Revised Draft</w:t>
      </w:r>
      <w:r w:rsidR="00D87EF6" w:rsidRPr="0092354F">
        <w:rPr>
          <w:rFonts w:ascii="Calibri" w:hAnsi="Calibri"/>
          <w:sz w:val="24"/>
          <w:szCs w:val="24"/>
          <w:lang w:val="cy-GB"/>
        </w:rPr>
        <w:t xml:space="preserve"> (</w:t>
      </w:r>
      <w:r w:rsidR="00C74B56" w:rsidRPr="0092354F">
        <w:rPr>
          <w:rFonts w:ascii="Calibri" w:hAnsi="Calibri"/>
          <w:sz w:val="24"/>
          <w:szCs w:val="24"/>
          <w:lang w:val="cy-GB"/>
        </w:rPr>
        <w:t xml:space="preserve">e.g. </w:t>
      </w:r>
      <w:r w:rsidR="008A6B9E" w:rsidRPr="0092354F">
        <w:rPr>
          <w:rFonts w:ascii="Calibri" w:hAnsi="Calibri"/>
          <w:sz w:val="24"/>
          <w:szCs w:val="24"/>
          <w:lang w:val="cy-GB"/>
        </w:rPr>
        <w:t xml:space="preserve">EX industry lock to </w:t>
      </w:r>
      <w:r w:rsidR="006D55E1" w:rsidRPr="0092354F">
        <w:rPr>
          <w:rFonts w:ascii="Calibri" w:hAnsi="Calibri"/>
          <w:sz w:val="24"/>
          <w:szCs w:val="24"/>
          <w:lang w:val="cy-GB"/>
        </w:rPr>
        <w:t>i</w:t>
      </w:r>
      <w:r w:rsidR="00C74B56" w:rsidRPr="0092354F">
        <w:rPr>
          <w:rFonts w:ascii="Calibri" w:hAnsi="Calibri"/>
          <w:sz w:val="24"/>
          <w:szCs w:val="24"/>
          <w:lang w:val="cy-GB"/>
        </w:rPr>
        <w:t>ndicator A.1.3</w:t>
      </w:r>
      <w:r w:rsidR="006026A9" w:rsidRPr="0092354F">
        <w:rPr>
          <w:rFonts w:ascii="Calibri" w:hAnsi="Calibri"/>
          <w:sz w:val="24"/>
          <w:szCs w:val="24"/>
          <w:lang w:val="cy-GB"/>
        </w:rPr>
        <w:t>.</w:t>
      </w:r>
      <w:r w:rsidR="00C74B56" w:rsidRPr="0092354F">
        <w:rPr>
          <w:rFonts w:ascii="Calibri" w:hAnsi="Calibri"/>
          <w:sz w:val="24"/>
          <w:szCs w:val="24"/>
          <w:lang w:val="cy-GB"/>
        </w:rPr>
        <w:t xml:space="preserve"> and </w:t>
      </w:r>
      <w:r w:rsidR="00D87EF6" w:rsidRPr="0092354F">
        <w:rPr>
          <w:rFonts w:ascii="Calibri" w:hAnsi="Calibri"/>
          <w:sz w:val="24"/>
          <w:szCs w:val="24"/>
          <w:lang w:val="cy-GB"/>
        </w:rPr>
        <w:t>Indicator EX D.1.4</w:t>
      </w:r>
      <w:r w:rsidR="006026A9" w:rsidRPr="0092354F">
        <w:rPr>
          <w:rFonts w:ascii="Calibri" w:hAnsi="Calibri"/>
          <w:sz w:val="24"/>
          <w:szCs w:val="24"/>
          <w:lang w:val="cy-GB"/>
        </w:rPr>
        <w:t>.</w:t>
      </w:r>
      <w:r w:rsidR="00D87EF6" w:rsidRPr="0092354F">
        <w:rPr>
          <w:rFonts w:ascii="Calibri" w:hAnsi="Calibri"/>
          <w:sz w:val="24"/>
          <w:szCs w:val="24"/>
          <w:lang w:val="cy-GB"/>
        </w:rPr>
        <w:t>)</w:t>
      </w:r>
      <w:r w:rsidRPr="0092354F">
        <w:rPr>
          <w:rFonts w:ascii="Calibri" w:hAnsi="Calibri"/>
          <w:sz w:val="24"/>
          <w:szCs w:val="24"/>
          <w:lang w:val="cy-GB"/>
        </w:rPr>
        <w:t xml:space="preserve">, and would suggest consideration of a similar indicator in the </w:t>
      </w:r>
      <w:r w:rsidR="00B6411F" w:rsidRPr="0092354F">
        <w:rPr>
          <w:rFonts w:ascii="Calibri" w:hAnsi="Calibri"/>
          <w:sz w:val="24"/>
          <w:szCs w:val="24"/>
          <w:lang w:val="cy-GB"/>
        </w:rPr>
        <w:t xml:space="preserve">AG industry locks and </w:t>
      </w:r>
      <w:r w:rsidRPr="0092354F">
        <w:rPr>
          <w:rFonts w:ascii="Calibri" w:hAnsi="Calibri"/>
          <w:sz w:val="24"/>
          <w:szCs w:val="24"/>
          <w:lang w:val="cy-GB"/>
        </w:rPr>
        <w:t>Agriculture indicators</w:t>
      </w:r>
      <w:r w:rsidR="00C74B56" w:rsidRPr="0092354F">
        <w:rPr>
          <w:rFonts w:ascii="Calibri" w:hAnsi="Calibri"/>
          <w:sz w:val="24"/>
          <w:szCs w:val="24"/>
          <w:lang w:val="cy-GB"/>
        </w:rPr>
        <w:t xml:space="preserve"> wherever there is a discrepancy between th</w:t>
      </w:r>
      <w:r w:rsidR="008A6B9E" w:rsidRPr="0092354F">
        <w:rPr>
          <w:rFonts w:ascii="Calibri" w:hAnsi="Calibri"/>
          <w:sz w:val="24"/>
          <w:szCs w:val="24"/>
          <w:lang w:val="cy-GB"/>
        </w:rPr>
        <w:t xml:space="preserve">ose and the </w:t>
      </w:r>
      <w:r w:rsidR="00C74B56" w:rsidRPr="0092354F">
        <w:rPr>
          <w:rFonts w:ascii="Calibri" w:hAnsi="Calibri"/>
          <w:sz w:val="24"/>
          <w:szCs w:val="24"/>
          <w:lang w:val="cy-GB"/>
        </w:rPr>
        <w:t>EX industry locks</w:t>
      </w:r>
      <w:r w:rsidR="008A6B9E" w:rsidRPr="0092354F">
        <w:rPr>
          <w:rFonts w:ascii="Calibri" w:hAnsi="Calibri"/>
          <w:sz w:val="24"/>
          <w:szCs w:val="24"/>
          <w:lang w:val="cy-GB"/>
        </w:rPr>
        <w:t xml:space="preserve"> and indicators</w:t>
      </w:r>
      <w:r w:rsidRPr="0092354F">
        <w:rPr>
          <w:rFonts w:ascii="Calibri" w:hAnsi="Calibri"/>
          <w:sz w:val="24"/>
          <w:szCs w:val="24"/>
          <w:lang w:val="cy-GB"/>
        </w:rPr>
        <w:t xml:space="preserve">.  The increasing </w:t>
      </w:r>
      <w:r w:rsidR="0019641B" w:rsidRPr="0092354F">
        <w:rPr>
          <w:rFonts w:ascii="Calibri" w:hAnsi="Calibri"/>
          <w:sz w:val="24"/>
          <w:szCs w:val="24"/>
          <w:lang w:val="cy-GB"/>
        </w:rPr>
        <w:t xml:space="preserve">long-term lease or </w:t>
      </w:r>
      <w:r w:rsidRPr="0092354F">
        <w:rPr>
          <w:rFonts w:ascii="Calibri" w:hAnsi="Calibri"/>
          <w:sz w:val="24"/>
          <w:szCs w:val="24"/>
          <w:lang w:val="cy-GB"/>
        </w:rPr>
        <w:t>purchase of land for large-scale industrial agricultural projects also presents a threat to the rights of indigenous peoples</w:t>
      </w:r>
      <w:r w:rsidR="00D87EF6" w:rsidRPr="0092354F">
        <w:rPr>
          <w:rFonts w:ascii="Calibri" w:hAnsi="Calibri"/>
          <w:sz w:val="24"/>
          <w:szCs w:val="24"/>
          <w:lang w:val="cy-GB"/>
        </w:rPr>
        <w:t xml:space="preserve"> to their lands, livelihoods and culture</w:t>
      </w:r>
      <w:r w:rsidRPr="0092354F">
        <w:rPr>
          <w:rFonts w:ascii="Calibri" w:hAnsi="Calibri"/>
          <w:sz w:val="24"/>
          <w:szCs w:val="24"/>
          <w:lang w:val="cy-GB"/>
        </w:rPr>
        <w:t>.</w:t>
      </w:r>
      <w:r w:rsidR="00D87EF6" w:rsidRPr="0092354F">
        <w:rPr>
          <w:rFonts w:ascii="Calibri" w:hAnsi="Calibri"/>
          <w:sz w:val="24"/>
          <w:szCs w:val="24"/>
          <w:lang w:val="cy-GB"/>
        </w:rPr>
        <w:t xml:space="preserve">  We mention the purchase of land for palm oil and bio-fuel projects in particular.</w:t>
      </w:r>
    </w:p>
    <w:p w14:paraId="01DB8237" w14:textId="1F704A6E" w:rsidR="001033F3" w:rsidRPr="0092354F" w:rsidRDefault="008839DA" w:rsidP="00A44C2F">
      <w:pPr>
        <w:pStyle w:val="ListParagraph"/>
        <w:numPr>
          <w:ilvl w:val="0"/>
          <w:numId w:val="23"/>
        </w:numPr>
        <w:shd w:val="clear" w:color="auto" w:fill="FFFFFF"/>
        <w:rPr>
          <w:rFonts w:ascii="Calibri" w:hAnsi="Calibri"/>
          <w:sz w:val="24"/>
          <w:szCs w:val="24"/>
          <w:lang w:val="cy-GB"/>
        </w:rPr>
      </w:pPr>
      <w:r w:rsidRPr="0092354F">
        <w:rPr>
          <w:rFonts w:ascii="Calibri" w:hAnsi="Calibri"/>
          <w:sz w:val="24"/>
          <w:szCs w:val="24"/>
          <w:lang w:val="cy-GB"/>
        </w:rPr>
        <w:lastRenderedPageBreak/>
        <w:t xml:space="preserve">In addition to impacts of a </w:t>
      </w:r>
      <w:r w:rsidR="001033F3" w:rsidRPr="0092354F">
        <w:rPr>
          <w:rFonts w:ascii="Calibri" w:hAnsi="Calibri"/>
          <w:sz w:val="24"/>
          <w:szCs w:val="24"/>
          <w:lang w:val="cy-GB"/>
        </w:rPr>
        <w:t xml:space="preserve">Company’s project </w:t>
      </w:r>
      <w:r w:rsidRPr="0092354F">
        <w:rPr>
          <w:rFonts w:ascii="Calibri" w:hAnsi="Calibri"/>
          <w:sz w:val="24"/>
          <w:szCs w:val="24"/>
          <w:lang w:val="cy-GB"/>
        </w:rPr>
        <w:t xml:space="preserve">on </w:t>
      </w:r>
      <w:r w:rsidR="001033F3" w:rsidRPr="0092354F">
        <w:rPr>
          <w:rFonts w:ascii="Calibri" w:hAnsi="Calibri"/>
          <w:sz w:val="24"/>
          <w:szCs w:val="24"/>
          <w:lang w:val="cy-GB"/>
        </w:rPr>
        <w:t xml:space="preserve">the lands or territories </w:t>
      </w:r>
      <w:r w:rsidRPr="0092354F">
        <w:rPr>
          <w:rFonts w:ascii="Calibri" w:hAnsi="Calibri"/>
          <w:sz w:val="24"/>
          <w:szCs w:val="24"/>
          <w:lang w:val="cy-GB"/>
        </w:rPr>
        <w:t>of indigenous peoples where the project would be sited, an extractive project could also affect the livelihoods</w:t>
      </w:r>
      <w:r w:rsidR="00070732">
        <w:rPr>
          <w:rFonts w:ascii="Calibri" w:hAnsi="Calibri"/>
          <w:sz w:val="24"/>
          <w:szCs w:val="24"/>
          <w:lang w:val="cy-GB"/>
        </w:rPr>
        <w:t xml:space="preserve"> of these communities.</w:t>
      </w:r>
      <w:r w:rsidRPr="0092354F">
        <w:rPr>
          <w:rFonts w:ascii="Calibri" w:hAnsi="Calibri"/>
          <w:sz w:val="24"/>
          <w:szCs w:val="24"/>
          <w:lang w:val="cy-GB"/>
        </w:rPr>
        <w:t xml:space="preserve"> </w:t>
      </w:r>
      <w:r w:rsidR="00070732">
        <w:rPr>
          <w:rFonts w:ascii="Calibri" w:hAnsi="Calibri"/>
          <w:sz w:val="24"/>
          <w:szCs w:val="24"/>
          <w:lang w:val="cy-GB"/>
        </w:rPr>
        <w:t>I</w:t>
      </w:r>
      <w:r w:rsidRPr="0092354F">
        <w:rPr>
          <w:rFonts w:ascii="Calibri" w:hAnsi="Calibri"/>
          <w:sz w:val="24"/>
          <w:szCs w:val="24"/>
          <w:lang w:val="cy-GB"/>
        </w:rPr>
        <w:t xml:space="preserve">n particular, </w:t>
      </w:r>
      <w:r w:rsidR="00070732">
        <w:rPr>
          <w:rFonts w:ascii="Calibri" w:hAnsi="Calibri"/>
          <w:sz w:val="24"/>
          <w:szCs w:val="24"/>
          <w:lang w:val="cy-GB"/>
        </w:rPr>
        <w:t xml:space="preserve">the project may impact </w:t>
      </w:r>
      <w:r w:rsidRPr="0092354F">
        <w:rPr>
          <w:rFonts w:ascii="Calibri" w:hAnsi="Calibri"/>
          <w:sz w:val="24"/>
          <w:szCs w:val="24"/>
          <w:lang w:val="cy-GB"/>
        </w:rPr>
        <w:t>the availability of food, such as fish, of indigenous communities downstream from the project</w:t>
      </w:r>
      <w:r w:rsidR="00070732">
        <w:rPr>
          <w:rFonts w:ascii="Calibri" w:hAnsi="Calibri"/>
          <w:sz w:val="24"/>
          <w:szCs w:val="24"/>
          <w:lang w:val="cy-GB"/>
        </w:rPr>
        <w:t>. It might also endanger</w:t>
      </w:r>
      <w:r w:rsidRPr="0092354F">
        <w:rPr>
          <w:rFonts w:ascii="Calibri" w:hAnsi="Calibri"/>
          <w:sz w:val="24"/>
          <w:szCs w:val="24"/>
          <w:lang w:val="cy-GB"/>
        </w:rPr>
        <w:t xml:space="preserve"> wildlife traditionally used by the community on their lands adjacent to land utilised for the project. While we welcome the inclusion of EX D.1.7. on access to water and sanitation, this particular indicator does not address the effects of a project on the livelihood of indigenous peoples in areas adjacent to but affected by the project.</w:t>
      </w:r>
    </w:p>
    <w:p w14:paraId="5D1F19D9" w14:textId="31E41E1A" w:rsidR="00B84003" w:rsidRPr="0092354F" w:rsidRDefault="00EB1551" w:rsidP="00A44C2F">
      <w:pPr>
        <w:pStyle w:val="ListParagraph"/>
        <w:numPr>
          <w:ilvl w:val="0"/>
          <w:numId w:val="23"/>
        </w:numPr>
        <w:shd w:val="clear" w:color="auto" w:fill="FFFFFF"/>
        <w:rPr>
          <w:rFonts w:ascii="Calibri" w:hAnsi="Calibri"/>
          <w:sz w:val="24"/>
          <w:szCs w:val="24"/>
          <w:lang w:val="cy-GB"/>
        </w:rPr>
      </w:pPr>
      <w:r w:rsidRPr="0092354F">
        <w:rPr>
          <w:rFonts w:ascii="Calibri" w:hAnsi="Calibri"/>
          <w:sz w:val="24"/>
          <w:szCs w:val="24"/>
          <w:lang w:val="cy-GB"/>
        </w:rPr>
        <w:t>A project could also have a significant impact on the culture of the indigenous community, including religious and other beliefs and practices that are central to the existence of the community</w:t>
      </w:r>
      <w:r w:rsidR="005A3D88">
        <w:rPr>
          <w:rFonts w:ascii="Calibri" w:hAnsi="Calibri"/>
          <w:sz w:val="24"/>
          <w:szCs w:val="24"/>
          <w:lang w:val="cy-GB"/>
        </w:rPr>
        <w:t>,</w:t>
      </w:r>
      <w:r w:rsidRPr="0092354F">
        <w:rPr>
          <w:rFonts w:ascii="Calibri" w:hAnsi="Calibri"/>
          <w:sz w:val="24"/>
          <w:szCs w:val="24"/>
          <w:lang w:val="cy-GB"/>
        </w:rPr>
        <w:t xml:space="preserve"> and might therefore mean the end of their cultures within a couple of generations (e.g. pastoralists, fisherpeoples, forest-dwellers).  </w:t>
      </w:r>
    </w:p>
    <w:p w14:paraId="0D2F7793" w14:textId="17639182" w:rsidR="001C5527" w:rsidRPr="0092354F" w:rsidRDefault="0072508D" w:rsidP="00A44C2F">
      <w:pPr>
        <w:pStyle w:val="ListParagraph"/>
        <w:numPr>
          <w:ilvl w:val="0"/>
          <w:numId w:val="23"/>
        </w:numPr>
        <w:shd w:val="clear" w:color="auto" w:fill="FFFFFF"/>
        <w:rPr>
          <w:rFonts w:ascii="Calibri" w:hAnsi="Calibri"/>
          <w:sz w:val="24"/>
          <w:szCs w:val="24"/>
          <w:lang w:val="cy-GB"/>
        </w:rPr>
      </w:pPr>
      <w:r w:rsidRPr="0092354F">
        <w:rPr>
          <w:rFonts w:ascii="Calibri" w:hAnsi="Calibri"/>
          <w:sz w:val="24"/>
          <w:szCs w:val="24"/>
          <w:lang w:val="cy-GB"/>
        </w:rPr>
        <w:t>There is a subtle but important</w:t>
      </w:r>
      <w:r w:rsidR="001C5527" w:rsidRPr="0092354F">
        <w:rPr>
          <w:rFonts w:ascii="Calibri" w:hAnsi="Calibri"/>
          <w:sz w:val="24"/>
          <w:szCs w:val="24"/>
          <w:lang w:val="cy-GB"/>
        </w:rPr>
        <w:t xml:space="preserve"> discrepancy in the importance given to indigenous peoples’ rights in </w:t>
      </w:r>
      <w:r w:rsidR="00C74B56" w:rsidRPr="0092354F">
        <w:rPr>
          <w:rFonts w:ascii="Calibri" w:hAnsi="Calibri"/>
          <w:sz w:val="24"/>
          <w:szCs w:val="24"/>
          <w:lang w:val="cy-GB"/>
        </w:rPr>
        <w:t xml:space="preserve">the industry locks </w:t>
      </w:r>
      <w:r w:rsidR="001C5527" w:rsidRPr="0092354F">
        <w:rPr>
          <w:rFonts w:ascii="Calibri" w:hAnsi="Calibri"/>
          <w:sz w:val="24"/>
          <w:szCs w:val="24"/>
          <w:lang w:val="cy-GB"/>
        </w:rPr>
        <w:t xml:space="preserve">of B.2.2. </w:t>
      </w:r>
      <w:r w:rsidRPr="0092354F">
        <w:rPr>
          <w:rFonts w:ascii="Calibri" w:hAnsi="Calibri"/>
          <w:sz w:val="24"/>
          <w:szCs w:val="24"/>
          <w:lang w:val="cy-GB"/>
        </w:rPr>
        <w:t xml:space="preserve">In AG for Score 2, the list states: ‘land rights (including indigenous peoples rights and resettlement).’ </w:t>
      </w:r>
      <w:r w:rsidR="00C74B56" w:rsidRPr="0092354F">
        <w:rPr>
          <w:rFonts w:ascii="Calibri" w:hAnsi="Calibri"/>
          <w:sz w:val="24"/>
          <w:szCs w:val="24"/>
          <w:lang w:val="cy-GB"/>
        </w:rPr>
        <w:t xml:space="preserve">This would imply that indigenous peoples’ rights are a subset of land rights or somehow subsumed under them. </w:t>
      </w:r>
      <w:r w:rsidRPr="0092354F">
        <w:rPr>
          <w:rFonts w:ascii="Calibri" w:hAnsi="Calibri"/>
          <w:sz w:val="24"/>
          <w:szCs w:val="24"/>
          <w:lang w:val="cy-GB"/>
        </w:rPr>
        <w:t xml:space="preserve">In EX for Score 2, the list states </w:t>
      </w:r>
      <w:r w:rsidR="00C74B56" w:rsidRPr="0092354F">
        <w:rPr>
          <w:rFonts w:ascii="Calibri" w:hAnsi="Calibri"/>
          <w:sz w:val="24"/>
          <w:szCs w:val="24"/>
          <w:lang w:val="cy-GB"/>
        </w:rPr>
        <w:t xml:space="preserve">more correctly, </w:t>
      </w:r>
      <w:r w:rsidRPr="0092354F">
        <w:rPr>
          <w:rFonts w:ascii="Calibri" w:hAnsi="Calibri"/>
          <w:sz w:val="24"/>
          <w:szCs w:val="24"/>
          <w:lang w:val="cy-GB"/>
        </w:rPr>
        <w:t>‘indigenous peoples rights, land rights (including resettlement).’ Given that the impact on indigenous communities of large-scale industrial agricultural projects can be as devastating as extractive projects and a</w:t>
      </w:r>
      <w:r w:rsidR="005A3D88">
        <w:rPr>
          <w:rFonts w:ascii="Calibri" w:hAnsi="Calibri"/>
          <w:sz w:val="24"/>
          <w:szCs w:val="24"/>
          <w:lang w:val="cy-GB"/>
        </w:rPr>
        <w:t>ffect</w:t>
      </w:r>
      <w:r w:rsidRPr="0092354F">
        <w:rPr>
          <w:rFonts w:ascii="Calibri" w:hAnsi="Calibri"/>
          <w:sz w:val="24"/>
          <w:szCs w:val="24"/>
          <w:lang w:val="cy-GB"/>
        </w:rPr>
        <w:t xml:space="preserve"> the whole spectrum of indigenous peoples’ rights – and not just land rights – we would suggest that this discrepancy be corrected and that the two lists be written </w:t>
      </w:r>
      <w:r w:rsidR="00C74B56" w:rsidRPr="0092354F">
        <w:rPr>
          <w:rFonts w:ascii="Calibri" w:hAnsi="Calibri"/>
          <w:sz w:val="24"/>
          <w:szCs w:val="24"/>
          <w:lang w:val="cy-GB"/>
        </w:rPr>
        <w:t xml:space="preserve">as </w:t>
      </w:r>
      <w:r w:rsidRPr="0092354F">
        <w:rPr>
          <w:rFonts w:ascii="Calibri" w:hAnsi="Calibri"/>
          <w:sz w:val="24"/>
          <w:szCs w:val="24"/>
          <w:lang w:val="cy-GB"/>
        </w:rPr>
        <w:t>in</w:t>
      </w:r>
      <w:r w:rsidR="00C74B56" w:rsidRPr="0092354F">
        <w:rPr>
          <w:rFonts w:ascii="Calibri" w:hAnsi="Calibri"/>
          <w:sz w:val="24"/>
          <w:szCs w:val="24"/>
          <w:lang w:val="cy-GB"/>
        </w:rPr>
        <w:t xml:space="preserve"> EX for Score 2</w:t>
      </w:r>
      <w:r w:rsidRPr="0092354F">
        <w:rPr>
          <w:rFonts w:ascii="Calibri" w:hAnsi="Calibri"/>
          <w:sz w:val="24"/>
          <w:szCs w:val="24"/>
          <w:lang w:val="cy-GB"/>
        </w:rPr>
        <w:t xml:space="preserve">, with indigenous peoples’ rights mentioned by itself and not in parentheses nor as a subset of land rights. </w:t>
      </w:r>
    </w:p>
    <w:p w14:paraId="710AEF6E" w14:textId="77777777" w:rsidR="008839DA" w:rsidRPr="0092354F" w:rsidRDefault="00D87EF6" w:rsidP="006D55E1">
      <w:pPr>
        <w:shd w:val="clear" w:color="auto" w:fill="FFFFFF"/>
        <w:outlineLvl w:val="0"/>
        <w:rPr>
          <w:rFonts w:ascii="Calibri" w:eastAsia="Times New Roman" w:hAnsi="Calibri" w:cs="Arial"/>
          <w:color w:val="222222"/>
          <w:sz w:val="24"/>
          <w:szCs w:val="24"/>
          <w:u w:val="single"/>
        </w:rPr>
      </w:pPr>
      <w:r w:rsidRPr="0092354F">
        <w:rPr>
          <w:rFonts w:ascii="Calibri" w:eastAsia="Times New Roman" w:hAnsi="Calibri" w:cs="Arial"/>
          <w:b/>
          <w:color w:val="222222"/>
          <w:sz w:val="24"/>
          <w:szCs w:val="24"/>
          <w:u w:val="single"/>
        </w:rPr>
        <w:t>Recommendation</w:t>
      </w:r>
      <w:r w:rsidR="008839DA" w:rsidRPr="0092354F">
        <w:rPr>
          <w:rFonts w:ascii="Calibri" w:eastAsia="Times New Roman" w:hAnsi="Calibri" w:cs="Arial"/>
          <w:b/>
          <w:color w:val="222222"/>
          <w:sz w:val="24"/>
          <w:szCs w:val="24"/>
          <w:u w:val="single"/>
        </w:rPr>
        <w:t>s</w:t>
      </w:r>
      <w:r w:rsidRPr="0092354F">
        <w:rPr>
          <w:rFonts w:ascii="Calibri" w:eastAsia="Times New Roman" w:hAnsi="Calibri" w:cs="Arial"/>
          <w:b/>
          <w:color w:val="222222"/>
          <w:sz w:val="24"/>
          <w:szCs w:val="24"/>
          <w:u w:val="single"/>
        </w:rPr>
        <w:t>:</w:t>
      </w:r>
      <w:r w:rsidRPr="0092354F">
        <w:rPr>
          <w:rFonts w:ascii="Calibri" w:eastAsia="Times New Roman" w:hAnsi="Calibri" w:cs="Arial"/>
          <w:color w:val="222222"/>
          <w:sz w:val="24"/>
          <w:szCs w:val="24"/>
          <w:u w:val="single"/>
        </w:rPr>
        <w:t xml:space="preserve"> </w:t>
      </w:r>
      <w:r w:rsidR="00822CD5" w:rsidRPr="0092354F">
        <w:rPr>
          <w:rFonts w:ascii="Calibri" w:eastAsia="Times New Roman" w:hAnsi="Calibri" w:cs="Arial"/>
          <w:color w:val="222222"/>
          <w:sz w:val="24"/>
          <w:szCs w:val="24"/>
          <w:u w:val="single"/>
        </w:rPr>
        <w:t xml:space="preserve"> </w:t>
      </w:r>
    </w:p>
    <w:p w14:paraId="4B905588" w14:textId="64B8C87E" w:rsidR="00C74B56" w:rsidRPr="0092354F" w:rsidRDefault="00C74B56" w:rsidP="0092354F">
      <w:pPr>
        <w:pStyle w:val="ListParagraph"/>
        <w:numPr>
          <w:ilvl w:val="0"/>
          <w:numId w:val="47"/>
        </w:numPr>
        <w:shd w:val="clear" w:color="auto" w:fill="FFFFFF"/>
        <w:rPr>
          <w:rFonts w:ascii="Calibri" w:hAnsi="Calibri"/>
          <w:sz w:val="24"/>
          <w:szCs w:val="24"/>
          <w:lang w:val="cy-GB"/>
        </w:rPr>
      </w:pPr>
      <w:r w:rsidRPr="0092354F">
        <w:rPr>
          <w:rFonts w:ascii="Calibri" w:hAnsi="Calibri"/>
          <w:sz w:val="24"/>
          <w:szCs w:val="24"/>
          <w:lang w:val="cy-GB"/>
        </w:rPr>
        <w:t xml:space="preserve">Include respect for indigenous peoples’ rights and the free, prior and informed consent of indigenous peoples </w:t>
      </w:r>
      <w:r w:rsidR="00B6411F" w:rsidRPr="0092354F">
        <w:rPr>
          <w:rFonts w:ascii="Calibri" w:hAnsi="Calibri"/>
          <w:sz w:val="24"/>
          <w:szCs w:val="24"/>
          <w:lang w:val="cy-GB"/>
        </w:rPr>
        <w:t xml:space="preserve">in the AG industry lock </w:t>
      </w:r>
      <w:r w:rsidRPr="0092354F">
        <w:rPr>
          <w:rFonts w:ascii="Calibri" w:hAnsi="Calibri"/>
          <w:sz w:val="24"/>
          <w:szCs w:val="24"/>
          <w:lang w:val="cy-GB"/>
        </w:rPr>
        <w:t xml:space="preserve">similar to </w:t>
      </w:r>
      <w:r w:rsidR="00B6411F" w:rsidRPr="0092354F">
        <w:rPr>
          <w:rFonts w:ascii="Calibri" w:hAnsi="Calibri"/>
          <w:sz w:val="24"/>
          <w:szCs w:val="24"/>
          <w:lang w:val="cy-GB"/>
        </w:rPr>
        <w:t xml:space="preserve">the one for the EX industry lock in </w:t>
      </w:r>
      <w:r w:rsidRPr="0092354F">
        <w:rPr>
          <w:rFonts w:ascii="Calibri" w:hAnsi="Calibri"/>
          <w:sz w:val="24"/>
          <w:szCs w:val="24"/>
          <w:lang w:val="cy-GB"/>
        </w:rPr>
        <w:t>A.1.3</w:t>
      </w:r>
      <w:r w:rsidR="006026A9" w:rsidRPr="0092354F">
        <w:rPr>
          <w:rFonts w:ascii="Calibri" w:hAnsi="Calibri"/>
          <w:sz w:val="24"/>
          <w:szCs w:val="24"/>
          <w:lang w:val="cy-GB"/>
        </w:rPr>
        <w:t>.</w:t>
      </w:r>
    </w:p>
    <w:p w14:paraId="1F0DC410" w14:textId="41495BDF" w:rsidR="00FD147F" w:rsidRDefault="00D87EF6" w:rsidP="0092354F">
      <w:pPr>
        <w:pStyle w:val="ListParagraph"/>
        <w:numPr>
          <w:ilvl w:val="0"/>
          <w:numId w:val="47"/>
        </w:numPr>
        <w:rPr>
          <w:rFonts w:ascii="Calibri" w:hAnsi="Calibri"/>
          <w:sz w:val="24"/>
          <w:szCs w:val="24"/>
          <w:lang w:val="cy-GB"/>
        </w:rPr>
      </w:pPr>
      <w:r w:rsidRPr="0092354F">
        <w:rPr>
          <w:rFonts w:ascii="Calibri" w:hAnsi="Calibri"/>
          <w:sz w:val="24"/>
          <w:szCs w:val="24"/>
          <w:lang w:val="cy-GB"/>
        </w:rPr>
        <w:t xml:space="preserve">Insert an indicator </w:t>
      </w:r>
      <w:r w:rsidR="008839DA" w:rsidRPr="0092354F">
        <w:rPr>
          <w:rFonts w:ascii="Calibri" w:hAnsi="Calibri"/>
          <w:sz w:val="24"/>
          <w:szCs w:val="24"/>
          <w:lang w:val="cy-GB"/>
        </w:rPr>
        <w:t xml:space="preserve">concerning the free, prior and informed consent of indigenous peoples </w:t>
      </w:r>
      <w:r w:rsidRPr="0092354F">
        <w:rPr>
          <w:rFonts w:ascii="Calibri" w:hAnsi="Calibri"/>
          <w:sz w:val="24"/>
          <w:szCs w:val="24"/>
          <w:lang w:val="cy-GB"/>
        </w:rPr>
        <w:t>similar to EX D.1.4</w:t>
      </w:r>
      <w:r w:rsidR="006026A9" w:rsidRPr="0092354F">
        <w:rPr>
          <w:rFonts w:ascii="Calibri" w:hAnsi="Calibri"/>
          <w:sz w:val="24"/>
          <w:szCs w:val="24"/>
          <w:lang w:val="cy-GB"/>
        </w:rPr>
        <w:t>.</w:t>
      </w:r>
      <w:r w:rsidRPr="0092354F">
        <w:rPr>
          <w:rFonts w:ascii="Calibri" w:hAnsi="Calibri"/>
          <w:sz w:val="24"/>
          <w:szCs w:val="24"/>
          <w:lang w:val="cy-GB"/>
        </w:rPr>
        <w:t xml:space="preserve"> </w:t>
      </w:r>
      <w:r w:rsidR="008839DA" w:rsidRPr="0092354F">
        <w:rPr>
          <w:rFonts w:ascii="Calibri" w:hAnsi="Calibri"/>
          <w:sz w:val="24"/>
          <w:szCs w:val="24"/>
          <w:lang w:val="cy-GB"/>
        </w:rPr>
        <w:t xml:space="preserve">after </w:t>
      </w:r>
      <w:r w:rsidRPr="0092354F">
        <w:rPr>
          <w:rFonts w:ascii="Calibri" w:hAnsi="Calibri"/>
          <w:sz w:val="24"/>
          <w:szCs w:val="24"/>
          <w:lang w:val="cy-GB"/>
        </w:rPr>
        <w:t>AG D.3.4.a</w:t>
      </w:r>
      <w:r w:rsidR="00070732">
        <w:rPr>
          <w:rFonts w:ascii="Calibri" w:hAnsi="Calibri"/>
          <w:sz w:val="24"/>
          <w:szCs w:val="24"/>
          <w:lang w:val="cy-GB"/>
        </w:rPr>
        <w:t>.</w:t>
      </w:r>
      <w:r w:rsidRPr="0092354F">
        <w:rPr>
          <w:rFonts w:ascii="Calibri" w:hAnsi="Calibri"/>
          <w:sz w:val="24"/>
          <w:szCs w:val="24"/>
          <w:lang w:val="cy-GB"/>
        </w:rPr>
        <w:t xml:space="preserve"> and b. that would apply to both the Company’s own operations and its supply chain. </w:t>
      </w:r>
    </w:p>
    <w:p w14:paraId="7B2E24EF" w14:textId="45016F01" w:rsidR="00B84003" w:rsidRPr="0092354F" w:rsidRDefault="00B84003" w:rsidP="0092354F">
      <w:pPr>
        <w:pStyle w:val="ListParagraph"/>
        <w:shd w:val="clear" w:color="auto" w:fill="FFFFFF"/>
        <w:ind w:left="360"/>
        <w:rPr>
          <w:rFonts w:ascii="Calibri" w:hAnsi="Calibri"/>
          <w:sz w:val="24"/>
          <w:szCs w:val="24"/>
          <w:lang w:val="cy-GB"/>
        </w:rPr>
      </w:pPr>
    </w:p>
    <w:p w14:paraId="344BDF8F" w14:textId="77777777" w:rsidR="008839DA" w:rsidRPr="0092354F" w:rsidRDefault="00B84003" w:rsidP="00A44C2F">
      <w:pPr>
        <w:pStyle w:val="ListParagraph"/>
        <w:numPr>
          <w:ilvl w:val="0"/>
          <w:numId w:val="24"/>
        </w:numPr>
        <w:shd w:val="clear" w:color="auto" w:fill="FFFFFF"/>
        <w:rPr>
          <w:rFonts w:ascii="Calibri" w:hAnsi="Calibri"/>
          <w:sz w:val="24"/>
          <w:szCs w:val="24"/>
          <w:lang w:val="cy-GB"/>
        </w:rPr>
      </w:pPr>
      <w:r w:rsidRPr="0092354F">
        <w:rPr>
          <w:rFonts w:ascii="Calibri" w:hAnsi="Calibri"/>
          <w:sz w:val="24"/>
          <w:szCs w:val="24"/>
          <w:lang w:val="cy-GB"/>
        </w:rPr>
        <w:t>Rephrase the first paragraph of EX D.1.4. to read:</w:t>
      </w:r>
    </w:p>
    <w:p w14:paraId="5DCC38CE" w14:textId="77777777" w:rsidR="0072508D" w:rsidRDefault="00B84003" w:rsidP="0072508D">
      <w:pPr>
        <w:shd w:val="clear" w:color="auto" w:fill="FFFFFF"/>
        <w:ind w:left="360"/>
        <w:rPr>
          <w:rFonts w:ascii="Calibri" w:hAnsi="Calibri"/>
          <w:sz w:val="24"/>
          <w:szCs w:val="24"/>
          <w:lang w:val="cy-GB"/>
        </w:rPr>
      </w:pPr>
      <w:r w:rsidRPr="0092354F">
        <w:rPr>
          <w:rFonts w:ascii="Calibri" w:hAnsi="Calibri"/>
          <w:sz w:val="24"/>
          <w:szCs w:val="24"/>
          <w:lang w:val="cy-GB"/>
        </w:rPr>
        <w:t xml:space="preserve">‘The Company respects indigenous peoples’ rights in its processes to decide whether and how to carry out projects (or changes to existing projects) that impact on land and natural resources subject to traditional ownership or occupation or under customary use by indigenous peoples or on indigenous peoples’ cultural heritage….’ </w:t>
      </w:r>
    </w:p>
    <w:p w14:paraId="45EFDBBE" w14:textId="77777777" w:rsidR="00FD147F" w:rsidRPr="00E07368" w:rsidRDefault="00FD147F" w:rsidP="0092354F">
      <w:pPr>
        <w:pStyle w:val="ListParagraph"/>
        <w:numPr>
          <w:ilvl w:val="0"/>
          <w:numId w:val="47"/>
        </w:numPr>
        <w:rPr>
          <w:rFonts w:eastAsia="Times New Roman" w:cs="Arial"/>
          <w:color w:val="222222"/>
        </w:rPr>
      </w:pPr>
      <w:r w:rsidRPr="00E07368">
        <w:rPr>
          <w:rFonts w:ascii="Calibri" w:hAnsi="Calibri"/>
          <w:sz w:val="24"/>
          <w:szCs w:val="24"/>
          <w:lang w:val="cy-GB"/>
        </w:rPr>
        <w:t>Rephrase B.2.2. so that AG for Score 2 also reads ‘indigenous peoples’ rights, land rights (including resettlement)...’</w:t>
      </w:r>
    </w:p>
    <w:p w14:paraId="1625107F" w14:textId="77777777" w:rsidR="00FD147F" w:rsidRPr="0092354F" w:rsidRDefault="00FD147F" w:rsidP="0072508D">
      <w:pPr>
        <w:shd w:val="clear" w:color="auto" w:fill="FFFFFF"/>
        <w:ind w:left="360"/>
        <w:rPr>
          <w:rFonts w:ascii="Calibri" w:hAnsi="Calibri"/>
          <w:sz w:val="24"/>
          <w:szCs w:val="24"/>
          <w:lang w:val="cy-GB"/>
        </w:rPr>
      </w:pPr>
    </w:p>
    <w:p w14:paraId="5DAD9AEC" w14:textId="77777777" w:rsidR="00D87EF6" w:rsidRPr="0092354F" w:rsidRDefault="00D87EF6" w:rsidP="006D55E1">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2. Land Rights</w:t>
      </w:r>
    </w:p>
    <w:p w14:paraId="681D3A5B" w14:textId="1FF084E2" w:rsidR="00EB1551" w:rsidRPr="0092354F" w:rsidRDefault="00D87EF6" w:rsidP="00A44C2F">
      <w:pPr>
        <w:pStyle w:val="ListParagraph"/>
        <w:numPr>
          <w:ilvl w:val="0"/>
          <w:numId w:val="16"/>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The phrase ‘</w:t>
      </w:r>
      <w:r w:rsidR="00C047BC" w:rsidRPr="0092354F">
        <w:rPr>
          <w:rFonts w:ascii="Calibri" w:eastAsia="Times New Roman" w:hAnsi="Calibri" w:cs="Arial"/>
          <w:color w:val="222222"/>
          <w:sz w:val="24"/>
          <w:szCs w:val="24"/>
        </w:rPr>
        <w:t>legitimate tenure rights</w:t>
      </w:r>
      <w:r w:rsidRPr="0092354F">
        <w:rPr>
          <w:rFonts w:ascii="Calibri" w:eastAsia="Times New Roman" w:hAnsi="Calibri" w:cs="Arial"/>
          <w:color w:val="222222"/>
          <w:sz w:val="24"/>
          <w:szCs w:val="24"/>
        </w:rPr>
        <w:t xml:space="preserve">’ is used in a number of indicators (i.e. </w:t>
      </w:r>
      <w:r w:rsidR="00EB1551" w:rsidRPr="0092354F">
        <w:rPr>
          <w:rFonts w:ascii="Calibri" w:eastAsia="Times New Roman" w:hAnsi="Calibri" w:cs="Arial"/>
          <w:color w:val="222222"/>
          <w:sz w:val="24"/>
          <w:szCs w:val="24"/>
        </w:rPr>
        <w:t xml:space="preserve">in the industry </w:t>
      </w:r>
      <w:r w:rsidR="00D17F6A" w:rsidRPr="0092354F">
        <w:rPr>
          <w:rFonts w:ascii="Calibri" w:eastAsia="Times New Roman" w:hAnsi="Calibri" w:cs="Arial"/>
          <w:color w:val="222222"/>
          <w:sz w:val="24"/>
          <w:szCs w:val="24"/>
        </w:rPr>
        <w:t>locks</w:t>
      </w:r>
      <w:r w:rsidR="00EB1551" w:rsidRPr="0092354F">
        <w:rPr>
          <w:rFonts w:ascii="Calibri" w:eastAsia="Times New Roman" w:hAnsi="Calibri" w:cs="Arial"/>
          <w:color w:val="222222"/>
          <w:sz w:val="24"/>
          <w:szCs w:val="24"/>
        </w:rPr>
        <w:t xml:space="preserve"> of </w:t>
      </w:r>
      <w:r w:rsidRPr="0092354F">
        <w:rPr>
          <w:rFonts w:ascii="Calibri" w:eastAsia="Times New Roman" w:hAnsi="Calibri" w:cs="Arial"/>
          <w:color w:val="222222"/>
          <w:sz w:val="24"/>
          <w:szCs w:val="24"/>
        </w:rPr>
        <w:t xml:space="preserve">A.1.4, </w:t>
      </w:r>
      <w:r w:rsidR="00EB1551" w:rsidRPr="0092354F">
        <w:rPr>
          <w:rFonts w:ascii="Calibri" w:eastAsia="Times New Roman" w:hAnsi="Calibri" w:cs="Arial"/>
          <w:color w:val="222222"/>
          <w:sz w:val="24"/>
          <w:szCs w:val="24"/>
        </w:rPr>
        <w:t xml:space="preserve">in </w:t>
      </w:r>
      <w:r w:rsidRPr="0092354F">
        <w:rPr>
          <w:rFonts w:ascii="Calibri" w:eastAsia="Times New Roman" w:hAnsi="Calibri" w:cs="Arial"/>
          <w:color w:val="222222"/>
          <w:sz w:val="24"/>
          <w:szCs w:val="24"/>
        </w:rPr>
        <w:t>EX.  D.1</w:t>
      </w:r>
      <w:r w:rsidR="00B84003" w:rsidRPr="0092354F">
        <w:rPr>
          <w:rFonts w:ascii="Calibri" w:eastAsia="Times New Roman" w:hAnsi="Calibri" w:cs="Arial"/>
          <w:color w:val="222222"/>
          <w:sz w:val="24"/>
          <w:szCs w:val="24"/>
        </w:rPr>
        <w:t>.3</w:t>
      </w:r>
      <w:proofErr w:type="gramStart"/>
      <w:r w:rsidR="006026A9" w:rsidRPr="0092354F">
        <w:rPr>
          <w:rFonts w:ascii="Calibri" w:eastAsia="Times New Roman" w:hAnsi="Calibri" w:cs="Arial"/>
          <w:color w:val="222222"/>
          <w:sz w:val="24"/>
          <w:szCs w:val="24"/>
        </w:rPr>
        <w:t>.</w:t>
      </w:r>
      <w:r w:rsidR="00B84003" w:rsidRPr="0092354F">
        <w:rPr>
          <w:rFonts w:ascii="Calibri" w:eastAsia="Times New Roman" w:hAnsi="Calibri" w:cs="Arial"/>
          <w:color w:val="222222"/>
          <w:sz w:val="24"/>
          <w:szCs w:val="24"/>
        </w:rPr>
        <w:t>,</w:t>
      </w:r>
      <w:proofErr w:type="gramEnd"/>
      <w:r w:rsidR="00B84003" w:rsidRPr="0092354F">
        <w:rPr>
          <w:rFonts w:ascii="Calibri" w:eastAsia="Times New Roman" w:hAnsi="Calibri" w:cs="Arial"/>
          <w:color w:val="222222"/>
          <w:sz w:val="24"/>
          <w:szCs w:val="24"/>
        </w:rPr>
        <w:t xml:space="preserve"> EX D.1.4</w:t>
      </w:r>
      <w:r w:rsidR="006026A9" w:rsidRPr="0092354F">
        <w:rPr>
          <w:rFonts w:ascii="Calibri" w:eastAsia="Times New Roman" w:hAnsi="Calibri" w:cs="Arial"/>
          <w:color w:val="222222"/>
          <w:sz w:val="24"/>
          <w:szCs w:val="24"/>
        </w:rPr>
        <w:t>.</w:t>
      </w:r>
      <w:r w:rsidR="00B84003" w:rsidRPr="0092354F">
        <w:rPr>
          <w:rFonts w:ascii="Calibri" w:eastAsia="Times New Roman" w:hAnsi="Calibri" w:cs="Arial"/>
          <w:color w:val="222222"/>
          <w:sz w:val="24"/>
          <w:szCs w:val="24"/>
        </w:rPr>
        <w:t xml:space="preserve">, </w:t>
      </w:r>
      <w:r w:rsidR="00EB1551" w:rsidRPr="0092354F">
        <w:rPr>
          <w:rFonts w:ascii="Calibri" w:eastAsia="Times New Roman" w:hAnsi="Calibri" w:cs="Arial"/>
          <w:color w:val="222222"/>
          <w:sz w:val="24"/>
          <w:szCs w:val="24"/>
        </w:rPr>
        <w:t xml:space="preserve">and </w:t>
      </w:r>
      <w:r w:rsidR="00B84003" w:rsidRPr="0092354F">
        <w:rPr>
          <w:rFonts w:ascii="Calibri" w:eastAsia="Times New Roman" w:hAnsi="Calibri" w:cs="Arial"/>
          <w:color w:val="222222"/>
          <w:sz w:val="24"/>
          <w:szCs w:val="24"/>
        </w:rPr>
        <w:t>AG. D.3.4.a</w:t>
      </w:r>
      <w:r w:rsidR="006026A9" w:rsidRPr="0092354F">
        <w:rPr>
          <w:rFonts w:ascii="Calibri" w:eastAsia="Times New Roman" w:hAnsi="Calibri" w:cs="Arial"/>
          <w:color w:val="222222"/>
          <w:sz w:val="24"/>
          <w:szCs w:val="24"/>
        </w:rPr>
        <w:t>.</w:t>
      </w:r>
      <w:r w:rsidR="00B84003" w:rsidRPr="0092354F">
        <w:rPr>
          <w:rFonts w:ascii="Calibri" w:eastAsia="Times New Roman" w:hAnsi="Calibri" w:cs="Arial"/>
          <w:color w:val="222222"/>
          <w:sz w:val="24"/>
          <w:szCs w:val="24"/>
        </w:rPr>
        <w:t xml:space="preserve"> </w:t>
      </w:r>
      <w:proofErr w:type="gramStart"/>
      <w:r w:rsidR="00B84003" w:rsidRPr="0092354F">
        <w:rPr>
          <w:rFonts w:ascii="Calibri" w:eastAsia="Times New Roman" w:hAnsi="Calibri" w:cs="Arial"/>
          <w:color w:val="222222"/>
          <w:sz w:val="24"/>
          <w:szCs w:val="24"/>
        </w:rPr>
        <w:t>and</w:t>
      </w:r>
      <w:proofErr w:type="gramEnd"/>
      <w:r w:rsidR="00B84003" w:rsidRPr="0092354F">
        <w:rPr>
          <w:rFonts w:ascii="Calibri" w:eastAsia="Times New Roman" w:hAnsi="Calibri" w:cs="Arial"/>
          <w:color w:val="222222"/>
          <w:sz w:val="24"/>
          <w:szCs w:val="24"/>
        </w:rPr>
        <w:t xml:space="preserve"> b</w:t>
      </w:r>
      <w:r w:rsidR="006026A9" w:rsidRPr="0092354F">
        <w:rPr>
          <w:rFonts w:ascii="Calibri" w:eastAsia="Times New Roman" w:hAnsi="Calibri" w:cs="Arial"/>
          <w:color w:val="222222"/>
          <w:sz w:val="24"/>
          <w:szCs w:val="24"/>
        </w:rPr>
        <w:t>.</w:t>
      </w:r>
      <w:r w:rsidR="00050AEF" w:rsidRPr="0092354F">
        <w:rPr>
          <w:rFonts w:ascii="Calibri" w:eastAsia="Times New Roman" w:hAnsi="Calibri" w:cs="Arial"/>
          <w:color w:val="222222"/>
          <w:sz w:val="24"/>
          <w:szCs w:val="24"/>
        </w:rPr>
        <w:t>, and the EX industry lock of A.1.5</w:t>
      </w:r>
      <w:r w:rsidR="00070732" w:rsidRPr="0092354F">
        <w:rPr>
          <w:rFonts w:ascii="Calibri" w:eastAsia="Times New Roman" w:hAnsi="Calibri" w:cs="Arial"/>
          <w:color w:val="222222"/>
          <w:sz w:val="24"/>
          <w:szCs w:val="24"/>
        </w:rPr>
        <w:t>.</w:t>
      </w:r>
      <w:r w:rsidR="00070732">
        <w:rPr>
          <w:rFonts w:ascii="Calibri" w:eastAsia="Times New Roman" w:hAnsi="Calibri" w:cs="Arial"/>
          <w:color w:val="222222"/>
          <w:sz w:val="24"/>
          <w:szCs w:val="24"/>
        </w:rPr>
        <w:t>)</w:t>
      </w:r>
      <w:r w:rsidR="00070732" w:rsidRPr="0092354F">
        <w:rPr>
          <w:rFonts w:ascii="Calibri" w:eastAsia="Times New Roman" w:hAnsi="Calibri" w:cs="Arial"/>
          <w:color w:val="222222"/>
          <w:sz w:val="24"/>
          <w:szCs w:val="24"/>
        </w:rPr>
        <w:t xml:space="preserve"> </w:t>
      </w:r>
      <w:r w:rsidR="001702C8" w:rsidRPr="0092354F">
        <w:rPr>
          <w:rFonts w:ascii="Calibri" w:eastAsia="Times New Roman" w:hAnsi="Calibri" w:cs="Arial"/>
          <w:color w:val="222222"/>
          <w:sz w:val="24"/>
          <w:szCs w:val="24"/>
        </w:rPr>
        <w:t xml:space="preserve">While the FAO’s </w:t>
      </w:r>
      <w:r w:rsidR="001C5527" w:rsidRPr="0092354F">
        <w:rPr>
          <w:rFonts w:ascii="Calibri" w:eastAsia="Times New Roman" w:hAnsi="Calibri" w:cs="Arial"/>
          <w:color w:val="222222"/>
          <w:sz w:val="24"/>
          <w:szCs w:val="24"/>
        </w:rPr>
        <w:t xml:space="preserve">Voluntary Guidelines on </w:t>
      </w:r>
      <w:r w:rsidR="001702C8" w:rsidRPr="0092354F">
        <w:rPr>
          <w:rFonts w:ascii="Calibri" w:eastAsia="Times New Roman" w:hAnsi="Calibri" w:cs="Arial"/>
          <w:color w:val="222222"/>
          <w:sz w:val="24"/>
          <w:szCs w:val="24"/>
        </w:rPr>
        <w:t xml:space="preserve">Responsible Governance of Tenure uses the term ‘legitimate’, we find use of the term problematic in the context of the draft </w:t>
      </w:r>
      <w:r w:rsidR="009F7521" w:rsidRPr="0092354F">
        <w:rPr>
          <w:rFonts w:ascii="Calibri" w:eastAsia="Times New Roman" w:hAnsi="Calibri" w:cs="Arial"/>
          <w:color w:val="222222"/>
          <w:sz w:val="24"/>
          <w:szCs w:val="24"/>
        </w:rPr>
        <w:t>CHRB</w:t>
      </w:r>
      <w:r w:rsidR="001702C8" w:rsidRPr="0092354F">
        <w:rPr>
          <w:rFonts w:ascii="Calibri" w:eastAsia="Times New Roman" w:hAnsi="Calibri" w:cs="Arial"/>
          <w:color w:val="222222"/>
          <w:sz w:val="24"/>
          <w:szCs w:val="24"/>
        </w:rPr>
        <w:t>. T</w:t>
      </w:r>
      <w:r w:rsidRPr="0092354F">
        <w:rPr>
          <w:rFonts w:ascii="Calibri" w:eastAsia="Times New Roman" w:hAnsi="Calibri" w:cs="Arial"/>
          <w:color w:val="222222"/>
          <w:sz w:val="24"/>
          <w:szCs w:val="24"/>
        </w:rPr>
        <w:t xml:space="preserve">he </w:t>
      </w:r>
      <w:r w:rsidR="00C047BC" w:rsidRPr="0092354F">
        <w:rPr>
          <w:rFonts w:ascii="Calibri" w:eastAsia="Times New Roman" w:hAnsi="Calibri" w:cs="Arial"/>
          <w:color w:val="222222"/>
          <w:sz w:val="24"/>
          <w:szCs w:val="24"/>
        </w:rPr>
        <w:t xml:space="preserve">term ‘legitimate’ implies a determination of </w:t>
      </w:r>
      <w:r w:rsidR="00801CE8" w:rsidRPr="0092354F">
        <w:rPr>
          <w:rFonts w:ascii="Calibri" w:eastAsia="Times New Roman" w:hAnsi="Calibri" w:cs="Arial"/>
          <w:color w:val="222222"/>
          <w:sz w:val="24"/>
          <w:szCs w:val="24"/>
        </w:rPr>
        <w:t xml:space="preserve">conformity to the national laws, which may actually disenfranchise the rights of certain persons and </w:t>
      </w:r>
      <w:proofErr w:type="gramStart"/>
      <w:r w:rsidR="00801CE8" w:rsidRPr="0092354F">
        <w:rPr>
          <w:rFonts w:ascii="Calibri" w:eastAsia="Times New Roman" w:hAnsi="Calibri" w:cs="Arial"/>
          <w:color w:val="222222"/>
          <w:sz w:val="24"/>
          <w:szCs w:val="24"/>
        </w:rPr>
        <w:t>groups,</w:t>
      </w:r>
      <w:proofErr w:type="gramEnd"/>
      <w:r w:rsidR="00801CE8" w:rsidRPr="0092354F">
        <w:rPr>
          <w:rFonts w:ascii="Calibri" w:eastAsia="Times New Roman" w:hAnsi="Calibri" w:cs="Arial"/>
          <w:color w:val="222222"/>
          <w:sz w:val="24"/>
          <w:szCs w:val="24"/>
        </w:rPr>
        <w:t xml:space="preserve"> particularly customary land rights holders and indigenous peoples.</w:t>
      </w:r>
      <w:r w:rsidR="00C047BC" w:rsidRPr="0092354F">
        <w:rPr>
          <w:rFonts w:ascii="Calibri" w:eastAsia="Times New Roman" w:hAnsi="Calibri" w:cs="Arial"/>
          <w:color w:val="222222"/>
          <w:sz w:val="24"/>
          <w:szCs w:val="24"/>
        </w:rPr>
        <w:t xml:space="preserve">  Moreover, the </w:t>
      </w:r>
      <w:r w:rsidRPr="0092354F">
        <w:rPr>
          <w:rFonts w:ascii="Calibri" w:eastAsia="Times New Roman" w:hAnsi="Calibri" w:cs="Arial"/>
          <w:color w:val="222222"/>
          <w:sz w:val="24"/>
          <w:szCs w:val="24"/>
        </w:rPr>
        <w:t xml:space="preserve">determination of </w:t>
      </w:r>
      <w:r w:rsidR="00C047BC" w:rsidRPr="0092354F">
        <w:rPr>
          <w:rFonts w:ascii="Calibri" w:eastAsia="Times New Roman" w:hAnsi="Calibri" w:cs="Arial"/>
          <w:color w:val="222222"/>
          <w:sz w:val="24"/>
          <w:szCs w:val="24"/>
        </w:rPr>
        <w:t xml:space="preserve">whether the person or community has ‘legitimate tenure rights’ </w:t>
      </w:r>
      <w:r w:rsidRPr="0092354F">
        <w:rPr>
          <w:rFonts w:ascii="Calibri" w:eastAsia="Times New Roman" w:hAnsi="Calibri" w:cs="Arial"/>
          <w:color w:val="222222"/>
          <w:sz w:val="24"/>
          <w:szCs w:val="24"/>
        </w:rPr>
        <w:t xml:space="preserve">would </w:t>
      </w:r>
      <w:r w:rsidR="00C047BC" w:rsidRPr="0092354F">
        <w:rPr>
          <w:rFonts w:ascii="Calibri" w:eastAsia="Times New Roman" w:hAnsi="Calibri" w:cs="Arial"/>
          <w:color w:val="222222"/>
          <w:sz w:val="24"/>
          <w:szCs w:val="24"/>
        </w:rPr>
        <w:t xml:space="preserve">certainly </w:t>
      </w:r>
      <w:r w:rsidRPr="0092354F">
        <w:rPr>
          <w:rFonts w:ascii="Calibri" w:eastAsia="Times New Roman" w:hAnsi="Calibri" w:cs="Arial"/>
          <w:color w:val="222222"/>
          <w:sz w:val="24"/>
          <w:szCs w:val="24"/>
        </w:rPr>
        <w:t>vary depending upo</w:t>
      </w:r>
      <w:r w:rsidR="00C047BC" w:rsidRPr="0092354F">
        <w:rPr>
          <w:rFonts w:ascii="Calibri" w:eastAsia="Times New Roman" w:hAnsi="Calibri" w:cs="Arial"/>
          <w:color w:val="222222"/>
          <w:sz w:val="24"/>
          <w:szCs w:val="24"/>
        </w:rPr>
        <w:t xml:space="preserve">n whether it is the government </w:t>
      </w:r>
      <w:r w:rsidRPr="0092354F">
        <w:rPr>
          <w:rFonts w:ascii="Calibri" w:eastAsia="Times New Roman" w:hAnsi="Calibri" w:cs="Arial"/>
          <w:color w:val="222222"/>
          <w:sz w:val="24"/>
          <w:szCs w:val="24"/>
        </w:rPr>
        <w:t xml:space="preserve">or </w:t>
      </w:r>
      <w:r w:rsidR="00C047BC" w:rsidRPr="0092354F">
        <w:rPr>
          <w:rFonts w:ascii="Calibri" w:eastAsia="Times New Roman" w:hAnsi="Calibri" w:cs="Arial"/>
          <w:color w:val="222222"/>
          <w:sz w:val="24"/>
          <w:szCs w:val="24"/>
        </w:rPr>
        <w:t xml:space="preserve">persons or community asserting </w:t>
      </w:r>
      <w:r w:rsidRPr="0092354F">
        <w:rPr>
          <w:rFonts w:ascii="Calibri" w:eastAsia="Times New Roman" w:hAnsi="Calibri" w:cs="Arial"/>
          <w:color w:val="222222"/>
          <w:sz w:val="24"/>
          <w:szCs w:val="24"/>
        </w:rPr>
        <w:t>tenure rights</w:t>
      </w:r>
      <w:r w:rsidR="00C047BC" w:rsidRPr="0092354F">
        <w:rPr>
          <w:rFonts w:ascii="Calibri" w:eastAsia="Times New Roman" w:hAnsi="Calibri" w:cs="Arial"/>
          <w:color w:val="222222"/>
          <w:sz w:val="24"/>
          <w:szCs w:val="24"/>
        </w:rPr>
        <w:t xml:space="preserve">, which would place the Company in a difficult position of assessing whether such rights are ‘legitimate’. </w:t>
      </w:r>
      <w:r w:rsidR="00FB3CE1" w:rsidRPr="0092354F">
        <w:rPr>
          <w:rFonts w:ascii="Calibri" w:eastAsia="Times New Roman" w:hAnsi="Calibri" w:cs="Arial"/>
          <w:color w:val="222222"/>
          <w:sz w:val="24"/>
          <w:szCs w:val="24"/>
        </w:rPr>
        <w:t xml:space="preserve">In particular, we would note that </w:t>
      </w:r>
      <w:r w:rsidR="001033F3" w:rsidRPr="0092354F">
        <w:rPr>
          <w:rFonts w:ascii="Calibri" w:eastAsia="Times New Roman" w:hAnsi="Calibri" w:cs="Arial"/>
          <w:color w:val="222222"/>
          <w:sz w:val="24"/>
          <w:szCs w:val="24"/>
        </w:rPr>
        <w:t xml:space="preserve">while EX D.1.4. </w:t>
      </w:r>
      <w:proofErr w:type="gramStart"/>
      <w:r w:rsidR="001033F3" w:rsidRPr="0092354F">
        <w:rPr>
          <w:rFonts w:ascii="Calibri" w:eastAsia="Times New Roman" w:hAnsi="Calibri" w:cs="Arial"/>
          <w:color w:val="222222"/>
          <w:sz w:val="24"/>
          <w:szCs w:val="24"/>
        </w:rPr>
        <w:t>recognises</w:t>
      </w:r>
      <w:proofErr w:type="gramEnd"/>
      <w:r w:rsidR="001033F3" w:rsidRPr="0092354F">
        <w:rPr>
          <w:rFonts w:ascii="Calibri" w:eastAsia="Times New Roman" w:hAnsi="Calibri" w:cs="Arial"/>
          <w:color w:val="222222"/>
          <w:sz w:val="24"/>
          <w:szCs w:val="24"/>
        </w:rPr>
        <w:t xml:space="preserve"> that lands or territories may be ‘traditionally owned or occupied or customarily used by indigenous peoples’, these rights to the land may</w:t>
      </w:r>
      <w:r w:rsidR="00FB3CE1" w:rsidRPr="0092354F">
        <w:rPr>
          <w:rFonts w:ascii="Calibri" w:eastAsia="Times New Roman" w:hAnsi="Calibri" w:cs="Arial"/>
          <w:color w:val="222222"/>
          <w:sz w:val="24"/>
          <w:szCs w:val="24"/>
        </w:rPr>
        <w:t xml:space="preserve"> not </w:t>
      </w:r>
      <w:r w:rsidR="001033F3" w:rsidRPr="0092354F">
        <w:rPr>
          <w:rFonts w:ascii="Calibri" w:eastAsia="Times New Roman" w:hAnsi="Calibri" w:cs="Arial"/>
          <w:color w:val="222222"/>
          <w:sz w:val="24"/>
          <w:szCs w:val="24"/>
        </w:rPr>
        <w:t xml:space="preserve">be recognised or </w:t>
      </w:r>
      <w:r w:rsidR="00FB3CE1" w:rsidRPr="0092354F">
        <w:rPr>
          <w:rFonts w:ascii="Calibri" w:eastAsia="Times New Roman" w:hAnsi="Calibri" w:cs="Arial"/>
          <w:color w:val="222222"/>
          <w:sz w:val="24"/>
          <w:szCs w:val="24"/>
        </w:rPr>
        <w:t xml:space="preserve">registered by the government. </w:t>
      </w:r>
      <w:r w:rsidR="00086CC2" w:rsidRPr="0092354F">
        <w:rPr>
          <w:rFonts w:ascii="Calibri" w:eastAsia="Times New Roman" w:hAnsi="Calibri" w:cs="Arial"/>
          <w:color w:val="222222"/>
          <w:sz w:val="24"/>
          <w:szCs w:val="24"/>
        </w:rPr>
        <w:t xml:space="preserve"> </w:t>
      </w:r>
    </w:p>
    <w:p w14:paraId="4454A11B" w14:textId="77777777" w:rsidR="00D87EF6" w:rsidRPr="0092354F" w:rsidRDefault="00086CC2" w:rsidP="00A44C2F">
      <w:pPr>
        <w:pStyle w:val="ListParagraph"/>
        <w:numPr>
          <w:ilvl w:val="0"/>
          <w:numId w:val="16"/>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In order for a Company to proceed with the lease, acquisition or other arrangements for use of land, it may first be necessary to clarify the legally recognised rights to lands and territories of indigenous peoples, as has been recognised by the World Bank</w:t>
      </w:r>
      <w:r w:rsidR="001033F3" w:rsidRPr="0092354F">
        <w:rPr>
          <w:rFonts w:ascii="Calibri" w:eastAsia="Times New Roman" w:hAnsi="Calibri" w:cs="Arial"/>
          <w:color w:val="222222"/>
          <w:sz w:val="24"/>
          <w:szCs w:val="24"/>
        </w:rPr>
        <w:t xml:space="preserve"> in its July 1, 2015 draft of its Environmental and Social Framework (</w:t>
      </w:r>
      <w:proofErr w:type="spellStart"/>
      <w:r w:rsidR="001033F3" w:rsidRPr="0092354F">
        <w:rPr>
          <w:rFonts w:ascii="Calibri" w:eastAsia="Times New Roman" w:hAnsi="Calibri" w:cs="Arial"/>
          <w:color w:val="222222"/>
          <w:sz w:val="24"/>
          <w:szCs w:val="24"/>
        </w:rPr>
        <w:t>para</w:t>
      </w:r>
      <w:proofErr w:type="spellEnd"/>
      <w:r w:rsidR="001033F3" w:rsidRPr="0092354F">
        <w:rPr>
          <w:rFonts w:ascii="Calibri" w:eastAsia="Times New Roman" w:hAnsi="Calibri" w:cs="Arial"/>
          <w:color w:val="222222"/>
          <w:sz w:val="24"/>
          <w:szCs w:val="24"/>
        </w:rPr>
        <w:t>. 21).</w:t>
      </w:r>
      <w:r w:rsidR="00C047BC" w:rsidRPr="0092354F">
        <w:rPr>
          <w:rFonts w:ascii="Calibri" w:eastAsia="Times New Roman" w:hAnsi="Calibri" w:cs="Arial"/>
          <w:color w:val="222222"/>
          <w:sz w:val="24"/>
          <w:szCs w:val="24"/>
        </w:rPr>
        <w:t xml:space="preserve">  </w:t>
      </w:r>
    </w:p>
    <w:p w14:paraId="7DB55FCC" w14:textId="77777777" w:rsidR="00D87EF6" w:rsidRPr="0092354F" w:rsidRDefault="001033F3" w:rsidP="006D55E1">
      <w:pPr>
        <w:shd w:val="clear" w:color="auto" w:fill="FFFFFF"/>
        <w:outlineLvl w:val="0"/>
        <w:rPr>
          <w:rFonts w:ascii="Calibri" w:eastAsia="Times New Roman" w:hAnsi="Calibri" w:cs="Arial"/>
          <w:color w:val="222222"/>
          <w:sz w:val="24"/>
          <w:szCs w:val="24"/>
          <w:u w:val="single"/>
        </w:rPr>
      </w:pPr>
      <w:r w:rsidRPr="0092354F">
        <w:rPr>
          <w:rFonts w:ascii="Calibri" w:eastAsia="Times New Roman" w:hAnsi="Calibri" w:cs="Arial"/>
          <w:b/>
          <w:color w:val="222222"/>
          <w:sz w:val="24"/>
          <w:szCs w:val="24"/>
          <w:u w:val="single"/>
        </w:rPr>
        <w:t xml:space="preserve">Recommendation: </w:t>
      </w:r>
    </w:p>
    <w:p w14:paraId="322910E4" w14:textId="0860539A" w:rsidR="00805802" w:rsidRPr="0092354F" w:rsidRDefault="00B84003" w:rsidP="00025BB4">
      <w:pPr>
        <w:pStyle w:val="ListParagraph"/>
        <w:numPr>
          <w:ilvl w:val="0"/>
          <w:numId w:val="25"/>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Delet</w:t>
      </w:r>
      <w:r w:rsidR="00EB1551" w:rsidRPr="0092354F">
        <w:rPr>
          <w:rFonts w:ascii="Calibri" w:eastAsia="Times New Roman" w:hAnsi="Calibri" w:cs="Arial"/>
          <w:color w:val="222222"/>
          <w:sz w:val="24"/>
          <w:szCs w:val="24"/>
        </w:rPr>
        <w:t>e</w:t>
      </w:r>
      <w:r w:rsidRPr="0092354F">
        <w:rPr>
          <w:rFonts w:ascii="Calibri" w:eastAsia="Times New Roman" w:hAnsi="Calibri" w:cs="Arial"/>
          <w:color w:val="222222"/>
          <w:sz w:val="24"/>
          <w:szCs w:val="24"/>
        </w:rPr>
        <w:t xml:space="preserve"> the </w:t>
      </w:r>
      <w:r w:rsidR="00EB1551" w:rsidRPr="0092354F">
        <w:rPr>
          <w:rFonts w:ascii="Calibri" w:eastAsia="Times New Roman" w:hAnsi="Calibri" w:cs="Arial"/>
          <w:color w:val="222222"/>
          <w:sz w:val="24"/>
          <w:szCs w:val="24"/>
        </w:rPr>
        <w:t xml:space="preserve">word </w:t>
      </w:r>
      <w:r w:rsidR="00C047BC" w:rsidRPr="0092354F">
        <w:rPr>
          <w:rFonts w:ascii="Calibri" w:eastAsia="Times New Roman" w:hAnsi="Calibri" w:cs="Arial"/>
          <w:color w:val="222222"/>
          <w:sz w:val="24"/>
          <w:szCs w:val="24"/>
        </w:rPr>
        <w:t>‘legitimate’ where it is used in connection with ‘tenure rights</w:t>
      </w:r>
      <w:r w:rsidR="00FD0EB0"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w:t>
      </w:r>
      <w:r w:rsidR="004F597B" w:rsidRPr="0092354F">
        <w:rPr>
          <w:rFonts w:ascii="Calibri" w:eastAsia="Times New Roman" w:hAnsi="Calibri" w:cs="Arial"/>
          <w:color w:val="222222"/>
          <w:sz w:val="24"/>
          <w:szCs w:val="24"/>
        </w:rPr>
        <w:t xml:space="preserve"> for example,</w:t>
      </w:r>
      <w:r w:rsidRPr="0092354F">
        <w:rPr>
          <w:rFonts w:ascii="Calibri" w:eastAsia="Times New Roman" w:hAnsi="Calibri" w:cs="Arial"/>
          <w:color w:val="222222"/>
          <w:sz w:val="24"/>
          <w:szCs w:val="24"/>
        </w:rPr>
        <w:t xml:space="preserve"> in </w:t>
      </w:r>
      <w:r w:rsidR="00C047BC" w:rsidRPr="0092354F">
        <w:rPr>
          <w:rFonts w:ascii="Calibri" w:eastAsia="Times New Roman" w:hAnsi="Calibri" w:cs="Arial"/>
          <w:color w:val="222222"/>
          <w:sz w:val="24"/>
          <w:szCs w:val="24"/>
        </w:rPr>
        <w:t>A.1.4</w:t>
      </w:r>
      <w:proofErr w:type="gramStart"/>
      <w:r w:rsidR="006026A9" w:rsidRPr="0092354F">
        <w:rPr>
          <w:rFonts w:ascii="Calibri" w:eastAsia="Times New Roman" w:hAnsi="Calibri" w:cs="Arial"/>
          <w:color w:val="222222"/>
          <w:sz w:val="24"/>
          <w:szCs w:val="24"/>
        </w:rPr>
        <w:t>.</w:t>
      </w:r>
      <w:r w:rsidR="00C047BC" w:rsidRPr="0092354F">
        <w:rPr>
          <w:rFonts w:ascii="Calibri" w:eastAsia="Times New Roman" w:hAnsi="Calibri" w:cs="Arial"/>
          <w:color w:val="222222"/>
          <w:sz w:val="24"/>
          <w:szCs w:val="24"/>
        </w:rPr>
        <w:t>,</w:t>
      </w:r>
      <w:proofErr w:type="gramEnd"/>
      <w:r w:rsidR="00C047BC" w:rsidRPr="0092354F">
        <w:rPr>
          <w:rFonts w:ascii="Calibri" w:eastAsia="Times New Roman" w:hAnsi="Calibri" w:cs="Arial"/>
          <w:color w:val="222222"/>
          <w:sz w:val="24"/>
          <w:szCs w:val="24"/>
        </w:rPr>
        <w:t xml:space="preserve"> </w:t>
      </w:r>
      <w:r w:rsidRPr="0092354F">
        <w:rPr>
          <w:rFonts w:ascii="Calibri" w:eastAsia="Times New Roman" w:hAnsi="Calibri" w:cs="Arial"/>
          <w:color w:val="222222"/>
          <w:sz w:val="24"/>
          <w:szCs w:val="24"/>
        </w:rPr>
        <w:t>EX D.1.4</w:t>
      </w:r>
      <w:r w:rsidR="00805802" w:rsidRPr="0092354F">
        <w:rPr>
          <w:rFonts w:ascii="Calibri" w:eastAsia="Times New Roman" w:hAnsi="Calibri" w:cs="Arial"/>
          <w:color w:val="222222"/>
          <w:sz w:val="24"/>
          <w:szCs w:val="24"/>
        </w:rPr>
        <w:t>.</w:t>
      </w:r>
      <w:r w:rsidR="004F597B" w:rsidRPr="0092354F">
        <w:rPr>
          <w:rFonts w:ascii="Calibri" w:eastAsia="Times New Roman" w:hAnsi="Calibri" w:cs="Arial"/>
          <w:color w:val="222222"/>
          <w:sz w:val="24"/>
          <w:szCs w:val="24"/>
        </w:rPr>
        <w:t>,</w:t>
      </w:r>
      <w:r w:rsidR="00FD0EB0" w:rsidRPr="0092354F">
        <w:rPr>
          <w:rFonts w:ascii="Calibri" w:eastAsia="Times New Roman" w:hAnsi="Calibri" w:cs="Arial"/>
          <w:color w:val="222222"/>
          <w:sz w:val="24"/>
          <w:szCs w:val="24"/>
        </w:rPr>
        <w:t xml:space="preserve"> </w:t>
      </w:r>
      <w:r w:rsidR="00805802" w:rsidRPr="0092354F">
        <w:rPr>
          <w:rFonts w:ascii="Calibri" w:eastAsia="Times New Roman" w:hAnsi="Calibri" w:cs="Arial"/>
          <w:color w:val="222222"/>
          <w:sz w:val="24"/>
          <w:szCs w:val="24"/>
        </w:rPr>
        <w:t>AG</w:t>
      </w:r>
      <w:r w:rsidR="006026A9" w:rsidRPr="0092354F">
        <w:rPr>
          <w:rFonts w:ascii="Calibri" w:eastAsia="Times New Roman" w:hAnsi="Calibri" w:cs="Arial"/>
          <w:color w:val="222222"/>
          <w:sz w:val="24"/>
          <w:szCs w:val="24"/>
        </w:rPr>
        <w:t xml:space="preserve"> </w:t>
      </w:r>
      <w:r w:rsidR="00805802" w:rsidRPr="0092354F">
        <w:rPr>
          <w:rFonts w:ascii="Calibri" w:eastAsia="Times New Roman" w:hAnsi="Calibri" w:cs="Arial"/>
          <w:color w:val="222222"/>
          <w:sz w:val="24"/>
          <w:szCs w:val="24"/>
        </w:rPr>
        <w:t xml:space="preserve">D.3.4.a. </w:t>
      </w:r>
      <w:proofErr w:type="gramStart"/>
      <w:r w:rsidR="00C047BC" w:rsidRPr="0092354F">
        <w:rPr>
          <w:rFonts w:ascii="Calibri" w:eastAsia="Times New Roman" w:hAnsi="Calibri" w:cs="Arial"/>
          <w:color w:val="222222"/>
          <w:sz w:val="24"/>
          <w:szCs w:val="24"/>
        </w:rPr>
        <w:t>and</w:t>
      </w:r>
      <w:proofErr w:type="gramEnd"/>
      <w:r w:rsidR="00C047BC" w:rsidRPr="0092354F">
        <w:rPr>
          <w:rFonts w:ascii="Calibri" w:eastAsia="Times New Roman" w:hAnsi="Calibri" w:cs="Arial"/>
          <w:color w:val="222222"/>
          <w:sz w:val="24"/>
          <w:szCs w:val="24"/>
        </w:rPr>
        <w:t xml:space="preserve"> b.</w:t>
      </w:r>
      <w:r w:rsidR="004F597B" w:rsidRPr="0092354F">
        <w:rPr>
          <w:rFonts w:ascii="Calibri" w:eastAsia="Times New Roman" w:hAnsi="Calibri" w:cs="Arial"/>
          <w:color w:val="222222"/>
          <w:sz w:val="24"/>
          <w:szCs w:val="24"/>
        </w:rPr>
        <w:t>, and the EX industry lock of A.1.5,</w:t>
      </w:r>
      <w:r w:rsidR="00C047BC" w:rsidRPr="0092354F">
        <w:rPr>
          <w:rFonts w:ascii="Calibri" w:eastAsia="Times New Roman" w:hAnsi="Calibri" w:cs="Arial"/>
          <w:color w:val="222222"/>
          <w:sz w:val="24"/>
          <w:szCs w:val="24"/>
        </w:rPr>
        <w:t xml:space="preserve"> and introduce</w:t>
      </w:r>
      <w:r w:rsidR="008527BF" w:rsidRPr="0092354F">
        <w:rPr>
          <w:rFonts w:ascii="Calibri" w:eastAsia="Times New Roman" w:hAnsi="Calibri" w:cs="Arial"/>
          <w:color w:val="222222"/>
          <w:sz w:val="24"/>
          <w:szCs w:val="24"/>
        </w:rPr>
        <w:t xml:space="preserve"> into the score categories, most likely score 2, that the Company has prepared a plan</w:t>
      </w:r>
      <w:r w:rsidR="001702C8" w:rsidRPr="0092354F">
        <w:rPr>
          <w:rFonts w:ascii="Calibri" w:eastAsia="Times New Roman" w:hAnsi="Calibri" w:cs="Arial"/>
          <w:color w:val="222222"/>
          <w:sz w:val="24"/>
          <w:szCs w:val="24"/>
        </w:rPr>
        <w:t xml:space="preserve"> to support</w:t>
      </w:r>
      <w:r w:rsidR="008527BF" w:rsidRPr="0092354F">
        <w:rPr>
          <w:rFonts w:ascii="Calibri" w:eastAsia="Times New Roman" w:hAnsi="Calibri" w:cs="Arial"/>
          <w:color w:val="222222"/>
          <w:sz w:val="24"/>
          <w:szCs w:val="24"/>
        </w:rPr>
        <w:t xml:space="preserve"> the legal recognition of land rights of affected persons and communities. </w:t>
      </w:r>
      <w:r w:rsidR="00C047BC" w:rsidRPr="0092354F">
        <w:rPr>
          <w:rFonts w:ascii="Calibri" w:eastAsia="Times New Roman" w:hAnsi="Calibri" w:cs="Arial"/>
          <w:color w:val="222222"/>
          <w:sz w:val="24"/>
          <w:szCs w:val="24"/>
        </w:rPr>
        <w:t xml:space="preserve"> </w:t>
      </w:r>
    </w:p>
    <w:p w14:paraId="6C79D75D" w14:textId="77777777" w:rsidR="006C304C" w:rsidRPr="0092354F" w:rsidRDefault="006C304C" w:rsidP="00A44C2F">
      <w:pPr>
        <w:shd w:val="clear" w:color="auto" w:fill="FFFFFF"/>
        <w:rPr>
          <w:rFonts w:ascii="Calibri" w:eastAsia="Times New Roman" w:hAnsi="Calibri" w:cs="Arial"/>
          <w:b/>
          <w:color w:val="222222"/>
          <w:sz w:val="24"/>
          <w:szCs w:val="24"/>
        </w:rPr>
      </w:pPr>
    </w:p>
    <w:p w14:paraId="1947F124" w14:textId="385C2009" w:rsidR="0013014D" w:rsidRPr="0092354F" w:rsidRDefault="008527BF" w:rsidP="006D55E1">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 xml:space="preserve">3. </w:t>
      </w:r>
      <w:r w:rsidR="005A3D88">
        <w:rPr>
          <w:rFonts w:ascii="Calibri" w:eastAsia="Times New Roman" w:hAnsi="Calibri" w:cs="Arial"/>
          <w:b/>
          <w:color w:val="222222"/>
          <w:sz w:val="24"/>
          <w:szCs w:val="24"/>
        </w:rPr>
        <w:t>V</w:t>
      </w:r>
      <w:r w:rsidR="00AB07F0" w:rsidRPr="0092354F">
        <w:rPr>
          <w:rFonts w:ascii="Calibri" w:eastAsia="Times New Roman" w:hAnsi="Calibri" w:cs="Arial"/>
          <w:b/>
          <w:color w:val="222222"/>
          <w:sz w:val="24"/>
          <w:szCs w:val="24"/>
        </w:rPr>
        <w:t>ulnerable</w:t>
      </w:r>
      <w:r w:rsidR="005A3D88">
        <w:rPr>
          <w:rFonts w:ascii="Calibri" w:eastAsia="Times New Roman" w:hAnsi="Calibri" w:cs="Arial"/>
          <w:b/>
          <w:color w:val="222222"/>
          <w:sz w:val="24"/>
          <w:szCs w:val="24"/>
        </w:rPr>
        <w:t xml:space="preserve"> and marginalised groups</w:t>
      </w:r>
    </w:p>
    <w:p w14:paraId="74874E91" w14:textId="2BFD8AA9" w:rsidR="005A3D88" w:rsidRDefault="008527BF">
      <w:pPr>
        <w:pStyle w:val="ListParagraph"/>
        <w:numPr>
          <w:ilvl w:val="0"/>
          <w:numId w:val="21"/>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We note that the term ‘vulnerable’ is used in several places to describe persons whose rights may be affected (i.e. A.1.3</w:t>
      </w:r>
      <w:proofErr w:type="gramStart"/>
      <w:r w:rsidR="00082B37"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w:t>
      </w:r>
      <w:proofErr w:type="gramEnd"/>
      <w:r w:rsidRPr="0092354F">
        <w:rPr>
          <w:rFonts w:ascii="Calibri" w:eastAsia="Times New Roman" w:hAnsi="Calibri" w:cs="Arial"/>
          <w:color w:val="222222"/>
          <w:sz w:val="24"/>
          <w:szCs w:val="24"/>
        </w:rPr>
        <w:t xml:space="preserve"> </w:t>
      </w:r>
      <w:r w:rsidR="0013014D" w:rsidRPr="0092354F">
        <w:rPr>
          <w:rFonts w:ascii="Calibri" w:eastAsia="Times New Roman" w:hAnsi="Calibri" w:cs="Arial"/>
          <w:color w:val="222222"/>
          <w:sz w:val="24"/>
          <w:szCs w:val="24"/>
        </w:rPr>
        <w:t>E</w:t>
      </w:r>
      <w:r w:rsidR="006026A9" w:rsidRPr="0092354F">
        <w:rPr>
          <w:rFonts w:ascii="Calibri" w:eastAsia="Times New Roman" w:hAnsi="Calibri" w:cs="Arial"/>
          <w:color w:val="222222"/>
          <w:sz w:val="24"/>
          <w:szCs w:val="24"/>
        </w:rPr>
        <w:t>X</w:t>
      </w:r>
      <w:r w:rsidR="0013014D" w:rsidRPr="0092354F">
        <w:rPr>
          <w:rFonts w:ascii="Calibri" w:eastAsia="Times New Roman" w:hAnsi="Calibri" w:cs="Arial"/>
          <w:color w:val="222222"/>
          <w:sz w:val="24"/>
          <w:szCs w:val="24"/>
        </w:rPr>
        <w:t xml:space="preserve"> D.1.3</w:t>
      </w:r>
      <w:r w:rsidR="00082B37" w:rsidRPr="0092354F">
        <w:rPr>
          <w:rFonts w:ascii="Calibri" w:eastAsia="Times New Roman" w:hAnsi="Calibri" w:cs="Arial"/>
          <w:color w:val="222222"/>
          <w:sz w:val="24"/>
          <w:szCs w:val="24"/>
        </w:rPr>
        <w:t>.</w:t>
      </w:r>
      <w:r w:rsidR="0013014D" w:rsidRPr="0092354F">
        <w:rPr>
          <w:rFonts w:ascii="Calibri" w:eastAsia="Times New Roman" w:hAnsi="Calibri" w:cs="Arial"/>
          <w:color w:val="222222"/>
          <w:sz w:val="24"/>
          <w:szCs w:val="24"/>
        </w:rPr>
        <w:t xml:space="preserve">, </w:t>
      </w:r>
      <w:r w:rsidRPr="0092354F">
        <w:rPr>
          <w:rFonts w:ascii="Calibri" w:eastAsia="Times New Roman" w:hAnsi="Calibri" w:cs="Arial"/>
          <w:color w:val="222222"/>
          <w:sz w:val="24"/>
          <w:szCs w:val="24"/>
        </w:rPr>
        <w:t xml:space="preserve">and </w:t>
      </w:r>
      <w:r w:rsidR="0013014D" w:rsidRPr="0092354F">
        <w:rPr>
          <w:rFonts w:ascii="Calibri" w:eastAsia="Times New Roman" w:hAnsi="Calibri" w:cs="Arial"/>
          <w:color w:val="222222"/>
          <w:sz w:val="24"/>
          <w:szCs w:val="24"/>
        </w:rPr>
        <w:t>AG</w:t>
      </w:r>
      <w:r w:rsidR="006026A9" w:rsidRPr="0092354F">
        <w:rPr>
          <w:rFonts w:ascii="Calibri" w:eastAsia="Times New Roman" w:hAnsi="Calibri" w:cs="Arial"/>
          <w:color w:val="222222"/>
          <w:sz w:val="24"/>
          <w:szCs w:val="24"/>
        </w:rPr>
        <w:t xml:space="preserve"> </w:t>
      </w:r>
      <w:r w:rsidR="0013014D" w:rsidRPr="0092354F">
        <w:rPr>
          <w:rFonts w:ascii="Calibri" w:eastAsia="Times New Roman" w:hAnsi="Calibri" w:cs="Arial"/>
          <w:color w:val="222222"/>
          <w:sz w:val="24"/>
          <w:szCs w:val="24"/>
        </w:rPr>
        <w:t>D.3.4.a</w:t>
      </w:r>
      <w:r w:rsidR="00082B37" w:rsidRPr="0092354F">
        <w:rPr>
          <w:rFonts w:ascii="Calibri" w:eastAsia="Times New Roman" w:hAnsi="Calibri" w:cs="Arial"/>
          <w:color w:val="222222"/>
          <w:sz w:val="24"/>
          <w:szCs w:val="24"/>
        </w:rPr>
        <w:t>.</w:t>
      </w:r>
      <w:r w:rsidR="0013014D" w:rsidRPr="0092354F">
        <w:rPr>
          <w:rFonts w:ascii="Calibri" w:eastAsia="Times New Roman" w:hAnsi="Calibri" w:cs="Arial"/>
          <w:color w:val="222222"/>
          <w:sz w:val="24"/>
          <w:szCs w:val="24"/>
        </w:rPr>
        <w:t xml:space="preserve"> and b</w:t>
      </w:r>
      <w:r w:rsidRPr="0092354F">
        <w:rPr>
          <w:rFonts w:ascii="Calibri" w:eastAsia="Times New Roman" w:hAnsi="Calibri" w:cs="Arial"/>
          <w:color w:val="222222"/>
          <w:sz w:val="24"/>
          <w:szCs w:val="24"/>
        </w:rPr>
        <w:t>.</w:t>
      </w:r>
      <w:r w:rsidR="00070732">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However, we believe that the word ‘marginalised’ is sufficient.  Many representatives of marginalised communities believe that the word ‘vulnerable</w:t>
      </w:r>
      <w:r w:rsidR="00070732">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is in itself reductive and marginalising in that it depicts affected persons as passive in the face of human rights abuses as opposed to characteri</w:t>
      </w:r>
      <w:r w:rsidR="00070732">
        <w:rPr>
          <w:rFonts w:ascii="Calibri" w:eastAsia="Times New Roman" w:hAnsi="Calibri" w:cs="Arial"/>
          <w:color w:val="222222"/>
          <w:sz w:val="24"/>
          <w:szCs w:val="24"/>
        </w:rPr>
        <w:t>si</w:t>
      </w:r>
      <w:r w:rsidRPr="0092354F">
        <w:rPr>
          <w:rFonts w:ascii="Calibri" w:eastAsia="Times New Roman" w:hAnsi="Calibri" w:cs="Arial"/>
          <w:color w:val="222222"/>
          <w:sz w:val="24"/>
          <w:szCs w:val="24"/>
        </w:rPr>
        <w:t xml:space="preserve">ng them as active rights-owning individuals. </w:t>
      </w:r>
    </w:p>
    <w:p w14:paraId="31C616D0" w14:textId="38BD38C1" w:rsidR="00FD0EB0" w:rsidRPr="0092354F" w:rsidRDefault="008527BF">
      <w:pPr>
        <w:pStyle w:val="ListParagraph"/>
        <w:numPr>
          <w:ilvl w:val="0"/>
          <w:numId w:val="21"/>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The </w:t>
      </w:r>
      <w:r w:rsidR="0013014D" w:rsidRPr="0092354F">
        <w:rPr>
          <w:rFonts w:ascii="Calibri" w:eastAsia="Times New Roman" w:hAnsi="Calibri" w:cs="Arial"/>
          <w:i/>
          <w:color w:val="222222"/>
          <w:sz w:val="24"/>
          <w:szCs w:val="24"/>
        </w:rPr>
        <w:t>Summary report</w:t>
      </w:r>
      <w:r w:rsidR="00793324" w:rsidRPr="0092354F">
        <w:rPr>
          <w:rFonts w:ascii="Calibri" w:eastAsia="Times New Roman" w:hAnsi="Calibri" w:cs="Arial"/>
          <w:i/>
          <w:color w:val="222222"/>
          <w:sz w:val="24"/>
          <w:szCs w:val="24"/>
        </w:rPr>
        <w:t>: Key Insights and Revised CHRB Approach from June – October 2015 Consultations</w:t>
      </w:r>
      <w:r w:rsidR="00793324" w:rsidRPr="0092354F">
        <w:rPr>
          <w:rFonts w:ascii="Calibri" w:eastAsia="Times New Roman" w:hAnsi="Calibri" w:cs="Arial"/>
          <w:color w:val="222222"/>
          <w:sz w:val="24"/>
          <w:szCs w:val="24"/>
        </w:rPr>
        <w:t xml:space="preserve">, dated December 2015 notes </w:t>
      </w:r>
      <w:r w:rsidR="0013014D" w:rsidRPr="0092354F">
        <w:rPr>
          <w:rFonts w:ascii="Calibri" w:eastAsia="Times New Roman" w:hAnsi="Calibri" w:cs="Arial"/>
          <w:color w:val="222222"/>
          <w:sz w:val="24"/>
          <w:szCs w:val="24"/>
        </w:rPr>
        <w:t>that ‘vulne</w:t>
      </w:r>
      <w:r w:rsidR="00793324" w:rsidRPr="0092354F">
        <w:rPr>
          <w:rFonts w:ascii="Calibri" w:eastAsia="Times New Roman" w:hAnsi="Calibri" w:cs="Arial"/>
          <w:color w:val="222222"/>
          <w:sz w:val="24"/>
          <w:szCs w:val="24"/>
        </w:rPr>
        <w:t>rable groups’ will be broken down</w:t>
      </w:r>
      <w:r w:rsidR="0013014D" w:rsidRPr="0092354F">
        <w:rPr>
          <w:rFonts w:ascii="Calibri" w:eastAsia="Times New Roman" w:hAnsi="Calibri" w:cs="Arial"/>
          <w:color w:val="222222"/>
          <w:sz w:val="24"/>
          <w:szCs w:val="24"/>
        </w:rPr>
        <w:t xml:space="preserve"> into specific groups</w:t>
      </w:r>
      <w:r w:rsidR="00793324" w:rsidRPr="0092354F">
        <w:rPr>
          <w:rFonts w:ascii="Calibri" w:eastAsia="Times New Roman" w:hAnsi="Calibri" w:cs="Arial"/>
          <w:color w:val="222222"/>
          <w:sz w:val="24"/>
          <w:szCs w:val="24"/>
        </w:rPr>
        <w:t xml:space="preserve">.  We would </w:t>
      </w:r>
      <w:r w:rsidR="0013014D" w:rsidRPr="0092354F">
        <w:rPr>
          <w:rFonts w:ascii="Calibri" w:eastAsia="Times New Roman" w:hAnsi="Calibri" w:cs="Arial"/>
          <w:color w:val="222222"/>
          <w:sz w:val="24"/>
          <w:szCs w:val="24"/>
        </w:rPr>
        <w:t xml:space="preserve">suggest </w:t>
      </w:r>
      <w:r w:rsidR="00793324" w:rsidRPr="0092354F">
        <w:rPr>
          <w:rFonts w:ascii="Calibri" w:eastAsia="Times New Roman" w:hAnsi="Calibri" w:cs="Arial"/>
          <w:color w:val="222222"/>
          <w:sz w:val="24"/>
          <w:szCs w:val="24"/>
        </w:rPr>
        <w:t xml:space="preserve">that an annex listing </w:t>
      </w:r>
      <w:r w:rsidR="005A3D88">
        <w:rPr>
          <w:rFonts w:ascii="Calibri" w:eastAsia="Times New Roman" w:hAnsi="Calibri" w:cs="Arial"/>
          <w:color w:val="222222"/>
          <w:sz w:val="24"/>
          <w:szCs w:val="24"/>
        </w:rPr>
        <w:t>marginalised</w:t>
      </w:r>
      <w:r w:rsidR="00793324" w:rsidRPr="0092354F">
        <w:rPr>
          <w:rFonts w:ascii="Calibri" w:eastAsia="Times New Roman" w:hAnsi="Calibri" w:cs="Arial"/>
          <w:color w:val="222222"/>
          <w:sz w:val="24"/>
          <w:szCs w:val="24"/>
        </w:rPr>
        <w:t xml:space="preserve"> groups in as an exhaustive manner as possible be attached to the Benchmark, but be subject to additions.  This Annex would also serve to assist companies in becoming more aware of the groups of persons who should be given heightened attention in connection with their projects and operations. </w:t>
      </w:r>
    </w:p>
    <w:p w14:paraId="5DB23459" w14:textId="4E372944" w:rsidR="00FD147F" w:rsidRPr="0092354F" w:rsidRDefault="005C4E2E">
      <w:pPr>
        <w:pStyle w:val="ListParagraph"/>
        <w:numPr>
          <w:ilvl w:val="0"/>
          <w:numId w:val="21"/>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In addition, the text in the A.1.3. </w:t>
      </w:r>
      <w:proofErr w:type="gramStart"/>
      <w:r w:rsidRPr="0092354F">
        <w:rPr>
          <w:rFonts w:ascii="Calibri" w:eastAsia="Times New Roman" w:hAnsi="Calibri" w:cs="Arial"/>
          <w:color w:val="222222"/>
          <w:sz w:val="24"/>
          <w:szCs w:val="24"/>
        </w:rPr>
        <w:t>indicator</w:t>
      </w:r>
      <w:proofErr w:type="gramEnd"/>
      <w:r w:rsidRPr="0092354F">
        <w:rPr>
          <w:rFonts w:ascii="Calibri" w:eastAsia="Times New Roman" w:hAnsi="Calibri" w:cs="Arial"/>
          <w:color w:val="222222"/>
          <w:sz w:val="24"/>
          <w:szCs w:val="24"/>
        </w:rPr>
        <w:t xml:space="preserve">  provides </w:t>
      </w:r>
      <w:r w:rsidR="00FD0EB0" w:rsidRPr="0092354F">
        <w:rPr>
          <w:rFonts w:ascii="Calibri" w:eastAsia="Times New Roman" w:hAnsi="Calibri" w:cs="Arial"/>
          <w:color w:val="222222"/>
          <w:sz w:val="24"/>
          <w:szCs w:val="24"/>
        </w:rPr>
        <w:t>f</w:t>
      </w:r>
      <w:r w:rsidRPr="0092354F">
        <w:rPr>
          <w:rFonts w:ascii="Calibri" w:eastAsia="Times New Roman" w:hAnsi="Calibri" w:cs="Arial"/>
          <w:color w:val="222222"/>
          <w:sz w:val="24"/>
          <w:szCs w:val="24"/>
        </w:rPr>
        <w:t>or the Company to commit ‘to respecting the human rights of individuals belonging to specific groups or populations that require particular attention, where they may be at heightened risk of becoming vulnerable or marginalised if adversely impacted by the Company’s activities.’  However, Score 1 adopts a more encompassing approach to this group in providing that the Company commits ‘to respect the internationally recognised human rights of individuals belonging to specific groups or populations that require particular attention’.  We would note that the first formulation frames the commitment in terms of groups ‘becoming vulnerable or marginalised’ as a result of the</w:t>
      </w:r>
      <w:r w:rsidR="00FD0EB0" w:rsidRPr="0092354F">
        <w:rPr>
          <w:rFonts w:ascii="Calibri" w:eastAsia="Times New Roman" w:hAnsi="Calibri" w:cs="Arial"/>
          <w:color w:val="222222"/>
          <w:sz w:val="24"/>
          <w:szCs w:val="24"/>
        </w:rPr>
        <w:t xml:space="preserve"> Company’s activities and that t</w:t>
      </w:r>
      <w:r w:rsidR="002D2835" w:rsidRPr="0092354F">
        <w:rPr>
          <w:rFonts w:ascii="Calibri" w:eastAsia="Times New Roman" w:hAnsi="Calibri" w:cs="Arial"/>
          <w:color w:val="222222"/>
          <w:sz w:val="24"/>
          <w:szCs w:val="24"/>
        </w:rPr>
        <w:t xml:space="preserve">he term ‘particular attention’ does not clearly articulate the potential persons or communities.  </w:t>
      </w:r>
      <w:r w:rsidR="00FD0EB0" w:rsidRPr="0092354F">
        <w:rPr>
          <w:rFonts w:ascii="Calibri" w:eastAsia="Times New Roman" w:hAnsi="Calibri" w:cs="Arial"/>
          <w:color w:val="222222"/>
          <w:sz w:val="24"/>
          <w:szCs w:val="24"/>
        </w:rPr>
        <w:t>We strongly believe that e</w:t>
      </w:r>
      <w:r w:rsidR="002D2835" w:rsidRPr="0092354F">
        <w:rPr>
          <w:rFonts w:ascii="Calibri" w:eastAsia="Times New Roman" w:hAnsi="Calibri" w:cs="Arial"/>
          <w:color w:val="222222"/>
          <w:sz w:val="24"/>
          <w:szCs w:val="24"/>
        </w:rPr>
        <w:t xml:space="preserve">ven where there are marginalised individuals and communities that may not become more marginalised as a result of a project, particular attention to the impacts of the project on them is required. </w:t>
      </w:r>
    </w:p>
    <w:p w14:paraId="666601FB" w14:textId="77777777" w:rsidR="00793324" w:rsidRPr="0092354F" w:rsidRDefault="00793324" w:rsidP="006D55E1">
      <w:pPr>
        <w:shd w:val="clear" w:color="auto" w:fill="FFFFFF"/>
        <w:outlineLvl w:val="0"/>
        <w:rPr>
          <w:rFonts w:ascii="Calibri" w:eastAsia="Times New Roman" w:hAnsi="Calibri" w:cs="Arial"/>
          <w:b/>
          <w:color w:val="222222"/>
          <w:sz w:val="24"/>
          <w:szCs w:val="24"/>
          <w:u w:val="single"/>
        </w:rPr>
      </w:pPr>
      <w:r w:rsidRPr="0092354F">
        <w:rPr>
          <w:rFonts w:ascii="Calibri" w:eastAsia="Times New Roman" w:hAnsi="Calibri" w:cs="Arial"/>
          <w:b/>
          <w:color w:val="222222"/>
          <w:sz w:val="24"/>
          <w:szCs w:val="24"/>
          <w:u w:val="single"/>
        </w:rPr>
        <w:t xml:space="preserve">Recommendations: </w:t>
      </w:r>
    </w:p>
    <w:p w14:paraId="7266D884" w14:textId="78310DAB" w:rsidR="00793324" w:rsidRPr="0092354F" w:rsidRDefault="00793324" w:rsidP="00A44C2F">
      <w:pPr>
        <w:pStyle w:val="ListParagraph"/>
        <w:numPr>
          <w:ilvl w:val="0"/>
          <w:numId w:val="20"/>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Delete the term ‘vulnerable’ in sections A.1.3</w:t>
      </w:r>
      <w:proofErr w:type="gramStart"/>
      <w:r w:rsidR="00082B37"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w:t>
      </w:r>
      <w:proofErr w:type="gramEnd"/>
      <w:r w:rsidRPr="0092354F">
        <w:rPr>
          <w:rFonts w:ascii="Calibri" w:eastAsia="Times New Roman" w:hAnsi="Calibri" w:cs="Arial"/>
          <w:color w:val="222222"/>
          <w:sz w:val="24"/>
          <w:szCs w:val="24"/>
        </w:rPr>
        <w:t xml:space="preserve"> Ex. D.1.3</w:t>
      </w:r>
      <w:r w:rsidR="00082B37"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and AG</w:t>
      </w:r>
      <w:r w:rsidR="00082B37" w:rsidRPr="0092354F">
        <w:rPr>
          <w:rFonts w:ascii="Calibri" w:eastAsia="Times New Roman" w:hAnsi="Calibri" w:cs="Arial"/>
          <w:color w:val="222222"/>
          <w:sz w:val="24"/>
          <w:szCs w:val="24"/>
        </w:rPr>
        <w:t xml:space="preserve"> </w:t>
      </w:r>
      <w:r w:rsidRPr="0092354F">
        <w:rPr>
          <w:rFonts w:ascii="Calibri" w:eastAsia="Times New Roman" w:hAnsi="Calibri" w:cs="Arial"/>
          <w:color w:val="222222"/>
          <w:sz w:val="24"/>
          <w:szCs w:val="24"/>
        </w:rPr>
        <w:t>D.3.4.a</w:t>
      </w:r>
      <w:r w:rsidR="00082B37"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w:t>
      </w:r>
      <w:proofErr w:type="gramStart"/>
      <w:r w:rsidRPr="0092354F">
        <w:rPr>
          <w:rFonts w:ascii="Calibri" w:eastAsia="Times New Roman" w:hAnsi="Calibri" w:cs="Arial"/>
          <w:color w:val="222222"/>
          <w:sz w:val="24"/>
          <w:szCs w:val="24"/>
        </w:rPr>
        <w:t>and</w:t>
      </w:r>
      <w:proofErr w:type="gramEnd"/>
      <w:r w:rsidRPr="0092354F">
        <w:rPr>
          <w:rFonts w:ascii="Calibri" w:eastAsia="Times New Roman" w:hAnsi="Calibri" w:cs="Arial"/>
          <w:color w:val="222222"/>
          <w:sz w:val="24"/>
          <w:szCs w:val="24"/>
        </w:rPr>
        <w:t xml:space="preserve"> b</w:t>
      </w:r>
      <w:r w:rsidR="00082B37"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and use only the term ‘marginalised’. </w:t>
      </w:r>
    </w:p>
    <w:p w14:paraId="1C030986" w14:textId="430A964C" w:rsidR="00082B37" w:rsidRPr="0092354F" w:rsidRDefault="00793324">
      <w:pPr>
        <w:pStyle w:val="ListParagraph"/>
        <w:numPr>
          <w:ilvl w:val="0"/>
          <w:numId w:val="20"/>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Also, include an Annex to the Benchmark that would identify marginalised groups of persons.  We would suggest that civil society organisations be consulted to assist with the development of such an Annex.</w:t>
      </w:r>
      <w:r w:rsidR="001C5527" w:rsidRPr="0092354F">
        <w:rPr>
          <w:rFonts w:ascii="Calibri" w:eastAsia="Times New Roman" w:hAnsi="Calibri" w:cs="Arial"/>
          <w:color w:val="222222"/>
          <w:sz w:val="24"/>
          <w:szCs w:val="24"/>
        </w:rPr>
        <w:t xml:space="preserve"> </w:t>
      </w:r>
    </w:p>
    <w:p w14:paraId="0C3E9EA6" w14:textId="6A20B277" w:rsidR="00082B37" w:rsidRPr="0092354F" w:rsidRDefault="002D2835">
      <w:pPr>
        <w:pStyle w:val="ListParagraph"/>
        <w:numPr>
          <w:ilvl w:val="0"/>
          <w:numId w:val="20"/>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In t</w:t>
      </w:r>
      <w:r w:rsidR="001E5326" w:rsidRPr="0092354F">
        <w:rPr>
          <w:rFonts w:ascii="Calibri" w:eastAsia="Times New Roman" w:hAnsi="Calibri" w:cs="Arial"/>
          <w:color w:val="222222"/>
          <w:sz w:val="24"/>
          <w:szCs w:val="24"/>
        </w:rPr>
        <w:t xml:space="preserve">he </w:t>
      </w:r>
      <w:r w:rsidR="00082B37" w:rsidRPr="0092354F">
        <w:rPr>
          <w:rFonts w:ascii="Calibri" w:eastAsia="Times New Roman" w:hAnsi="Calibri" w:cs="Arial"/>
          <w:color w:val="222222"/>
          <w:sz w:val="24"/>
          <w:szCs w:val="24"/>
        </w:rPr>
        <w:t xml:space="preserve">text </w:t>
      </w:r>
      <w:r w:rsidR="00FD0EB0" w:rsidRPr="0092354F">
        <w:rPr>
          <w:rFonts w:ascii="Calibri" w:eastAsia="Times New Roman" w:hAnsi="Calibri" w:cs="Arial"/>
          <w:color w:val="222222"/>
          <w:sz w:val="24"/>
          <w:szCs w:val="24"/>
        </w:rPr>
        <w:t>of indicator A.1.3</w:t>
      </w:r>
      <w:proofErr w:type="gramStart"/>
      <w:r w:rsidR="00FD0EB0" w:rsidRPr="0092354F">
        <w:rPr>
          <w:rFonts w:ascii="Calibri" w:eastAsia="Times New Roman" w:hAnsi="Calibri" w:cs="Arial"/>
          <w:color w:val="222222"/>
          <w:sz w:val="24"/>
          <w:szCs w:val="24"/>
        </w:rPr>
        <w:t>.,</w:t>
      </w:r>
      <w:proofErr w:type="gramEnd"/>
      <w:r w:rsidR="00FD0EB0" w:rsidRPr="0092354F">
        <w:rPr>
          <w:rFonts w:ascii="Calibri" w:eastAsia="Times New Roman" w:hAnsi="Calibri" w:cs="Arial"/>
          <w:color w:val="222222"/>
          <w:sz w:val="24"/>
          <w:szCs w:val="24"/>
        </w:rPr>
        <w:t xml:space="preserve"> </w:t>
      </w:r>
      <w:r w:rsidRPr="0092354F">
        <w:rPr>
          <w:rFonts w:ascii="Calibri" w:eastAsia="Times New Roman" w:hAnsi="Calibri" w:cs="Arial"/>
          <w:color w:val="222222"/>
          <w:sz w:val="24"/>
          <w:szCs w:val="24"/>
        </w:rPr>
        <w:t>render the wording relating to individuals belonging to specific groups or populations m</w:t>
      </w:r>
      <w:r w:rsidR="00FD0EB0" w:rsidRPr="0092354F">
        <w:rPr>
          <w:rFonts w:ascii="Calibri" w:eastAsia="Times New Roman" w:hAnsi="Calibri" w:cs="Arial"/>
          <w:color w:val="222222"/>
          <w:sz w:val="24"/>
          <w:szCs w:val="24"/>
        </w:rPr>
        <w:t xml:space="preserve">ore consistent with the phrasing </w:t>
      </w:r>
      <w:r w:rsidR="001508DE" w:rsidRPr="0092354F">
        <w:rPr>
          <w:rFonts w:ascii="Calibri" w:eastAsia="Times New Roman" w:hAnsi="Calibri" w:cs="Arial"/>
          <w:color w:val="222222"/>
          <w:sz w:val="24"/>
          <w:szCs w:val="24"/>
        </w:rPr>
        <w:t>relating to marginalised groups or populations</w:t>
      </w:r>
      <w:r w:rsidRPr="0092354F">
        <w:rPr>
          <w:rFonts w:ascii="Calibri" w:eastAsia="Times New Roman" w:hAnsi="Calibri" w:cs="Arial"/>
          <w:color w:val="222222"/>
          <w:sz w:val="24"/>
          <w:szCs w:val="24"/>
        </w:rPr>
        <w:t xml:space="preserve"> used in Score 1.</w:t>
      </w:r>
      <w:r w:rsidR="001E5326" w:rsidRPr="0092354F">
        <w:rPr>
          <w:rFonts w:ascii="Calibri" w:eastAsia="Times New Roman" w:hAnsi="Calibri" w:cs="Arial"/>
          <w:color w:val="222222"/>
          <w:sz w:val="24"/>
          <w:szCs w:val="24"/>
        </w:rPr>
        <w:t xml:space="preserve"> </w:t>
      </w:r>
      <w:r w:rsidR="00082B37" w:rsidRPr="0092354F">
        <w:rPr>
          <w:rFonts w:ascii="Calibri" w:eastAsia="Times New Roman" w:hAnsi="Calibri" w:cs="Arial"/>
          <w:color w:val="222222"/>
          <w:sz w:val="24"/>
          <w:szCs w:val="24"/>
        </w:rPr>
        <w:t xml:space="preserve"> </w:t>
      </w:r>
    </w:p>
    <w:p w14:paraId="3A14452D" w14:textId="77777777" w:rsidR="0013014D" w:rsidRPr="0092354F" w:rsidRDefault="0013014D" w:rsidP="00A44C2F">
      <w:pPr>
        <w:shd w:val="clear" w:color="auto" w:fill="FFFFFF"/>
        <w:rPr>
          <w:rFonts w:ascii="Calibri" w:eastAsia="Times New Roman" w:hAnsi="Calibri" w:cs="Arial"/>
          <w:color w:val="222222"/>
          <w:sz w:val="24"/>
          <w:szCs w:val="24"/>
        </w:rPr>
      </w:pPr>
    </w:p>
    <w:p w14:paraId="36AE9BB3" w14:textId="77777777" w:rsidR="00025BB4" w:rsidRPr="0092354F" w:rsidRDefault="00A65B7B" w:rsidP="006D55E1">
      <w:pPr>
        <w:shd w:val="clear" w:color="auto" w:fill="FFFFFF"/>
        <w:outlineLvl w:val="0"/>
        <w:rPr>
          <w:rFonts w:ascii="Calibri" w:eastAsia="Times New Roman" w:hAnsi="Calibri" w:cs="Arial"/>
          <w:b/>
          <w:color w:val="222222"/>
          <w:sz w:val="24"/>
          <w:szCs w:val="24"/>
        </w:rPr>
      </w:pPr>
      <w:r w:rsidRPr="0092354F">
        <w:rPr>
          <w:rFonts w:ascii="Calibri" w:hAnsi="Calibri"/>
          <w:b/>
          <w:sz w:val="24"/>
          <w:szCs w:val="24"/>
        </w:rPr>
        <w:t>4.</w:t>
      </w:r>
      <w:r w:rsidR="00025BB4" w:rsidRPr="0092354F">
        <w:rPr>
          <w:rFonts w:ascii="Calibri" w:eastAsia="Times New Roman" w:hAnsi="Calibri" w:cs="Arial"/>
          <w:b/>
          <w:color w:val="222222"/>
          <w:sz w:val="24"/>
          <w:szCs w:val="24"/>
        </w:rPr>
        <w:t xml:space="preserve"> Stakeholder engagement/consultation</w:t>
      </w:r>
    </w:p>
    <w:p w14:paraId="6397FF63" w14:textId="24E48C36" w:rsidR="00025BB4" w:rsidRPr="0092354F" w:rsidRDefault="00025BB4" w:rsidP="00025BB4">
      <w:pPr>
        <w:pStyle w:val="ListParagraph"/>
        <w:numPr>
          <w:ilvl w:val="0"/>
          <w:numId w:val="26"/>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To ensure that the engagement/consultation processes are rights respecting, we believe that the definition in the Glossary of ‘Stakeholder engagement/consultation’ should be strengthened to encourage </w:t>
      </w:r>
      <w:r w:rsidR="001C5527" w:rsidRPr="0092354F">
        <w:rPr>
          <w:rFonts w:ascii="Calibri" w:eastAsia="Times New Roman" w:hAnsi="Calibri" w:cs="Arial"/>
          <w:color w:val="222222"/>
          <w:sz w:val="24"/>
          <w:szCs w:val="24"/>
        </w:rPr>
        <w:t xml:space="preserve">regular and continuous </w:t>
      </w:r>
      <w:r w:rsidRPr="0092354F">
        <w:rPr>
          <w:rFonts w:ascii="Calibri" w:eastAsia="Times New Roman" w:hAnsi="Calibri" w:cs="Arial"/>
          <w:color w:val="222222"/>
          <w:sz w:val="24"/>
          <w:szCs w:val="24"/>
        </w:rPr>
        <w:t>information sharing</w:t>
      </w:r>
      <w:r w:rsidR="001C5527" w:rsidRPr="0092354F">
        <w:rPr>
          <w:rFonts w:ascii="Calibri" w:eastAsia="Times New Roman" w:hAnsi="Calibri" w:cs="Arial"/>
          <w:color w:val="222222"/>
          <w:sz w:val="24"/>
          <w:szCs w:val="24"/>
        </w:rPr>
        <w:t xml:space="preserve"> in ways that are relevant and appropriate to the affected community</w:t>
      </w:r>
      <w:r w:rsidRPr="0092354F">
        <w:rPr>
          <w:rFonts w:ascii="Calibri" w:eastAsia="Times New Roman" w:hAnsi="Calibri" w:cs="Arial"/>
          <w:color w:val="222222"/>
          <w:sz w:val="24"/>
          <w:szCs w:val="24"/>
        </w:rPr>
        <w:t>.</w:t>
      </w:r>
    </w:p>
    <w:p w14:paraId="592D5F3E" w14:textId="77777777" w:rsidR="00025BB4" w:rsidRPr="0092354F" w:rsidRDefault="00025BB4" w:rsidP="006D55E1">
      <w:pPr>
        <w:shd w:val="clear" w:color="auto" w:fill="FFFFFF"/>
        <w:outlineLvl w:val="0"/>
        <w:rPr>
          <w:rFonts w:ascii="Calibri" w:eastAsia="Times New Roman" w:hAnsi="Calibri" w:cs="Arial"/>
          <w:color w:val="222222"/>
          <w:sz w:val="24"/>
          <w:szCs w:val="24"/>
        </w:rPr>
      </w:pPr>
      <w:r w:rsidRPr="0092354F">
        <w:rPr>
          <w:rFonts w:ascii="Calibri" w:eastAsia="Times New Roman" w:hAnsi="Calibri" w:cs="Arial"/>
          <w:b/>
          <w:color w:val="222222"/>
          <w:sz w:val="24"/>
          <w:szCs w:val="24"/>
          <w:u w:val="single"/>
        </w:rPr>
        <w:t>Recommendation:</w:t>
      </w:r>
      <w:r w:rsidRPr="0092354F">
        <w:rPr>
          <w:rFonts w:ascii="Calibri" w:eastAsia="Times New Roman" w:hAnsi="Calibri" w:cs="Arial"/>
          <w:color w:val="222222"/>
          <w:sz w:val="24"/>
          <w:szCs w:val="24"/>
        </w:rPr>
        <w:t xml:space="preserve"> </w:t>
      </w:r>
    </w:p>
    <w:p w14:paraId="3CABA50A" w14:textId="3536F7C9" w:rsidR="00025BB4" w:rsidRPr="0092354F" w:rsidRDefault="00025BB4" w:rsidP="00025BB4">
      <w:pPr>
        <w:pStyle w:val="ListParagraph"/>
        <w:numPr>
          <w:ilvl w:val="0"/>
          <w:numId w:val="27"/>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Modify the first sentence of the definition ‘Stakeholder engagement/consultation’ to read: ‘</w:t>
      </w:r>
      <w:proofErr w:type="gramStart"/>
      <w:r w:rsidRPr="0092354F">
        <w:rPr>
          <w:rFonts w:ascii="Calibri" w:eastAsia="Times New Roman" w:hAnsi="Calibri" w:cs="Arial"/>
          <w:color w:val="222222"/>
          <w:sz w:val="24"/>
          <w:szCs w:val="24"/>
        </w:rPr>
        <w:t>An</w:t>
      </w:r>
      <w:proofErr w:type="gramEnd"/>
      <w:r w:rsidRPr="0092354F">
        <w:rPr>
          <w:rFonts w:ascii="Calibri" w:eastAsia="Times New Roman" w:hAnsi="Calibri" w:cs="Arial"/>
          <w:color w:val="222222"/>
          <w:sz w:val="24"/>
          <w:szCs w:val="24"/>
        </w:rPr>
        <w:t xml:space="preserve"> ongoing process of interaction, dialogue and sharing of information between a company… </w:t>
      </w:r>
      <w:r w:rsidR="001C5527" w:rsidRPr="0092354F">
        <w:rPr>
          <w:rFonts w:ascii="Calibri" w:eastAsia="Times New Roman" w:hAnsi="Calibri" w:cs="Arial"/>
          <w:color w:val="222222"/>
          <w:sz w:val="24"/>
          <w:szCs w:val="24"/>
        </w:rPr>
        <w:t>‘</w:t>
      </w:r>
    </w:p>
    <w:p w14:paraId="1FE75078" w14:textId="77777777" w:rsidR="00025BB4" w:rsidRPr="0092354F" w:rsidRDefault="00025BB4" w:rsidP="00A44C2F">
      <w:pPr>
        <w:rPr>
          <w:rFonts w:ascii="Calibri" w:hAnsi="Calibri"/>
          <w:b/>
          <w:sz w:val="24"/>
          <w:szCs w:val="24"/>
        </w:rPr>
      </w:pPr>
    </w:p>
    <w:p w14:paraId="0806CB49" w14:textId="77777777" w:rsidR="00A65B7B" w:rsidRPr="0092354F" w:rsidRDefault="00025BB4" w:rsidP="006D55E1">
      <w:pPr>
        <w:outlineLvl w:val="0"/>
        <w:rPr>
          <w:rFonts w:ascii="Calibri" w:hAnsi="Calibri"/>
          <w:b/>
          <w:sz w:val="24"/>
          <w:szCs w:val="24"/>
        </w:rPr>
      </w:pPr>
      <w:r w:rsidRPr="0092354F">
        <w:rPr>
          <w:rFonts w:ascii="Calibri" w:hAnsi="Calibri"/>
          <w:b/>
          <w:sz w:val="24"/>
          <w:szCs w:val="24"/>
        </w:rPr>
        <w:t xml:space="preserve">5. </w:t>
      </w:r>
      <w:r w:rsidR="00A65B7B" w:rsidRPr="0092354F">
        <w:rPr>
          <w:rFonts w:ascii="Calibri" w:hAnsi="Calibri"/>
          <w:b/>
          <w:sz w:val="24"/>
          <w:szCs w:val="24"/>
        </w:rPr>
        <w:t xml:space="preserve">Performance: Serious Allegations </w:t>
      </w:r>
    </w:p>
    <w:p w14:paraId="07B17222" w14:textId="7EC6BFFB" w:rsidR="00CC5599" w:rsidRPr="0092354F" w:rsidRDefault="00135467">
      <w:pPr>
        <w:pStyle w:val="ListParagraph"/>
        <w:numPr>
          <w:ilvl w:val="0"/>
          <w:numId w:val="18"/>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We were somewhat surprised to note that in the chart of </w:t>
      </w:r>
      <w:r w:rsidR="00E22A49" w:rsidRPr="0092354F">
        <w:rPr>
          <w:rFonts w:ascii="Calibri" w:eastAsia="Times New Roman" w:hAnsi="Calibri" w:cs="Arial"/>
          <w:color w:val="222222"/>
          <w:sz w:val="24"/>
          <w:szCs w:val="24"/>
        </w:rPr>
        <w:t>thresholds for inclusion as a level 1 Allegation</w:t>
      </w:r>
      <w:r w:rsidR="00231F21">
        <w:rPr>
          <w:rFonts w:ascii="Calibri" w:eastAsia="Times New Roman" w:hAnsi="Calibri" w:cs="Arial"/>
          <w:color w:val="222222"/>
          <w:sz w:val="24"/>
          <w:szCs w:val="24"/>
        </w:rPr>
        <w:t>,</w:t>
      </w:r>
      <w:r w:rsidR="00E22A49" w:rsidRPr="0092354F">
        <w:rPr>
          <w:rFonts w:ascii="Calibri" w:eastAsia="Times New Roman" w:hAnsi="Calibri" w:cs="Arial"/>
          <w:color w:val="222222"/>
          <w:sz w:val="24"/>
          <w:szCs w:val="24"/>
        </w:rPr>
        <w:t xml:space="preserve"> that for Health and Safety the allegation must involve ‘5 or more deaths or serious injuries’ and if within the company’s supply chain then </w:t>
      </w:r>
      <w:r w:rsidR="00231F21">
        <w:rPr>
          <w:rFonts w:ascii="Calibri" w:eastAsia="Times New Roman" w:hAnsi="Calibri" w:cs="Arial"/>
          <w:color w:val="222222"/>
          <w:sz w:val="24"/>
          <w:szCs w:val="24"/>
        </w:rPr>
        <w:t>‘</w:t>
      </w:r>
      <w:r w:rsidR="00E22A49" w:rsidRPr="0092354F">
        <w:rPr>
          <w:rFonts w:ascii="Calibri" w:eastAsia="Times New Roman" w:hAnsi="Calibri" w:cs="Arial"/>
          <w:color w:val="222222"/>
          <w:sz w:val="24"/>
          <w:szCs w:val="24"/>
        </w:rPr>
        <w:t xml:space="preserve">10 or more deaths or serious injuries’.  As the purpose of health and safety rules within an entity, as well as health and safety regulations, are to prevent deaths or serious injuries, we find the thresholds to be high and would suggest that 1 death or serious injury should constitute a ‘serious allegation’.  In practice, a facility that has a serious death or injury will need to re-evaluate its practices and thus, its policies. </w:t>
      </w:r>
    </w:p>
    <w:p w14:paraId="3D74482F" w14:textId="29BFF79F" w:rsidR="00A65B7B" w:rsidRPr="0092354F" w:rsidRDefault="0087137B" w:rsidP="0092354F">
      <w:pPr>
        <w:pStyle w:val="ListParagraph"/>
        <w:numPr>
          <w:ilvl w:val="0"/>
          <w:numId w:val="18"/>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The Summary Report dated December 2015 indicates that </w:t>
      </w:r>
      <w:r w:rsidR="000F0C9C" w:rsidRPr="0092354F">
        <w:rPr>
          <w:rFonts w:ascii="Calibri" w:eastAsia="Times New Roman" w:hAnsi="Calibri" w:cs="Arial"/>
          <w:color w:val="222222"/>
          <w:sz w:val="24"/>
          <w:szCs w:val="24"/>
        </w:rPr>
        <w:t xml:space="preserve">‘Scoring in this section will focus on </w:t>
      </w:r>
      <w:r w:rsidR="000F0C9C" w:rsidRPr="0092354F">
        <w:rPr>
          <w:rFonts w:ascii="Calibri" w:eastAsia="Times New Roman" w:hAnsi="Calibri" w:cs="Arial"/>
          <w:i/>
          <w:color w:val="222222"/>
          <w:sz w:val="24"/>
          <w:szCs w:val="24"/>
        </w:rPr>
        <w:t xml:space="preserve">deducting </w:t>
      </w:r>
      <w:r w:rsidR="000F0C9C" w:rsidRPr="0092354F">
        <w:rPr>
          <w:rFonts w:ascii="Calibri" w:eastAsia="Times New Roman" w:hAnsi="Calibri" w:cs="Arial"/>
          <w:color w:val="222222"/>
          <w:sz w:val="24"/>
          <w:szCs w:val="24"/>
        </w:rPr>
        <w:t>points’, however, we do not see this reflected in the introductory text to sectio</w:t>
      </w:r>
      <w:r w:rsidR="001508DE" w:rsidRPr="0092354F">
        <w:rPr>
          <w:rFonts w:ascii="Calibri" w:eastAsia="Times New Roman" w:hAnsi="Calibri" w:cs="Arial"/>
          <w:color w:val="222222"/>
          <w:sz w:val="24"/>
          <w:szCs w:val="24"/>
        </w:rPr>
        <w:t>n E.  Of greatest concern to us</w:t>
      </w:r>
      <w:r w:rsidR="000F0C9C" w:rsidRPr="0092354F">
        <w:rPr>
          <w:rFonts w:ascii="Calibri" w:eastAsia="Times New Roman" w:hAnsi="Calibri" w:cs="Arial"/>
          <w:color w:val="222222"/>
          <w:sz w:val="24"/>
          <w:szCs w:val="24"/>
        </w:rPr>
        <w:t xml:space="preserve"> is that based on the existence of only three indicators in this section, if only 1 or 2 points are deducted (based on the Score 1 or 2), a Company may have egregious human rights impacts but still receive a high overall score.  </w:t>
      </w:r>
      <w:r w:rsidR="00E22A49" w:rsidRPr="0092354F">
        <w:rPr>
          <w:rFonts w:ascii="Calibri" w:eastAsia="Times New Roman" w:hAnsi="Calibri" w:cs="Arial"/>
          <w:color w:val="222222"/>
          <w:sz w:val="24"/>
          <w:szCs w:val="24"/>
        </w:rPr>
        <w:t xml:space="preserve"> </w:t>
      </w:r>
    </w:p>
    <w:p w14:paraId="31021801" w14:textId="77777777" w:rsidR="0013014D" w:rsidRPr="0092354F" w:rsidRDefault="00E22A49" w:rsidP="006D55E1">
      <w:pPr>
        <w:shd w:val="clear" w:color="auto" w:fill="FFFFFF"/>
        <w:outlineLvl w:val="0"/>
        <w:rPr>
          <w:rFonts w:ascii="Calibri" w:eastAsia="Times New Roman" w:hAnsi="Calibri" w:cs="Arial"/>
          <w:b/>
          <w:color w:val="222222"/>
          <w:sz w:val="24"/>
          <w:szCs w:val="24"/>
          <w:u w:val="single"/>
        </w:rPr>
      </w:pPr>
      <w:r w:rsidRPr="0092354F">
        <w:rPr>
          <w:rFonts w:ascii="Calibri" w:eastAsia="Times New Roman" w:hAnsi="Calibri" w:cs="Arial"/>
          <w:b/>
          <w:color w:val="222222"/>
          <w:sz w:val="24"/>
          <w:szCs w:val="24"/>
          <w:u w:val="single"/>
        </w:rPr>
        <w:t>Recommendation</w:t>
      </w:r>
      <w:r w:rsidR="00A65B7B" w:rsidRPr="0092354F">
        <w:rPr>
          <w:rFonts w:ascii="Calibri" w:eastAsia="Times New Roman" w:hAnsi="Calibri" w:cs="Arial"/>
          <w:b/>
          <w:color w:val="222222"/>
          <w:sz w:val="24"/>
          <w:szCs w:val="24"/>
          <w:u w:val="single"/>
        </w:rPr>
        <w:t>s</w:t>
      </w:r>
      <w:r w:rsidRPr="0092354F">
        <w:rPr>
          <w:rFonts w:ascii="Calibri" w:eastAsia="Times New Roman" w:hAnsi="Calibri" w:cs="Arial"/>
          <w:b/>
          <w:color w:val="222222"/>
          <w:sz w:val="24"/>
          <w:szCs w:val="24"/>
          <w:u w:val="single"/>
        </w:rPr>
        <w:t>:</w:t>
      </w:r>
    </w:p>
    <w:p w14:paraId="385FAB8A" w14:textId="30924C24" w:rsidR="00E22A49" w:rsidRPr="0092354F" w:rsidRDefault="00E22A49" w:rsidP="00A44C2F">
      <w:pPr>
        <w:pStyle w:val="ListParagraph"/>
        <w:numPr>
          <w:ilvl w:val="0"/>
          <w:numId w:val="19"/>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Replace </w:t>
      </w:r>
      <w:r w:rsidR="00FD147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5’ and </w:t>
      </w:r>
      <w:r w:rsidR="00FD147F">
        <w:rPr>
          <w:rFonts w:ascii="Calibri" w:eastAsia="Times New Roman" w:hAnsi="Calibri" w:cs="Arial"/>
          <w:color w:val="222222"/>
          <w:sz w:val="24"/>
          <w:szCs w:val="24"/>
        </w:rPr>
        <w:t>‘</w:t>
      </w:r>
      <w:r w:rsidRPr="0092354F">
        <w:rPr>
          <w:rFonts w:ascii="Calibri" w:eastAsia="Times New Roman" w:hAnsi="Calibri" w:cs="Arial"/>
          <w:color w:val="222222"/>
          <w:sz w:val="24"/>
          <w:szCs w:val="24"/>
        </w:rPr>
        <w:t>10</w:t>
      </w:r>
      <w:r w:rsidR="00FD147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in the column of ‘Threshold for the type of allegations that would be included under Level 1’ for the ‘Health and Safety’ category with ‘1’. </w:t>
      </w:r>
    </w:p>
    <w:p w14:paraId="7BD6FD81" w14:textId="6565AC6F" w:rsidR="000F0C9C" w:rsidRPr="0092354F" w:rsidRDefault="000F0C9C" w:rsidP="00A44C2F">
      <w:pPr>
        <w:pStyle w:val="ListParagraph"/>
        <w:numPr>
          <w:ilvl w:val="0"/>
          <w:numId w:val="19"/>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The points deducted for serious allegation indicators should be weighted in order to significantly offset the points awarded to the Company</w:t>
      </w:r>
      <w:r w:rsidR="001508DE" w:rsidRPr="0092354F">
        <w:rPr>
          <w:rFonts w:ascii="Calibri" w:eastAsia="Times New Roman" w:hAnsi="Calibri" w:cs="Arial"/>
          <w:color w:val="222222"/>
          <w:sz w:val="24"/>
          <w:szCs w:val="24"/>
        </w:rPr>
        <w:t xml:space="preserve"> overall</w:t>
      </w:r>
      <w:r w:rsidRPr="0092354F">
        <w:rPr>
          <w:rFonts w:ascii="Calibri" w:eastAsia="Times New Roman" w:hAnsi="Calibri" w:cs="Arial"/>
          <w:color w:val="222222"/>
          <w:sz w:val="24"/>
          <w:szCs w:val="24"/>
        </w:rPr>
        <w:t>.</w:t>
      </w:r>
    </w:p>
    <w:p w14:paraId="4944AA6B" w14:textId="77777777" w:rsidR="0013014D" w:rsidRPr="0092354F" w:rsidRDefault="0013014D" w:rsidP="00A44C2F">
      <w:pPr>
        <w:shd w:val="clear" w:color="auto" w:fill="FFFFFF"/>
        <w:rPr>
          <w:rFonts w:ascii="Calibri" w:eastAsia="Times New Roman" w:hAnsi="Calibri" w:cs="Arial"/>
          <w:color w:val="222222"/>
          <w:sz w:val="24"/>
          <w:szCs w:val="24"/>
        </w:rPr>
      </w:pPr>
    </w:p>
    <w:p w14:paraId="188F1479" w14:textId="777FC197" w:rsidR="00FD147F" w:rsidRPr="0092354F" w:rsidRDefault="00AC0B3F" w:rsidP="006D55E1">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 xml:space="preserve">6. </w:t>
      </w:r>
      <w:r w:rsidR="00AB07F0" w:rsidRPr="0092354F">
        <w:rPr>
          <w:rFonts w:ascii="Calibri" w:eastAsia="Times New Roman" w:hAnsi="Calibri" w:cs="Arial"/>
          <w:b/>
          <w:color w:val="222222"/>
          <w:sz w:val="24"/>
          <w:szCs w:val="24"/>
        </w:rPr>
        <w:t>Additional Points</w:t>
      </w:r>
    </w:p>
    <w:p w14:paraId="1C7C5214" w14:textId="1E112CCA" w:rsidR="00DF44D1" w:rsidRPr="0092354F" w:rsidRDefault="00DF44D1" w:rsidP="0092354F">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Consistency between the Key Industry Risks chart (page 38) and industry locks</w:t>
      </w:r>
    </w:p>
    <w:p w14:paraId="1FFEA582" w14:textId="2EC59BA4" w:rsidR="004F597B" w:rsidRPr="0092354F" w:rsidRDefault="0043044C" w:rsidP="0092354F">
      <w:pPr>
        <w:pStyle w:val="ListParagraph"/>
        <w:numPr>
          <w:ilvl w:val="0"/>
          <w:numId w:val="30"/>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We note some</w:t>
      </w:r>
      <w:r w:rsidR="00334047" w:rsidRPr="0092354F">
        <w:rPr>
          <w:rFonts w:ascii="Calibri" w:eastAsia="Times New Roman" w:hAnsi="Calibri" w:cs="Arial"/>
          <w:color w:val="222222"/>
          <w:sz w:val="24"/>
          <w:szCs w:val="24"/>
        </w:rPr>
        <w:t xml:space="preserve"> </w:t>
      </w:r>
      <w:r w:rsidR="00050AEF" w:rsidRPr="0092354F">
        <w:rPr>
          <w:rFonts w:ascii="Calibri" w:eastAsia="Times New Roman" w:hAnsi="Calibri" w:cs="Arial"/>
          <w:color w:val="222222"/>
          <w:sz w:val="24"/>
          <w:szCs w:val="24"/>
        </w:rPr>
        <w:t xml:space="preserve">discrepancies between the risks listed in the </w:t>
      </w:r>
      <w:r w:rsidR="00334047" w:rsidRPr="0092354F">
        <w:rPr>
          <w:rFonts w:ascii="Calibri" w:eastAsia="Times New Roman" w:hAnsi="Calibri" w:cs="Arial"/>
          <w:color w:val="222222"/>
          <w:sz w:val="24"/>
          <w:szCs w:val="24"/>
        </w:rPr>
        <w:t>c</w:t>
      </w:r>
      <w:r w:rsidR="00050AEF" w:rsidRPr="0092354F">
        <w:rPr>
          <w:rFonts w:ascii="Calibri" w:eastAsia="Times New Roman" w:hAnsi="Calibri" w:cs="Arial"/>
          <w:color w:val="222222"/>
          <w:sz w:val="24"/>
          <w:szCs w:val="24"/>
        </w:rPr>
        <w:t>h</w:t>
      </w:r>
      <w:r w:rsidR="00334047" w:rsidRPr="0092354F">
        <w:rPr>
          <w:rFonts w:ascii="Calibri" w:eastAsia="Times New Roman" w:hAnsi="Calibri" w:cs="Arial"/>
          <w:color w:val="222222"/>
          <w:sz w:val="24"/>
          <w:szCs w:val="24"/>
        </w:rPr>
        <w:t xml:space="preserve">art </w:t>
      </w:r>
      <w:r w:rsidR="00050AEF" w:rsidRPr="0092354F">
        <w:rPr>
          <w:rFonts w:ascii="Calibri" w:eastAsia="Times New Roman" w:hAnsi="Calibri" w:cs="Arial"/>
          <w:color w:val="222222"/>
          <w:sz w:val="24"/>
          <w:szCs w:val="24"/>
        </w:rPr>
        <w:t>‘</w:t>
      </w:r>
      <w:r w:rsidR="00334047" w:rsidRPr="0092354F">
        <w:rPr>
          <w:rFonts w:ascii="Calibri" w:eastAsia="Times New Roman" w:hAnsi="Calibri" w:cs="Arial"/>
          <w:color w:val="222222"/>
          <w:sz w:val="24"/>
          <w:szCs w:val="24"/>
        </w:rPr>
        <w:t>Key Industry Risks in the Company’s Own Operations and/or Business Relationships</w:t>
      </w:r>
      <w:r w:rsidR="00050AEF" w:rsidRPr="0092354F">
        <w:rPr>
          <w:rFonts w:ascii="Calibri" w:eastAsia="Times New Roman" w:hAnsi="Calibri" w:cs="Arial"/>
          <w:color w:val="222222"/>
          <w:sz w:val="24"/>
          <w:szCs w:val="24"/>
        </w:rPr>
        <w:t>’</w:t>
      </w:r>
      <w:r w:rsidR="00334047" w:rsidRPr="0092354F">
        <w:rPr>
          <w:rFonts w:ascii="Calibri" w:eastAsia="Times New Roman" w:hAnsi="Calibri" w:cs="Arial"/>
          <w:color w:val="222222"/>
          <w:sz w:val="24"/>
          <w:szCs w:val="24"/>
        </w:rPr>
        <w:t xml:space="preserve"> on page 38</w:t>
      </w:r>
      <w:r w:rsidR="00050AEF" w:rsidRPr="0092354F">
        <w:rPr>
          <w:rFonts w:ascii="Calibri" w:eastAsia="Times New Roman" w:hAnsi="Calibri" w:cs="Arial"/>
          <w:color w:val="222222"/>
          <w:sz w:val="24"/>
          <w:szCs w:val="24"/>
        </w:rPr>
        <w:t xml:space="preserve"> and the rights included in </w:t>
      </w:r>
      <w:r w:rsidR="001508DE" w:rsidRPr="0092354F">
        <w:rPr>
          <w:rFonts w:ascii="Calibri" w:eastAsia="Times New Roman" w:hAnsi="Calibri" w:cs="Arial"/>
          <w:color w:val="222222"/>
          <w:sz w:val="24"/>
          <w:szCs w:val="24"/>
        </w:rPr>
        <w:t xml:space="preserve">some of </w:t>
      </w:r>
      <w:r w:rsidR="00050AEF" w:rsidRPr="0092354F">
        <w:rPr>
          <w:rFonts w:ascii="Calibri" w:eastAsia="Times New Roman" w:hAnsi="Calibri" w:cs="Arial"/>
          <w:color w:val="222222"/>
          <w:sz w:val="24"/>
          <w:szCs w:val="24"/>
        </w:rPr>
        <w:t>the</w:t>
      </w:r>
      <w:r w:rsidRPr="0092354F">
        <w:rPr>
          <w:rFonts w:ascii="Calibri" w:eastAsia="Times New Roman" w:hAnsi="Calibri" w:cs="Arial"/>
          <w:color w:val="222222"/>
          <w:sz w:val="24"/>
          <w:szCs w:val="24"/>
        </w:rPr>
        <w:t xml:space="preserve"> industry locks</w:t>
      </w:r>
      <w:r w:rsidR="000E7231" w:rsidRPr="0092354F">
        <w:rPr>
          <w:rFonts w:ascii="Calibri" w:eastAsia="Times New Roman" w:hAnsi="Calibri" w:cs="Arial"/>
          <w:color w:val="222222"/>
          <w:sz w:val="24"/>
          <w:szCs w:val="24"/>
        </w:rPr>
        <w:t>, specifically</w:t>
      </w:r>
      <w:r w:rsidR="004F597B" w:rsidRPr="0092354F">
        <w:rPr>
          <w:rFonts w:ascii="Calibri" w:eastAsia="Times New Roman" w:hAnsi="Calibri" w:cs="Arial"/>
          <w:color w:val="222222"/>
          <w:sz w:val="24"/>
          <w:szCs w:val="24"/>
        </w:rPr>
        <w:t>:</w:t>
      </w:r>
    </w:p>
    <w:p w14:paraId="6920BBE8" w14:textId="0B4A3452" w:rsidR="004F597B" w:rsidRPr="0092354F" w:rsidRDefault="00050AEF" w:rsidP="0092354F">
      <w:pPr>
        <w:pStyle w:val="ListParagraph"/>
        <w:numPr>
          <w:ilvl w:val="0"/>
          <w:numId w:val="56"/>
        </w:numPr>
        <w:shd w:val="clear" w:color="auto" w:fill="FFFFFF"/>
        <w:outlineLvl w:val="0"/>
        <w:rPr>
          <w:rFonts w:ascii="Calibri" w:eastAsia="Times New Roman" w:hAnsi="Calibri" w:cs="Arial"/>
          <w:color w:val="222222"/>
          <w:sz w:val="24"/>
          <w:szCs w:val="24"/>
        </w:rPr>
      </w:pPr>
      <w:r w:rsidRPr="0092354F">
        <w:rPr>
          <w:rFonts w:ascii="Calibri" w:eastAsia="Times New Roman" w:hAnsi="Calibri" w:cs="Arial"/>
          <w:color w:val="222222"/>
          <w:sz w:val="24"/>
          <w:szCs w:val="24"/>
        </w:rPr>
        <w:t>A.1.5</w:t>
      </w:r>
      <w:r w:rsidR="002D2835"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w:t>
      </w:r>
      <w:r w:rsidR="004F597B" w:rsidRPr="0092354F">
        <w:rPr>
          <w:rFonts w:ascii="Calibri" w:eastAsia="Times New Roman" w:hAnsi="Calibri" w:cs="Arial"/>
          <w:color w:val="222222"/>
          <w:sz w:val="24"/>
          <w:szCs w:val="24"/>
        </w:rPr>
        <w:t>EX industry lock: security forces and women’s rights are not included</w:t>
      </w:r>
    </w:p>
    <w:p w14:paraId="00B84EA8" w14:textId="08904446" w:rsidR="0043044C" w:rsidRPr="0092354F" w:rsidRDefault="004F597B" w:rsidP="0092354F">
      <w:pPr>
        <w:pStyle w:val="ListParagraph"/>
        <w:numPr>
          <w:ilvl w:val="0"/>
          <w:numId w:val="56"/>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A.1.5.</w:t>
      </w:r>
      <w:r w:rsidR="001508DE" w:rsidRPr="0092354F">
        <w:rPr>
          <w:rFonts w:ascii="Calibri" w:eastAsia="Times New Roman" w:hAnsi="Calibri" w:cs="Arial"/>
          <w:color w:val="222222"/>
          <w:sz w:val="24"/>
          <w:szCs w:val="24"/>
        </w:rPr>
        <w:t xml:space="preserve"> AP industry lock:</w:t>
      </w:r>
      <w:r w:rsidRPr="0092354F">
        <w:rPr>
          <w:rFonts w:ascii="Calibri" w:eastAsia="Times New Roman" w:hAnsi="Calibri" w:cs="Arial"/>
          <w:color w:val="222222"/>
          <w:sz w:val="24"/>
          <w:szCs w:val="24"/>
        </w:rPr>
        <w:t xml:space="preserve"> working hours are specifically mentioned, but not the other key labour rights, including child labour and forced labour, which leads to ambiguity.</w:t>
      </w:r>
      <w:r w:rsidR="0043044C" w:rsidRPr="0092354F">
        <w:rPr>
          <w:rFonts w:ascii="Calibri" w:eastAsia="Times New Roman" w:hAnsi="Calibri" w:cs="Arial"/>
          <w:color w:val="222222"/>
          <w:sz w:val="24"/>
          <w:szCs w:val="24"/>
        </w:rPr>
        <w:t xml:space="preserve"> (We note that Score 1 explicitly mentions freedom of association and collective bargaining.)</w:t>
      </w:r>
    </w:p>
    <w:p w14:paraId="6B913443" w14:textId="6D8D07CA" w:rsidR="009405EB" w:rsidRPr="0092354F" w:rsidRDefault="009405EB" w:rsidP="0092354F">
      <w:pPr>
        <w:pStyle w:val="ListParagraph"/>
        <w:numPr>
          <w:ilvl w:val="0"/>
          <w:numId w:val="56"/>
        </w:numPr>
        <w:shd w:val="clear" w:color="auto" w:fill="FFFFFF"/>
        <w:outlineLvl w:val="0"/>
        <w:rPr>
          <w:rFonts w:ascii="Calibri" w:eastAsia="Times New Roman" w:hAnsi="Calibri" w:cs="Arial"/>
          <w:color w:val="222222"/>
          <w:sz w:val="24"/>
          <w:szCs w:val="24"/>
        </w:rPr>
      </w:pPr>
      <w:r w:rsidRPr="0092354F">
        <w:rPr>
          <w:rFonts w:ascii="Calibri" w:eastAsia="Times New Roman" w:hAnsi="Calibri" w:cs="Arial"/>
          <w:color w:val="222222"/>
          <w:sz w:val="24"/>
          <w:szCs w:val="24"/>
        </w:rPr>
        <w:t>A.2.3</w:t>
      </w:r>
      <w:r w:rsidR="002D2835"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EX industry lock: security forces are not included</w:t>
      </w:r>
    </w:p>
    <w:p w14:paraId="12782AB4" w14:textId="3C8EEED8" w:rsidR="009405EB" w:rsidRPr="0092354F" w:rsidRDefault="009405EB" w:rsidP="0092354F">
      <w:pPr>
        <w:pStyle w:val="ListParagraph"/>
        <w:numPr>
          <w:ilvl w:val="0"/>
          <w:numId w:val="56"/>
        </w:numPr>
        <w:shd w:val="clear" w:color="auto" w:fill="FFFFFF"/>
        <w:outlineLvl w:val="0"/>
        <w:rPr>
          <w:rFonts w:ascii="Calibri" w:eastAsia="Times New Roman" w:hAnsi="Calibri" w:cs="Arial"/>
          <w:color w:val="222222"/>
          <w:sz w:val="24"/>
          <w:szCs w:val="24"/>
        </w:rPr>
      </w:pPr>
      <w:r w:rsidRPr="0092354F">
        <w:rPr>
          <w:rFonts w:ascii="Calibri" w:eastAsia="Times New Roman" w:hAnsi="Calibri" w:cs="Arial"/>
          <w:color w:val="222222"/>
          <w:sz w:val="24"/>
          <w:szCs w:val="24"/>
        </w:rPr>
        <w:t>B.1.3 EX industry lock: security forces are not included</w:t>
      </w:r>
    </w:p>
    <w:p w14:paraId="13633806" w14:textId="77777777" w:rsidR="007E4D16" w:rsidRDefault="007E4D16" w:rsidP="006D55E1">
      <w:pPr>
        <w:shd w:val="clear" w:color="auto" w:fill="FFFFFF"/>
        <w:outlineLvl w:val="0"/>
        <w:rPr>
          <w:rFonts w:ascii="Calibri" w:eastAsia="Times New Roman" w:hAnsi="Calibri" w:cs="Arial"/>
          <w:b/>
          <w:color w:val="222222"/>
          <w:sz w:val="24"/>
          <w:szCs w:val="24"/>
          <w:u w:val="single"/>
        </w:rPr>
      </w:pPr>
    </w:p>
    <w:p w14:paraId="6069097B" w14:textId="77777777" w:rsidR="007E4D16" w:rsidRDefault="007E4D16" w:rsidP="006D55E1">
      <w:pPr>
        <w:shd w:val="clear" w:color="auto" w:fill="FFFFFF"/>
        <w:outlineLvl w:val="0"/>
        <w:rPr>
          <w:rFonts w:ascii="Calibri" w:eastAsia="Times New Roman" w:hAnsi="Calibri" w:cs="Arial"/>
          <w:b/>
          <w:color w:val="222222"/>
          <w:sz w:val="24"/>
          <w:szCs w:val="24"/>
          <w:u w:val="single"/>
        </w:rPr>
      </w:pPr>
    </w:p>
    <w:p w14:paraId="19863853" w14:textId="584763D4" w:rsidR="004F597B" w:rsidRPr="0092354F" w:rsidRDefault="0043044C" w:rsidP="006D55E1">
      <w:pPr>
        <w:shd w:val="clear" w:color="auto" w:fill="FFFFFF"/>
        <w:outlineLvl w:val="0"/>
        <w:rPr>
          <w:rFonts w:ascii="Calibri" w:eastAsia="Times New Roman" w:hAnsi="Calibri" w:cs="Arial"/>
          <w:b/>
          <w:color w:val="222222"/>
          <w:sz w:val="24"/>
          <w:szCs w:val="24"/>
          <w:u w:val="single"/>
        </w:rPr>
      </w:pPr>
      <w:r w:rsidRPr="0092354F">
        <w:rPr>
          <w:rFonts w:ascii="Calibri" w:eastAsia="Times New Roman" w:hAnsi="Calibri" w:cs="Arial"/>
          <w:b/>
          <w:color w:val="222222"/>
          <w:sz w:val="24"/>
          <w:szCs w:val="24"/>
          <w:u w:val="single"/>
        </w:rPr>
        <w:t>Recommendations:</w:t>
      </w:r>
    </w:p>
    <w:p w14:paraId="2A9FDED0" w14:textId="51E8F8EE" w:rsidR="009405EB" w:rsidRPr="0092354F" w:rsidRDefault="009405EB" w:rsidP="0092354F">
      <w:pPr>
        <w:pStyle w:val="ListParagraph"/>
        <w:numPr>
          <w:ilvl w:val="0"/>
          <w:numId w:val="31"/>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Where the rights listed in the industry locks exclude some of the risks listed in the chart of </w:t>
      </w:r>
      <w:r w:rsidR="001508DE"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Key Industry Risks</w:t>
      </w:r>
      <w:r w:rsidR="001508DE"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on page 38, t</w:t>
      </w:r>
      <w:r w:rsidR="0043044C" w:rsidRPr="0092354F">
        <w:rPr>
          <w:rFonts w:ascii="Calibri" w:eastAsia="Times New Roman" w:hAnsi="Calibri" w:cs="Arial"/>
          <w:color w:val="222222"/>
          <w:sz w:val="24"/>
          <w:szCs w:val="24"/>
        </w:rPr>
        <w:t xml:space="preserve">he industry locks </w:t>
      </w:r>
      <w:r w:rsidRPr="0092354F">
        <w:rPr>
          <w:rFonts w:ascii="Calibri" w:eastAsia="Times New Roman" w:hAnsi="Calibri" w:cs="Arial"/>
          <w:color w:val="222222"/>
          <w:sz w:val="24"/>
          <w:szCs w:val="24"/>
        </w:rPr>
        <w:t>should be modified to stipulate</w:t>
      </w:r>
      <w:r w:rsidR="000E7231" w:rsidRPr="0092354F">
        <w:rPr>
          <w:rFonts w:ascii="Calibri" w:eastAsia="Times New Roman" w:hAnsi="Calibri" w:cs="Arial"/>
          <w:color w:val="222222"/>
          <w:sz w:val="24"/>
          <w:szCs w:val="24"/>
        </w:rPr>
        <w:t xml:space="preserve"> </w:t>
      </w:r>
      <w:r w:rsidR="0043044C" w:rsidRPr="0092354F">
        <w:rPr>
          <w:rFonts w:ascii="Calibri" w:eastAsia="Times New Roman" w:hAnsi="Calibri" w:cs="Arial"/>
          <w:color w:val="222222"/>
          <w:sz w:val="24"/>
          <w:szCs w:val="24"/>
        </w:rPr>
        <w:t>all key industry risks</w:t>
      </w:r>
      <w:r w:rsidRPr="0092354F">
        <w:rPr>
          <w:rFonts w:ascii="Calibri" w:eastAsia="Times New Roman" w:hAnsi="Calibri" w:cs="Arial"/>
          <w:color w:val="222222"/>
          <w:sz w:val="24"/>
          <w:szCs w:val="24"/>
        </w:rPr>
        <w:t xml:space="preserve"> listed in the chart.</w:t>
      </w:r>
    </w:p>
    <w:p w14:paraId="3FBB905D" w14:textId="184E05A2" w:rsidR="0043044C" w:rsidRPr="0092354F" w:rsidRDefault="000E7231" w:rsidP="0092354F">
      <w:pPr>
        <w:pStyle w:val="ListParagraph"/>
        <w:numPr>
          <w:ilvl w:val="0"/>
          <w:numId w:val="31"/>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In addition,</w:t>
      </w:r>
      <w:r w:rsidR="0043044C" w:rsidRPr="0092354F">
        <w:rPr>
          <w:rFonts w:ascii="Calibri" w:eastAsia="Times New Roman" w:hAnsi="Calibri" w:cs="Arial"/>
          <w:color w:val="222222"/>
          <w:sz w:val="24"/>
          <w:szCs w:val="24"/>
        </w:rPr>
        <w:t xml:space="preserve"> for the purpose of consistency, </w:t>
      </w:r>
      <w:r w:rsidR="001508DE" w:rsidRPr="0092354F">
        <w:rPr>
          <w:rFonts w:ascii="Calibri" w:eastAsia="Times New Roman" w:hAnsi="Calibri" w:cs="Arial"/>
          <w:color w:val="222222"/>
          <w:sz w:val="24"/>
          <w:szCs w:val="24"/>
        </w:rPr>
        <w:t xml:space="preserve">in the ‘Key Industry Risks’ chart on page 38, </w:t>
      </w:r>
      <w:r w:rsidRPr="0092354F">
        <w:rPr>
          <w:rFonts w:ascii="Calibri" w:eastAsia="Times New Roman" w:hAnsi="Calibri" w:cs="Arial"/>
          <w:color w:val="222222"/>
          <w:sz w:val="24"/>
          <w:szCs w:val="24"/>
        </w:rPr>
        <w:t xml:space="preserve">we would suggest </w:t>
      </w:r>
      <w:r w:rsidR="0043044C" w:rsidRPr="0092354F">
        <w:rPr>
          <w:rFonts w:ascii="Calibri" w:eastAsia="Times New Roman" w:hAnsi="Calibri" w:cs="Arial"/>
          <w:color w:val="222222"/>
          <w:sz w:val="24"/>
          <w:szCs w:val="24"/>
        </w:rPr>
        <w:t xml:space="preserve">giving consideration to inserting ‘working’ to create </w:t>
      </w:r>
      <w:r w:rsidRPr="0092354F">
        <w:rPr>
          <w:rFonts w:ascii="Calibri" w:eastAsia="Times New Roman" w:hAnsi="Calibri" w:cs="Arial"/>
          <w:color w:val="222222"/>
          <w:sz w:val="24"/>
          <w:szCs w:val="24"/>
        </w:rPr>
        <w:t>‘</w:t>
      </w:r>
      <w:r w:rsidR="0043044C" w:rsidRPr="0092354F">
        <w:rPr>
          <w:rFonts w:ascii="Calibri" w:eastAsia="Times New Roman" w:hAnsi="Calibri" w:cs="Arial"/>
          <w:color w:val="222222"/>
          <w:sz w:val="24"/>
          <w:szCs w:val="24"/>
        </w:rPr>
        <w:t>Excessive working hours</w:t>
      </w:r>
      <w:r w:rsidRPr="0092354F">
        <w:rPr>
          <w:rFonts w:ascii="Calibri" w:eastAsia="Times New Roman" w:hAnsi="Calibri" w:cs="Arial"/>
          <w:color w:val="222222"/>
          <w:sz w:val="24"/>
          <w:szCs w:val="24"/>
        </w:rPr>
        <w:t>’</w:t>
      </w:r>
      <w:r w:rsidR="0043044C" w:rsidRPr="0092354F">
        <w:rPr>
          <w:rFonts w:ascii="Calibri" w:eastAsia="Times New Roman" w:hAnsi="Calibri" w:cs="Arial"/>
          <w:color w:val="222222"/>
          <w:sz w:val="24"/>
          <w:szCs w:val="24"/>
        </w:rPr>
        <w:t xml:space="preserve"> and to add ‘Collective Bargaining’ after ‘Freedom of Association</w:t>
      </w:r>
      <w:r w:rsidR="001508DE" w:rsidRPr="0092354F">
        <w:rPr>
          <w:rFonts w:ascii="Calibri" w:eastAsia="Times New Roman" w:hAnsi="Calibri" w:cs="Arial"/>
          <w:color w:val="222222"/>
          <w:sz w:val="24"/>
          <w:szCs w:val="24"/>
        </w:rPr>
        <w:t>.</w:t>
      </w:r>
      <w:r w:rsidR="0043044C" w:rsidRPr="0092354F">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w:t>
      </w:r>
    </w:p>
    <w:p w14:paraId="5620BD8F" w14:textId="77777777" w:rsidR="00DF44D1" w:rsidRPr="0092354F" w:rsidRDefault="00DF44D1" w:rsidP="00A44C2F">
      <w:pPr>
        <w:shd w:val="clear" w:color="auto" w:fill="FFFFFF"/>
        <w:rPr>
          <w:rFonts w:ascii="Calibri" w:eastAsia="Times New Roman" w:hAnsi="Calibri" w:cs="Arial"/>
          <w:b/>
          <w:color w:val="222222"/>
          <w:sz w:val="24"/>
          <w:szCs w:val="24"/>
        </w:rPr>
      </w:pPr>
    </w:p>
    <w:p w14:paraId="4D6F8259" w14:textId="017F3327" w:rsidR="00D327E1" w:rsidRPr="0092354F" w:rsidRDefault="00DF44D1" w:rsidP="006D55E1">
      <w:pPr>
        <w:shd w:val="clear" w:color="auto" w:fill="FFFFFF"/>
        <w:outlineLvl w:val="0"/>
        <w:rPr>
          <w:rFonts w:ascii="Calibri" w:eastAsia="Times New Roman" w:hAnsi="Calibri" w:cs="Arial"/>
          <w:b/>
          <w:color w:val="222222"/>
          <w:sz w:val="24"/>
          <w:szCs w:val="24"/>
        </w:rPr>
      </w:pPr>
      <w:proofErr w:type="gramStart"/>
      <w:r w:rsidRPr="0092354F">
        <w:rPr>
          <w:rFonts w:ascii="Calibri" w:eastAsia="Times New Roman" w:hAnsi="Calibri" w:cs="Arial"/>
          <w:b/>
          <w:color w:val="222222"/>
          <w:sz w:val="24"/>
          <w:szCs w:val="24"/>
        </w:rPr>
        <w:t xml:space="preserve">A.2.3 Performance incentives and </w:t>
      </w:r>
      <w:r w:rsidR="00D327E1" w:rsidRPr="0092354F">
        <w:rPr>
          <w:rFonts w:ascii="Calibri" w:eastAsia="Times New Roman" w:hAnsi="Calibri" w:cs="Arial"/>
          <w:b/>
          <w:color w:val="222222"/>
          <w:sz w:val="24"/>
          <w:szCs w:val="24"/>
        </w:rPr>
        <w:t>B.1.</w:t>
      </w:r>
      <w:r w:rsidR="00B6411F" w:rsidRPr="0092354F">
        <w:rPr>
          <w:rFonts w:ascii="Calibri" w:eastAsia="Times New Roman" w:hAnsi="Calibri" w:cs="Arial"/>
          <w:b/>
          <w:color w:val="222222"/>
          <w:sz w:val="24"/>
          <w:szCs w:val="24"/>
        </w:rPr>
        <w:t>3.</w:t>
      </w:r>
      <w:proofErr w:type="gramEnd"/>
      <w:r w:rsidR="00D327E1" w:rsidRPr="0092354F">
        <w:rPr>
          <w:rFonts w:ascii="Calibri" w:eastAsia="Times New Roman" w:hAnsi="Calibri" w:cs="Arial"/>
          <w:b/>
          <w:color w:val="222222"/>
          <w:sz w:val="24"/>
          <w:szCs w:val="24"/>
        </w:rPr>
        <w:t xml:space="preserve"> Incentives</w:t>
      </w:r>
      <w:r w:rsidR="00B6411F" w:rsidRPr="0092354F">
        <w:rPr>
          <w:rFonts w:ascii="Calibri" w:eastAsia="Times New Roman" w:hAnsi="Calibri" w:cs="Arial"/>
          <w:b/>
          <w:color w:val="222222"/>
          <w:sz w:val="24"/>
          <w:szCs w:val="24"/>
        </w:rPr>
        <w:t xml:space="preserve"> and performance management</w:t>
      </w:r>
    </w:p>
    <w:p w14:paraId="49E86FCA" w14:textId="7328D254" w:rsidR="00D327E1" w:rsidRPr="0092354F" w:rsidRDefault="00D327E1" w:rsidP="00A563E9">
      <w:pPr>
        <w:pStyle w:val="ListParagraph"/>
        <w:numPr>
          <w:ilvl w:val="0"/>
          <w:numId w:val="33"/>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We wonder about the wisdom of using the phrase ‘at least one of the following’ when describing the specific areas of attention to be paid by </w:t>
      </w:r>
      <w:r w:rsidR="00DF44D1" w:rsidRPr="0092354F">
        <w:rPr>
          <w:rFonts w:ascii="Calibri" w:eastAsia="Times New Roman" w:hAnsi="Calibri" w:cs="Arial"/>
          <w:color w:val="222222"/>
          <w:sz w:val="24"/>
          <w:szCs w:val="24"/>
        </w:rPr>
        <w:t xml:space="preserve">the Board and </w:t>
      </w:r>
      <w:r w:rsidRPr="0092354F">
        <w:rPr>
          <w:rFonts w:ascii="Calibri" w:eastAsia="Times New Roman" w:hAnsi="Calibri" w:cs="Arial"/>
          <w:color w:val="222222"/>
          <w:sz w:val="24"/>
          <w:szCs w:val="24"/>
        </w:rPr>
        <w:t xml:space="preserve">senior managers in the industry locks. Quite apart from the human rights implications, most (if not all) of these areas will be governed by national legislation, so surely </w:t>
      </w:r>
      <w:r w:rsidR="001364C7" w:rsidRPr="0092354F">
        <w:rPr>
          <w:rFonts w:ascii="Calibri" w:eastAsia="Times New Roman" w:hAnsi="Calibri" w:cs="Arial"/>
          <w:color w:val="222222"/>
          <w:sz w:val="24"/>
          <w:szCs w:val="24"/>
        </w:rPr>
        <w:t xml:space="preserve">Board members and </w:t>
      </w:r>
      <w:r w:rsidRPr="0092354F">
        <w:rPr>
          <w:rFonts w:ascii="Calibri" w:eastAsia="Times New Roman" w:hAnsi="Calibri" w:cs="Arial"/>
          <w:color w:val="222222"/>
          <w:sz w:val="24"/>
          <w:szCs w:val="24"/>
        </w:rPr>
        <w:t xml:space="preserve">senior managers should be incentivised to pay attention to </w:t>
      </w:r>
      <w:r w:rsidRPr="0092354F">
        <w:rPr>
          <w:rFonts w:ascii="Calibri" w:eastAsia="Times New Roman" w:hAnsi="Calibri" w:cs="Arial"/>
          <w:color w:val="222222"/>
          <w:sz w:val="24"/>
          <w:szCs w:val="24"/>
          <w:u w:val="single"/>
        </w:rPr>
        <w:t>all</w:t>
      </w:r>
      <w:r w:rsidRPr="0092354F">
        <w:rPr>
          <w:rFonts w:ascii="Calibri" w:eastAsia="Times New Roman" w:hAnsi="Calibri" w:cs="Arial"/>
          <w:color w:val="222222"/>
          <w:sz w:val="24"/>
          <w:szCs w:val="24"/>
        </w:rPr>
        <w:t xml:space="preserve"> of the areas mentioned.</w:t>
      </w:r>
    </w:p>
    <w:p w14:paraId="751581F4" w14:textId="77777777" w:rsidR="00D327E1" w:rsidRPr="0092354F" w:rsidRDefault="00B6411F" w:rsidP="006D55E1">
      <w:pPr>
        <w:shd w:val="clear" w:color="auto" w:fill="FFFFFF"/>
        <w:outlineLvl w:val="0"/>
        <w:rPr>
          <w:rFonts w:ascii="Calibri" w:eastAsia="Times New Roman" w:hAnsi="Calibri" w:cs="Arial"/>
          <w:b/>
          <w:color w:val="222222"/>
          <w:sz w:val="24"/>
          <w:szCs w:val="24"/>
          <w:u w:val="single"/>
        </w:rPr>
      </w:pPr>
      <w:r w:rsidRPr="0092354F">
        <w:rPr>
          <w:rFonts w:ascii="Calibri" w:eastAsia="Times New Roman" w:hAnsi="Calibri" w:cs="Arial"/>
          <w:b/>
          <w:color w:val="222222"/>
          <w:sz w:val="24"/>
          <w:szCs w:val="24"/>
          <w:u w:val="single"/>
        </w:rPr>
        <w:t>Recommendation:</w:t>
      </w:r>
    </w:p>
    <w:p w14:paraId="55276B38" w14:textId="3C09F784" w:rsidR="00B6411F" w:rsidRPr="0092354F" w:rsidRDefault="001364C7" w:rsidP="0092354F">
      <w:pPr>
        <w:pStyle w:val="ListParagraph"/>
        <w:numPr>
          <w:ilvl w:val="0"/>
          <w:numId w:val="34"/>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Modify the wording in Score 1 of A.2.3. </w:t>
      </w:r>
      <w:proofErr w:type="gramStart"/>
      <w:r w:rsidRPr="0092354F">
        <w:rPr>
          <w:rFonts w:ascii="Calibri" w:eastAsia="Times New Roman" w:hAnsi="Calibri" w:cs="Arial"/>
          <w:color w:val="222222"/>
          <w:sz w:val="24"/>
          <w:szCs w:val="24"/>
        </w:rPr>
        <w:t>as</w:t>
      </w:r>
      <w:proofErr w:type="gramEnd"/>
      <w:r w:rsidRPr="0092354F">
        <w:rPr>
          <w:rFonts w:ascii="Calibri" w:eastAsia="Times New Roman" w:hAnsi="Calibri" w:cs="Arial"/>
          <w:color w:val="222222"/>
          <w:sz w:val="24"/>
          <w:szCs w:val="24"/>
        </w:rPr>
        <w:t xml:space="preserve"> well as in the industry locks to A.2.3</w:t>
      </w:r>
      <w:r w:rsidR="00231F21">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w:t>
      </w:r>
      <w:proofErr w:type="gramStart"/>
      <w:r w:rsidRPr="0092354F">
        <w:rPr>
          <w:rFonts w:ascii="Calibri" w:eastAsia="Times New Roman" w:hAnsi="Calibri" w:cs="Arial"/>
          <w:color w:val="222222"/>
          <w:sz w:val="24"/>
          <w:szCs w:val="24"/>
        </w:rPr>
        <w:t>and</w:t>
      </w:r>
      <w:proofErr w:type="gramEnd"/>
      <w:r w:rsidRPr="0092354F">
        <w:rPr>
          <w:rFonts w:ascii="Calibri" w:eastAsia="Times New Roman" w:hAnsi="Calibri" w:cs="Arial"/>
          <w:color w:val="222222"/>
          <w:sz w:val="24"/>
          <w:szCs w:val="24"/>
        </w:rPr>
        <w:t xml:space="preserve"> B.1.3</w:t>
      </w:r>
      <w:r w:rsidR="00231F21">
        <w:rPr>
          <w:rFonts w:ascii="Calibri" w:eastAsia="Times New Roman" w:hAnsi="Calibri" w:cs="Arial"/>
          <w:color w:val="222222"/>
          <w:sz w:val="24"/>
          <w:szCs w:val="24"/>
        </w:rPr>
        <w:t>.</w:t>
      </w:r>
      <w:r w:rsidRPr="0092354F">
        <w:rPr>
          <w:rFonts w:ascii="Calibri" w:eastAsia="Times New Roman" w:hAnsi="Calibri" w:cs="Arial"/>
          <w:color w:val="222222"/>
          <w:sz w:val="24"/>
          <w:szCs w:val="24"/>
        </w:rPr>
        <w:t xml:space="preserve"> to encourage performance incentives for Board members and senior managers to be linked to respect for all salient human rights for the particular Company.</w:t>
      </w:r>
    </w:p>
    <w:p w14:paraId="72D6BCA6" w14:textId="77777777" w:rsidR="001364C7" w:rsidRPr="0092354F" w:rsidRDefault="001364C7" w:rsidP="00A44C2F">
      <w:pPr>
        <w:rPr>
          <w:rFonts w:ascii="Calibri" w:hAnsi="Calibri"/>
          <w:b/>
          <w:sz w:val="24"/>
          <w:szCs w:val="24"/>
        </w:rPr>
      </w:pPr>
    </w:p>
    <w:p w14:paraId="64492DAA" w14:textId="77777777" w:rsidR="00AC0B3F" w:rsidRPr="0092354F" w:rsidRDefault="00AC0B3F" w:rsidP="006D55E1">
      <w:pPr>
        <w:outlineLvl w:val="0"/>
        <w:rPr>
          <w:rFonts w:ascii="Calibri" w:hAnsi="Calibri"/>
          <w:b/>
          <w:sz w:val="24"/>
          <w:szCs w:val="24"/>
        </w:rPr>
      </w:pPr>
      <w:r w:rsidRPr="0092354F">
        <w:rPr>
          <w:rFonts w:ascii="Calibri" w:hAnsi="Calibri"/>
          <w:b/>
          <w:sz w:val="24"/>
          <w:szCs w:val="24"/>
        </w:rPr>
        <w:t>C.1. Grievance Mechanism</w:t>
      </w:r>
    </w:p>
    <w:p w14:paraId="6669C94B" w14:textId="77777777" w:rsidR="00AC0B3F" w:rsidRPr="0092354F" w:rsidRDefault="00AC0B3F" w:rsidP="0092354F">
      <w:pPr>
        <w:pStyle w:val="ListParagraph"/>
        <w:numPr>
          <w:ilvl w:val="0"/>
          <w:numId w:val="35"/>
        </w:numPr>
        <w:rPr>
          <w:rFonts w:ascii="Calibri" w:hAnsi="Calibri"/>
          <w:sz w:val="24"/>
          <w:szCs w:val="24"/>
        </w:rPr>
      </w:pPr>
      <w:r w:rsidRPr="0092354F">
        <w:rPr>
          <w:rFonts w:ascii="Calibri" w:hAnsi="Calibri"/>
          <w:sz w:val="24"/>
          <w:szCs w:val="24"/>
        </w:rPr>
        <w:t xml:space="preserve">The box above indicator C.1. </w:t>
      </w:r>
      <w:proofErr w:type="gramStart"/>
      <w:r w:rsidRPr="0092354F">
        <w:rPr>
          <w:rFonts w:ascii="Calibri" w:hAnsi="Calibri"/>
          <w:sz w:val="24"/>
          <w:szCs w:val="24"/>
        </w:rPr>
        <w:t>sets</w:t>
      </w:r>
      <w:proofErr w:type="gramEnd"/>
      <w:r w:rsidRPr="0092354F">
        <w:rPr>
          <w:rFonts w:ascii="Calibri" w:hAnsi="Calibri"/>
          <w:sz w:val="24"/>
          <w:szCs w:val="24"/>
        </w:rPr>
        <w:t xml:space="preserve"> forth the 8 criteria for effectiveness and ‘Effectiveness criteria’ is defined on p. 64 in the Glossary. We were able to locate the following criteria in the text:</w:t>
      </w:r>
    </w:p>
    <w:p w14:paraId="035C29BA" w14:textId="61341F57" w:rsidR="00AC0B3F" w:rsidRPr="0092354F" w:rsidRDefault="00AC0B3F" w:rsidP="0092354F">
      <w:pPr>
        <w:pStyle w:val="ListParagraph"/>
        <w:numPr>
          <w:ilvl w:val="0"/>
          <w:numId w:val="57"/>
        </w:numPr>
        <w:rPr>
          <w:rFonts w:ascii="Calibri" w:hAnsi="Calibri"/>
          <w:sz w:val="24"/>
          <w:szCs w:val="24"/>
        </w:rPr>
      </w:pPr>
      <w:r w:rsidRPr="0092354F">
        <w:rPr>
          <w:rFonts w:ascii="Calibri" w:hAnsi="Calibri"/>
          <w:sz w:val="24"/>
          <w:szCs w:val="24"/>
        </w:rPr>
        <w:t xml:space="preserve">UNGP 31 (b) Accessibility in C.1. </w:t>
      </w:r>
    </w:p>
    <w:p w14:paraId="01B97221" w14:textId="28E67BA2" w:rsidR="00AC0B3F" w:rsidRPr="0092354F" w:rsidRDefault="00AC0B3F" w:rsidP="0092354F">
      <w:pPr>
        <w:pStyle w:val="ListParagraph"/>
        <w:numPr>
          <w:ilvl w:val="0"/>
          <w:numId w:val="57"/>
        </w:numPr>
        <w:rPr>
          <w:rFonts w:ascii="Calibri" w:hAnsi="Calibri"/>
          <w:sz w:val="24"/>
          <w:szCs w:val="24"/>
        </w:rPr>
      </w:pPr>
      <w:r w:rsidRPr="0092354F">
        <w:rPr>
          <w:rFonts w:ascii="Calibri" w:hAnsi="Calibri"/>
          <w:sz w:val="24"/>
          <w:szCs w:val="24"/>
        </w:rPr>
        <w:t xml:space="preserve">UNGP 31 (c) </w:t>
      </w:r>
      <w:r w:rsidR="00231F21" w:rsidRPr="0092354F">
        <w:rPr>
          <w:rFonts w:ascii="Calibri" w:hAnsi="Calibri"/>
          <w:sz w:val="24"/>
          <w:szCs w:val="24"/>
        </w:rPr>
        <w:t xml:space="preserve">Predictable </w:t>
      </w:r>
      <w:r w:rsidRPr="0092354F">
        <w:rPr>
          <w:rFonts w:ascii="Calibri" w:hAnsi="Calibri"/>
          <w:sz w:val="24"/>
          <w:szCs w:val="24"/>
        </w:rPr>
        <w:t>in C.4</w:t>
      </w:r>
      <w:proofErr w:type="gramStart"/>
      <w:r w:rsidRPr="0092354F">
        <w:rPr>
          <w:rFonts w:ascii="Calibri" w:hAnsi="Calibri"/>
          <w:sz w:val="24"/>
          <w:szCs w:val="24"/>
        </w:rPr>
        <w:t>.,</w:t>
      </w:r>
      <w:proofErr w:type="gramEnd"/>
      <w:r w:rsidRPr="0092354F">
        <w:rPr>
          <w:rFonts w:ascii="Calibri" w:hAnsi="Calibri"/>
          <w:sz w:val="24"/>
          <w:szCs w:val="24"/>
        </w:rPr>
        <w:t xml:space="preserve"> although  it does not require the Company to provide information on the means to monitor implementation, as required under UNGP 31(c) </w:t>
      </w:r>
    </w:p>
    <w:p w14:paraId="425C2040" w14:textId="27A335BB" w:rsidR="00AC0B3F" w:rsidRPr="0092354F" w:rsidRDefault="00AC0B3F" w:rsidP="0092354F">
      <w:pPr>
        <w:pStyle w:val="ListParagraph"/>
        <w:numPr>
          <w:ilvl w:val="0"/>
          <w:numId w:val="57"/>
        </w:numPr>
        <w:rPr>
          <w:rFonts w:ascii="Calibri" w:hAnsi="Calibri"/>
          <w:sz w:val="24"/>
          <w:szCs w:val="24"/>
        </w:rPr>
      </w:pPr>
      <w:r w:rsidRPr="0092354F">
        <w:rPr>
          <w:rFonts w:ascii="Calibri" w:hAnsi="Calibri"/>
          <w:sz w:val="24"/>
          <w:szCs w:val="24"/>
        </w:rPr>
        <w:t xml:space="preserve">UNGP 31(f) </w:t>
      </w:r>
      <w:r w:rsidR="00231F21" w:rsidRPr="0092354F">
        <w:rPr>
          <w:rFonts w:ascii="Calibri" w:hAnsi="Calibri"/>
          <w:sz w:val="24"/>
          <w:szCs w:val="24"/>
        </w:rPr>
        <w:t>R</w:t>
      </w:r>
      <w:r w:rsidRPr="0092354F">
        <w:rPr>
          <w:rFonts w:ascii="Calibri" w:hAnsi="Calibri"/>
          <w:sz w:val="24"/>
          <w:szCs w:val="24"/>
        </w:rPr>
        <w:t>ights-compatible – C.5</w:t>
      </w:r>
      <w:proofErr w:type="gramStart"/>
      <w:r w:rsidRPr="0092354F">
        <w:rPr>
          <w:rFonts w:ascii="Calibri" w:hAnsi="Calibri"/>
          <w:sz w:val="24"/>
          <w:szCs w:val="24"/>
        </w:rPr>
        <w:t>.,</w:t>
      </w:r>
      <w:proofErr w:type="gramEnd"/>
      <w:r w:rsidRPr="0092354F">
        <w:rPr>
          <w:rFonts w:ascii="Calibri" w:hAnsi="Calibri"/>
          <w:sz w:val="24"/>
          <w:szCs w:val="24"/>
        </w:rPr>
        <w:t xml:space="preserve"> although it only concerns </w:t>
      </w:r>
      <w:proofErr w:type="spellStart"/>
      <w:r w:rsidRPr="0092354F">
        <w:rPr>
          <w:rFonts w:ascii="Calibri" w:hAnsi="Calibri"/>
          <w:sz w:val="24"/>
          <w:szCs w:val="24"/>
        </w:rPr>
        <w:t>nonretaliation</w:t>
      </w:r>
      <w:proofErr w:type="spellEnd"/>
      <w:r w:rsidRPr="0092354F">
        <w:rPr>
          <w:rFonts w:ascii="Calibri" w:hAnsi="Calibri"/>
          <w:sz w:val="24"/>
          <w:szCs w:val="24"/>
        </w:rPr>
        <w:t xml:space="preserve"> over concerns/complaints made and does not express that the outcomes and remedies are consistent with international human rights law standards </w:t>
      </w:r>
    </w:p>
    <w:p w14:paraId="634DFCEF" w14:textId="77777777" w:rsidR="00AC0B3F" w:rsidRPr="0092354F" w:rsidRDefault="00AC0B3F" w:rsidP="0092354F">
      <w:pPr>
        <w:pStyle w:val="ListParagraph"/>
        <w:numPr>
          <w:ilvl w:val="0"/>
          <w:numId w:val="57"/>
        </w:numPr>
        <w:rPr>
          <w:rFonts w:ascii="Calibri" w:hAnsi="Calibri"/>
          <w:sz w:val="24"/>
          <w:szCs w:val="24"/>
        </w:rPr>
      </w:pPr>
      <w:r w:rsidRPr="0092354F">
        <w:rPr>
          <w:rFonts w:ascii="Calibri" w:hAnsi="Calibri"/>
          <w:sz w:val="24"/>
          <w:szCs w:val="24"/>
        </w:rPr>
        <w:t>UNGP 31(g) A source of continuous learning – C.7.</w:t>
      </w:r>
    </w:p>
    <w:p w14:paraId="41ED4AD2" w14:textId="77777777" w:rsidR="00AC0B3F" w:rsidRPr="0092354F" w:rsidRDefault="00AC0B3F" w:rsidP="0092354F">
      <w:pPr>
        <w:pStyle w:val="ListParagraph"/>
        <w:numPr>
          <w:ilvl w:val="0"/>
          <w:numId w:val="57"/>
        </w:numPr>
        <w:rPr>
          <w:rFonts w:ascii="Calibri" w:hAnsi="Calibri"/>
          <w:sz w:val="24"/>
          <w:szCs w:val="24"/>
        </w:rPr>
      </w:pPr>
      <w:r w:rsidRPr="0092354F">
        <w:rPr>
          <w:rFonts w:ascii="Calibri" w:hAnsi="Calibri"/>
          <w:sz w:val="24"/>
          <w:szCs w:val="24"/>
        </w:rPr>
        <w:t xml:space="preserve">UNGP 31(h) Based on engagement and dialogue – C.3. </w:t>
      </w:r>
    </w:p>
    <w:p w14:paraId="475C26A4" w14:textId="7FC2E92D" w:rsidR="00AC0B3F" w:rsidRPr="0092354F" w:rsidRDefault="00AC0B3F" w:rsidP="00A44C2F">
      <w:pPr>
        <w:rPr>
          <w:rFonts w:ascii="Calibri" w:hAnsi="Calibri"/>
          <w:sz w:val="24"/>
          <w:szCs w:val="24"/>
        </w:rPr>
      </w:pPr>
      <w:r w:rsidRPr="0092354F">
        <w:rPr>
          <w:rFonts w:ascii="Calibri" w:hAnsi="Calibri"/>
          <w:sz w:val="24"/>
          <w:szCs w:val="24"/>
        </w:rPr>
        <w:t>However, there does not appear to be any reference to the ‘legitimate</w:t>
      </w:r>
      <w:r w:rsidR="00231F21">
        <w:rPr>
          <w:rFonts w:ascii="Calibri" w:hAnsi="Calibri"/>
          <w:sz w:val="24"/>
          <w:szCs w:val="24"/>
        </w:rPr>
        <w:t>,</w:t>
      </w:r>
      <w:r w:rsidRPr="0092354F">
        <w:rPr>
          <w:rFonts w:ascii="Calibri" w:hAnsi="Calibri"/>
          <w:sz w:val="24"/>
          <w:szCs w:val="24"/>
        </w:rPr>
        <w:t>’ ‘equitable’ or ‘transparent’ aspects of the non-judicial mechanism. (UNGP 31(a, d, e))</w:t>
      </w:r>
    </w:p>
    <w:p w14:paraId="389DA294" w14:textId="77777777" w:rsidR="007E4D16" w:rsidRDefault="007E4D16" w:rsidP="00BE279A">
      <w:pPr>
        <w:rPr>
          <w:rFonts w:ascii="Calibri" w:hAnsi="Calibri"/>
          <w:b/>
          <w:sz w:val="24"/>
          <w:szCs w:val="24"/>
          <w:u w:val="single"/>
        </w:rPr>
      </w:pPr>
    </w:p>
    <w:p w14:paraId="00BCBB50" w14:textId="77777777" w:rsidR="00CC0CF2" w:rsidRPr="0092354F" w:rsidRDefault="00A44C2F" w:rsidP="00BE279A">
      <w:pPr>
        <w:rPr>
          <w:rFonts w:ascii="Calibri" w:hAnsi="Calibri"/>
          <w:b/>
          <w:sz w:val="24"/>
          <w:szCs w:val="24"/>
          <w:u w:val="single"/>
        </w:rPr>
      </w:pPr>
      <w:r w:rsidRPr="0092354F">
        <w:rPr>
          <w:rFonts w:ascii="Calibri" w:hAnsi="Calibri"/>
          <w:b/>
          <w:sz w:val="24"/>
          <w:szCs w:val="24"/>
          <w:u w:val="single"/>
        </w:rPr>
        <w:t>Recommendation:</w:t>
      </w:r>
      <w:r w:rsidR="00025BB4" w:rsidRPr="0092354F">
        <w:rPr>
          <w:rFonts w:ascii="Calibri" w:hAnsi="Calibri"/>
          <w:b/>
          <w:sz w:val="24"/>
          <w:szCs w:val="24"/>
          <w:u w:val="single"/>
        </w:rPr>
        <w:t xml:space="preserve"> </w:t>
      </w:r>
    </w:p>
    <w:p w14:paraId="35433EF1" w14:textId="636A9E6A" w:rsidR="00025BB4" w:rsidRPr="0092354F" w:rsidRDefault="00A44C2F" w:rsidP="0092354F">
      <w:pPr>
        <w:pStyle w:val="ListParagraph"/>
        <w:numPr>
          <w:ilvl w:val="0"/>
          <w:numId w:val="36"/>
        </w:numPr>
        <w:rPr>
          <w:rFonts w:ascii="Calibri" w:hAnsi="Calibri"/>
          <w:b/>
          <w:sz w:val="24"/>
          <w:szCs w:val="24"/>
        </w:rPr>
      </w:pPr>
      <w:r w:rsidRPr="0092354F">
        <w:rPr>
          <w:rFonts w:ascii="Calibri" w:hAnsi="Calibri"/>
          <w:sz w:val="24"/>
          <w:szCs w:val="24"/>
        </w:rPr>
        <w:t>Indicator C.1</w:t>
      </w:r>
      <w:r w:rsidR="002D2835" w:rsidRPr="0092354F">
        <w:rPr>
          <w:rFonts w:ascii="Calibri" w:hAnsi="Calibri"/>
          <w:sz w:val="24"/>
          <w:szCs w:val="24"/>
        </w:rPr>
        <w:t>.</w:t>
      </w:r>
      <w:r w:rsidRPr="0092354F">
        <w:rPr>
          <w:rFonts w:ascii="Calibri" w:hAnsi="Calibri"/>
          <w:sz w:val="24"/>
          <w:szCs w:val="24"/>
        </w:rPr>
        <w:t xml:space="preserve"> </w:t>
      </w:r>
      <w:proofErr w:type="gramStart"/>
      <w:r w:rsidRPr="0092354F">
        <w:rPr>
          <w:rFonts w:ascii="Calibri" w:hAnsi="Calibri"/>
          <w:sz w:val="24"/>
          <w:szCs w:val="24"/>
        </w:rPr>
        <w:t>should</w:t>
      </w:r>
      <w:proofErr w:type="gramEnd"/>
      <w:r w:rsidRPr="0092354F">
        <w:rPr>
          <w:rFonts w:ascii="Calibri" w:hAnsi="Calibri"/>
          <w:sz w:val="24"/>
          <w:szCs w:val="24"/>
        </w:rPr>
        <w:t xml:space="preserve"> also reflect that the channel(s) or mechanism</w:t>
      </w:r>
      <w:r w:rsidR="005B39C8" w:rsidRPr="0092354F">
        <w:rPr>
          <w:rFonts w:ascii="Calibri" w:hAnsi="Calibri"/>
          <w:sz w:val="24"/>
          <w:szCs w:val="24"/>
        </w:rPr>
        <w:t>(</w:t>
      </w:r>
      <w:r w:rsidRPr="0092354F">
        <w:rPr>
          <w:rFonts w:ascii="Calibri" w:hAnsi="Calibri"/>
          <w:sz w:val="24"/>
          <w:szCs w:val="24"/>
        </w:rPr>
        <w:t>s) should be legitimate and C.4 should reflect the ‘transparent’ and ‘equitable’ aspects contained in UNGP 31(d and e).</w:t>
      </w:r>
    </w:p>
    <w:p w14:paraId="6FD26376" w14:textId="77777777" w:rsidR="00BE279A" w:rsidRPr="0092354F" w:rsidRDefault="00BE279A" w:rsidP="00BE279A">
      <w:pPr>
        <w:rPr>
          <w:rFonts w:ascii="Calibri" w:hAnsi="Calibri"/>
          <w:b/>
          <w:sz w:val="24"/>
          <w:szCs w:val="24"/>
        </w:rPr>
      </w:pPr>
    </w:p>
    <w:p w14:paraId="753EA3BE" w14:textId="797104DB" w:rsidR="00381C53" w:rsidRPr="0092354F" w:rsidRDefault="0013014D" w:rsidP="006D55E1">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B.1.4.a</w:t>
      </w:r>
      <w:r w:rsidR="002D2835" w:rsidRPr="0092354F">
        <w:rPr>
          <w:rFonts w:ascii="Calibri" w:eastAsia="Times New Roman" w:hAnsi="Calibri" w:cs="Arial"/>
          <w:b/>
          <w:color w:val="222222"/>
          <w:sz w:val="24"/>
          <w:szCs w:val="24"/>
        </w:rPr>
        <w:t>.</w:t>
      </w:r>
      <w:r w:rsidRPr="0092354F">
        <w:rPr>
          <w:rFonts w:ascii="Calibri" w:eastAsia="Times New Roman" w:hAnsi="Calibri" w:cs="Arial"/>
          <w:b/>
          <w:color w:val="222222"/>
          <w:sz w:val="24"/>
          <w:szCs w:val="24"/>
        </w:rPr>
        <w:t xml:space="preserve"> </w:t>
      </w:r>
      <w:proofErr w:type="gramStart"/>
      <w:r w:rsidR="00381C53" w:rsidRPr="0092354F">
        <w:rPr>
          <w:rFonts w:ascii="Calibri" w:eastAsia="Times New Roman" w:hAnsi="Calibri" w:cs="Arial"/>
          <w:b/>
          <w:color w:val="222222"/>
          <w:sz w:val="24"/>
          <w:szCs w:val="24"/>
        </w:rPr>
        <w:t>and</w:t>
      </w:r>
      <w:proofErr w:type="gramEnd"/>
      <w:r w:rsidR="00381C53" w:rsidRPr="0092354F">
        <w:rPr>
          <w:rFonts w:ascii="Calibri" w:eastAsia="Times New Roman" w:hAnsi="Calibri" w:cs="Arial"/>
          <w:b/>
          <w:color w:val="222222"/>
          <w:sz w:val="24"/>
          <w:szCs w:val="24"/>
        </w:rPr>
        <w:t xml:space="preserve"> b</w:t>
      </w:r>
      <w:r w:rsidR="002D2835" w:rsidRPr="0092354F">
        <w:rPr>
          <w:rFonts w:ascii="Calibri" w:eastAsia="Times New Roman" w:hAnsi="Calibri" w:cs="Arial"/>
          <w:b/>
          <w:color w:val="222222"/>
          <w:sz w:val="24"/>
          <w:szCs w:val="24"/>
        </w:rPr>
        <w:t>.</w:t>
      </w:r>
      <w:r w:rsidR="00381C53" w:rsidRPr="0092354F">
        <w:rPr>
          <w:rFonts w:ascii="Calibri" w:eastAsia="Times New Roman" w:hAnsi="Calibri" w:cs="Arial"/>
          <w:b/>
          <w:color w:val="222222"/>
          <w:sz w:val="24"/>
          <w:szCs w:val="24"/>
        </w:rPr>
        <w:t xml:space="preserve"> Communication/dissemination of policy commitment </w:t>
      </w:r>
    </w:p>
    <w:p w14:paraId="7F1CB637" w14:textId="63EF9ECE" w:rsidR="0013014D" w:rsidRPr="0092354F" w:rsidRDefault="00381C53" w:rsidP="0092354F">
      <w:pPr>
        <w:pStyle w:val="ListParagraph"/>
        <w:numPr>
          <w:ilvl w:val="0"/>
          <w:numId w:val="37"/>
        </w:numPr>
        <w:shd w:val="clear" w:color="auto" w:fill="FFFFFF"/>
        <w:rPr>
          <w:rFonts w:ascii="Calibri" w:eastAsia="Times New Roman" w:hAnsi="Calibri" w:cs="Arial"/>
          <w:color w:val="222222"/>
          <w:sz w:val="24"/>
          <w:szCs w:val="24"/>
        </w:rPr>
      </w:pPr>
      <w:r w:rsidRPr="0092354F">
        <w:rPr>
          <w:rFonts w:ascii="Calibri" w:eastAsia="Times New Roman" w:hAnsi="Calibri" w:cs="Arial"/>
          <w:color w:val="222222"/>
          <w:sz w:val="24"/>
          <w:szCs w:val="24"/>
        </w:rPr>
        <w:t xml:space="preserve">We would suggest that this indicator require communication of human rights standards associated with other salient human rights risks, in addition to the ILO core labour standards. This would provide greater consistency with indicator </w:t>
      </w:r>
      <w:proofErr w:type="gramStart"/>
      <w:r w:rsidRPr="0092354F">
        <w:rPr>
          <w:rFonts w:ascii="Calibri" w:eastAsia="Times New Roman" w:hAnsi="Calibri" w:cs="Arial"/>
          <w:color w:val="222222"/>
          <w:sz w:val="24"/>
          <w:szCs w:val="24"/>
        </w:rPr>
        <w:t xml:space="preserve">B.2.2 </w:t>
      </w:r>
      <w:r w:rsidR="00231F21">
        <w:rPr>
          <w:rFonts w:ascii="Calibri" w:eastAsia="Times New Roman" w:hAnsi="Calibri" w:cs="Arial"/>
          <w:color w:val="222222"/>
          <w:sz w:val="24"/>
          <w:szCs w:val="24"/>
        </w:rPr>
        <w:t>.</w:t>
      </w:r>
      <w:r w:rsidRPr="0092354F">
        <w:rPr>
          <w:rFonts w:ascii="Calibri" w:eastAsia="Times New Roman" w:hAnsi="Calibri" w:cs="Arial"/>
          <w:color w:val="222222"/>
          <w:sz w:val="24"/>
          <w:szCs w:val="24"/>
        </w:rPr>
        <w:t>concerning</w:t>
      </w:r>
      <w:proofErr w:type="gramEnd"/>
      <w:r w:rsidRPr="0092354F">
        <w:rPr>
          <w:rFonts w:ascii="Calibri" w:eastAsia="Times New Roman" w:hAnsi="Calibri" w:cs="Arial"/>
          <w:color w:val="222222"/>
          <w:sz w:val="24"/>
          <w:szCs w:val="24"/>
        </w:rPr>
        <w:t xml:space="preserve"> the Assessment of risks and impacts identified (salient risks and key industry risks).</w:t>
      </w:r>
    </w:p>
    <w:p w14:paraId="5F819DE9" w14:textId="77777777" w:rsidR="00CC0CF2" w:rsidRPr="0092354F" w:rsidRDefault="00A44C2F" w:rsidP="00A44C2F">
      <w:pPr>
        <w:shd w:val="clear" w:color="auto" w:fill="FFFFFF"/>
        <w:rPr>
          <w:rFonts w:ascii="Calibri" w:eastAsia="Times New Roman" w:hAnsi="Calibri" w:cs="Arial"/>
          <w:b/>
          <w:color w:val="222222"/>
          <w:sz w:val="24"/>
          <w:szCs w:val="24"/>
          <w:u w:val="single"/>
        </w:rPr>
      </w:pPr>
      <w:r w:rsidRPr="0092354F">
        <w:rPr>
          <w:rFonts w:ascii="Calibri" w:eastAsia="Times New Roman" w:hAnsi="Calibri" w:cs="Arial"/>
          <w:b/>
          <w:color w:val="222222"/>
          <w:sz w:val="24"/>
          <w:szCs w:val="24"/>
          <w:u w:val="single"/>
        </w:rPr>
        <w:t xml:space="preserve">Recommendation: </w:t>
      </w:r>
    </w:p>
    <w:p w14:paraId="0B876879" w14:textId="0A93DE92" w:rsidR="00A44C2F" w:rsidRPr="0092354F" w:rsidRDefault="00A44C2F" w:rsidP="0092354F">
      <w:pPr>
        <w:pStyle w:val="ListParagraph"/>
        <w:numPr>
          <w:ilvl w:val="0"/>
          <w:numId w:val="38"/>
        </w:numPr>
        <w:shd w:val="clear" w:color="auto" w:fill="FFFFFF"/>
        <w:rPr>
          <w:rFonts w:ascii="Calibri" w:eastAsia="Times New Roman" w:hAnsi="Calibri" w:cs="Arial"/>
          <w:b/>
          <w:color w:val="222222"/>
          <w:sz w:val="24"/>
          <w:szCs w:val="24"/>
        </w:rPr>
      </w:pPr>
      <w:r w:rsidRPr="0092354F">
        <w:rPr>
          <w:rFonts w:ascii="Calibri" w:eastAsia="Times New Roman" w:hAnsi="Calibri" w:cs="Arial"/>
          <w:color w:val="222222"/>
          <w:sz w:val="24"/>
          <w:szCs w:val="24"/>
        </w:rPr>
        <w:t>The parenthetical Note in indicators B.1.4.a and b. should be revised to read:</w:t>
      </w:r>
    </w:p>
    <w:p w14:paraId="64BFB39C" w14:textId="3B511AB4" w:rsidR="00A44C2F" w:rsidRPr="0092354F" w:rsidRDefault="00A44C2F" w:rsidP="0092354F">
      <w:pPr>
        <w:shd w:val="clear" w:color="auto" w:fill="FFFFFF"/>
        <w:ind w:left="360"/>
        <w:rPr>
          <w:rFonts w:ascii="Calibri" w:eastAsia="Times New Roman" w:hAnsi="Calibri" w:cs="Arial"/>
          <w:color w:val="222222"/>
          <w:sz w:val="24"/>
          <w:szCs w:val="24"/>
        </w:rPr>
      </w:pPr>
      <w:r w:rsidRPr="0092354F">
        <w:rPr>
          <w:rFonts w:ascii="Calibri" w:eastAsia="Times New Roman" w:hAnsi="Calibri" w:cs="Arial"/>
          <w:color w:val="222222"/>
          <w:sz w:val="24"/>
          <w:szCs w:val="24"/>
        </w:rPr>
        <w:t>‘(Note: In order to get any Score under this indicator, the human rights policy communicated must mention human rights associated with the Company’s salient human rights risks and the ILO….)</w:t>
      </w:r>
      <w:r w:rsidR="00231F21">
        <w:rPr>
          <w:rFonts w:ascii="Calibri" w:eastAsia="Times New Roman" w:hAnsi="Calibri" w:cs="Arial"/>
          <w:color w:val="222222"/>
          <w:sz w:val="24"/>
          <w:szCs w:val="24"/>
        </w:rPr>
        <w:t>’</w:t>
      </w:r>
    </w:p>
    <w:p w14:paraId="295A56B8" w14:textId="77777777" w:rsidR="00025BB4" w:rsidRPr="0092354F" w:rsidRDefault="00025BB4" w:rsidP="00A44C2F">
      <w:pPr>
        <w:shd w:val="clear" w:color="auto" w:fill="FFFFFF"/>
        <w:rPr>
          <w:rFonts w:ascii="Calibri" w:eastAsia="Times New Roman" w:hAnsi="Calibri" w:cs="Arial"/>
          <w:b/>
          <w:color w:val="222222"/>
          <w:sz w:val="24"/>
          <w:szCs w:val="24"/>
        </w:rPr>
      </w:pPr>
    </w:p>
    <w:p w14:paraId="09BD8BAB" w14:textId="77777777" w:rsidR="0013014D" w:rsidRPr="0092354F" w:rsidRDefault="0013014D" w:rsidP="006D55E1">
      <w:pPr>
        <w:shd w:val="clear" w:color="auto" w:fill="FFFFFF"/>
        <w:outlineLvl w:val="0"/>
        <w:rPr>
          <w:rFonts w:ascii="Calibri" w:eastAsia="Times New Roman" w:hAnsi="Calibri" w:cs="Arial"/>
          <w:b/>
          <w:color w:val="222222"/>
          <w:sz w:val="24"/>
          <w:szCs w:val="24"/>
        </w:rPr>
      </w:pPr>
      <w:r w:rsidRPr="0092354F">
        <w:rPr>
          <w:rFonts w:ascii="Calibri" w:eastAsia="Times New Roman" w:hAnsi="Calibri" w:cs="Arial"/>
          <w:b/>
          <w:color w:val="222222"/>
          <w:sz w:val="24"/>
          <w:szCs w:val="24"/>
        </w:rPr>
        <w:t>B.1.8</w:t>
      </w:r>
      <w:r w:rsidR="00381C53" w:rsidRPr="0092354F">
        <w:rPr>
          <w:rFonts w:ascii="Calibri" w:eastAsia="Times New Roman" w:hAnsi="Calibri" w:cs="Arial"/>
          <w:b/>
          <w:color w:val="222222"/>
          <w:sz w:val="24"/>
          <w:szCs w:val="24"/>
        </w:rPr>
        <w:t>. Framework for engagement with potentially affected stakeholders</w:t>
      </w:r>
    </w:p>
    <w:p w14:paraId="47A3C2C9" w14:textId="77777777" w:rsidR="0013014D" w:rsidRPr="0092354F" w:rsidRDefault="00381C53" w:rsidP="0092354F">
      <w:pPr>
        <w:pStyle w:val="ListParagraph"/>
        <w:numPr>
          <w:ilvl w:val="0"/>
          <w:numId w:val="39"/>
        </w:numPr>
        <w:rPr>
          <w:rFonts w:ascii="Calibri" w:hAnsi="Calibri"/>
          <w:sz w:val="24"/>
          <w:szCs w:val="24"/>
        </w:rPr>
      </w:pPr>
      <w:r w:rsidRPr="0092354F">
        <w:rPr>
          <w:rFonts w:ascii="Calibri" w:eastAsia="Times New Roman" w:hAnsi="Calibri" w:cs="Arial"/>
          <w:color w:val="222222"/>
          <w:sz w:val="24"/>
          <w:szCs w:val="24"/>
        </w:rPr>
        <w:t>We do not believe that a Company should be awarded a point solely for a description of its systems and/or processes for stakeholder engagement.  The Company should be required to actually engage with stakeholders</w:t>
      </w:r>
      <w:bookmarkStart w:id="0" w:name="_GoBack"/>
      <w:bookmarkEnd w:id="0"/>
      <w:r w:rsidRPr="0092354F">
        <w:rPr>
          <w:rFonts w:ascii="Calibri" w:eastAsia="Times New Roman" w:hAnsi="Calibri" w:cs="Arial"/>
          <w:color w:val="222222"/>
          <w:sz w:val="24"/>
          <w:szCs w:val="24"/>
        </w:rPr>
        <w:t xml:space="preserve">. </w:t>
      </w:r>
    </w:p>
    <w:p w14:paraId="2875BDD7" w14:textId="77777777" w:rsidR="00CC0CF2" w:rsidRPr="0092354F" w:rsidRDefault="00381C53" w:rsidP="00A44C2F">
      <w:pPr>
        <w:rPr>
          <w:rFonts w:ascii="Calibri" w:hAnsi="Calibri"/>
          <w:b/>
          <w:sz w:val="24"/>
          <w:szCs w:val="24"/>
          <w:u w:val="single"/>
        </w:rPr>
      </w:pPr>
      <w:r w:rsidRPr="0092354F">
        <w:rPr>
          <w:rFonts w:ascii="Calibri" w:hAnsi="Calibri"/>
          <w:b/>
          <w:sz w:val="24"/>
          <w:szCs w:val="24"/>
          <w:u w:val="single"/>
        </w:rPr>
        <w:t>Recommendation:</w:t>
      </w:r>
      <w:r w:rsidR="00025BB4" w:rsidRPr="0092354F">
        <w:rPr>
          <w:rFonts w:ascii="Calibri" w:hAnsi="Calibri"/>
          <w:b/>
          <w:sz w:val="24"/>
          <w:szCs w:val="24"/>
          <w:u w:val="single"/>
        </w:rPr>
        <w:t xml:space="preserve"> </w:t>
      </w:r>
    </w:p>
    <w:p w14:paraId="0A1E7F5C" w14:textId="317A4814" w:rsidR="00ED1D4A" w:rsidRPr="0092354F" w:rsidRDefault="00381C53" w:rsidP="0092354F">
      <w:pPr>
        <w:pStyle w:val="ListParagraph"/>
        <w:numPr>
          <w:ilvl w:val="0"/>
          <w:numId w:val="40"/>
        </w:numPr>
        <w:rPr>
          <w:rFonts w:ascii="Calibri" w:hAnsi="Calibri"/>
          <w:sz w:val="24"/>
          <w:szCs w:val="24"/>
          <w:lang w:val="cy-GB"/>
        </w:rPr>
      </w:pPr>
      <w:r w:rsidRPr="0092354F">
        <w:rPr>
          <w:rFonts w:ascii="Calibri" w:hAnsi="Calibri"/>
          <w:sz w:val="24"/>
          <w:szCs w:val="24"/>
        </w:rPr>
        <w:t xml:space="preserve">Score 1 of B.1.8. </w:t>
      </w:r>
      <w:proofErr w:type="gramStart"/>
      <w:r w:rsidRPr="0092354F">
        <w:rPr>
          <w:rFonts w:ascii="Calibri" w:hAnsi="Calibri"/>
          <w:sz w:val="24"/>
          <w:szCs w:val="24"/>
        </w:rPr>
        <w:t>should</w:t>
      </w:r>
      <w:proofErr w:type="gramEnd"/>
      <w:r w:rsidRPr="0092354F">
        <w:rPr>
          <w:rFonts w:ascii="Calibri" w:hAnsi="Calibri"/>
          <w:sz w:val="24"/>
          <w:szCs w:val="24"/>
        </w:rPr>
        <w:t xml:space="preserve"> require the Company to </w:t>
      </w:r>
      <w:r w:rsidR="00A44C2F" w:rsidRPr="0092354F">
        <w:rPr>
          <w:rFonts w:ascii="Calibri" w:hAnsi="Calibri"/>
          <w:sz w:val="24"/>
          <w:szCs w:val="24"/>
        </w:rPr>
        <w:t xml:space="preserve">describe not only the frequency and triggers for engagement, but also provide information on actual such engagement by stakeholder group.  Thus, the portion of the sentence ‘The </w:t>
      </w:r>
      <w:proofErr w:type="gramStart"/>
      <w:r w:rsidR="00A44C2F" w:rsidRPr="0092354F">
        <w:rPr>
          <w:rFonts w:ascii="Calibri" w:hAnsi="Calibri"/>
          <w:sz w:val="24"/>
          <w:szCs w:val="24"/>
        </w:rPr>
        <w:t>Company …..</w:t>
      </w:r>
      <w:proofErr w:type="gramEnd"/>
      <w:r w:rsidR="00A44C2F" w:rsidRPr="0092354F">
        <w:rPr>
          <w:rFonts w:ascii="Calibri" w:hAnsi="Calibri"/>
          <w:sz w:val="24"/>
          <w:szCs w:val="24"/>
        </w:rPr>
        <w:t>OR’ should be deleted.</w:t>
      </w:r>
    </w:p>
    <w:p w14:paraId="4F089ABA" w14:textId="77777777" w:rsidR="00ED1D4A" w:rsidRPr="0092354F" w:rsidRDefault="00ED1D4A" w:rsidP="00BE279A">
      <w:pPr>
        <w:spacing w:after="0" w:line="240" w:lineRule="auto"/>
        <w:rPr>
          <w:rFonts w:ascii="Calibri" w:hAnsi="Calibri"/>
          <w:sz w:val="24"/>
          <w:szCs w:val="24"/>
          <w:lang w:val="cy-GB"/>
        </w:rPr>
      </w:pPr>
    </w:p>
    <w:p w14:paraId="410D9513" w14:textId="77777777" w:rsidR="0077011B" w:rsidRPr="0092354F" w:rsidRDefault="006D3FD0" w:rsidP="006D55E1">
      <w:pPr>
        <w:spacing w:after="0" w:line="240" w:lineRule="auto"/>
        <w:outlineLvl w:val="0"/>
        <w:rPr>
          <w:rFonts w:ascii="Calibri" w:hAnsi="Calibri"/>
          <w:sz w:val="24"/>
          <w:szCs w:val="24"/>
          <w:lang w:val="cy-GB"/>
        </w:rPr>
      </w:pPr>
      <w:r w:rsidRPr="0092354F">
        <w:rPr>
          <w:rFonts w:ascii="Calibri" w:hAnsi="Calibri"/>
          <w:sz w:val="24"/>
          <w:szCs w:val="24"/>
          <w:lang w:val="cy-GB"/>
        </w:rPr>
        <w:t>Carl Söderbergh, Director of Policy &amp; Communications</w:t>
      </w:r>
    </w:p>
    <w:p w14:paraId="1824B527" w14:textId="249B9576" w:rsidR="00ED1D4A" w:rsidRPr="0092354F" w:rsidRDefault="006D3FD0" w:rsidP="00BE279A">
      <w:pPr>
        <w:spacing w:after="0"/>
        <w:rPr>
          <w:rFonts w:ascii="Calibri" w:hAnsi="Calibri"/>
          <w:sz w:val="24"/>
          <w:szCs w:val="24"/>
          <w:lang w:val="cy-GB"/>
        </w:rPr>
      </w:pPr>
      <w:r w:rsidRPr="0092354F">
        <w:rPr>
          <w:rFonts w:ascii="Calibri" w:hAnsi="Calibri"/>
          <w:sz w:val="24"/>
          <w:szCs w:val="24"/>
          <w:lang w:val="cy-GB"/>
        </w:rPr>
        <w:t>Minority Rights Group International</w:t>
      </w:r>
      <w:r w:rsidR="0013014D" w:rsidRPr="0092354F">
        <w:rPr>
          <w:rFonts w:ascii="Calibri" w:hAnsi="Calibri"/>
          <w:sz w:val="24"/>
          <w:szCs w:val="24"/>
          <w:lang w:val="cy-GB"/>
        </w:rPr>
        <w:t xml:space="preserve"> </w:t>
      </w:r>
    </w:p>
    <w:p w14:paraId="53465C01" w14:textId="77777777" w:rsidR="00ED1D4A" w:rsidRPr="0092354F" w:rsidRDefault="00ED1D4A" w:rsidP="00BE279A">
      <w:pPr>
        <w:spacing w:after="0"/>
        <w:rPr>
          <w:rFonts w:ascii="Calibri" w:hAnsi="Calibri"/>
          <w:sz w:val="24"/>
          <w:szCs w:val="24"/>
          <w:lang w:val="cy-GB"/>
        </w:rPr>
      </w:pPr>
    </w:p>
    <w:p w14:paraId="2FEA2901" w14:textId="77777777" w:rsidR="0013014D" w:rsidRPr="0092354F" w:rsidRDefault="0013014D" w:rsidP="006D55E1">
      <w:pPr>
        <w:spacing w:after="0"/>
        <w:outlineLvl w:val="0"/>
        <w:rPr>
          <w:rFonts w:ascii="Calibri" w:hAnsi="Calibri"/>
          <w:sz w:val="24"/>
          <w:szCs w:val="24"/>
          <w:lang w:val="cy-GB"/>
        </w:rPr>
      </w:pPr>
      <w:r w:rsidRPr="0092354F">
        <w:rPr>
          <w:rFonts w:ascii="Calibri" w:hAnsi="Calibri"/>
          <w:sz w:val="24"/>
          <w:szCs w:val="24"/>
          <w:lang w:val="cy-GB"/>
        </w:rPr>
        <w:t>Corinne Lewis,  Partner</w:t>
      </w:r>
    </w:p>
    <w:p w14:paraId="4533D2EB" w14:textId="77777777" w:rsidR="0013014D" w:rsidRPr="0092354F" w:rsidRDefault="0013014D" w:rsidP="00BE279A">
      <w:pPr>
        <w:spacing w:after="0"/>
        <w:rPr>
          <w:rFonts w:ascii="Calibri" w:hAnsi="Calibri"/>
          <w:sz w:val="24"/>
          <w:szCs w:val="24"/>
          <w:lang w:val="cy-GB"/>
        </w:rPr>
      </w:pPr>
      <w:r w:rsidRPr="0092354F">
        <w:rPr>
          <w:rFonts w:ascii="Calibri" w:hAnsi="Calibri"/>
          <w:sz w:val="24"/>
          <w:szCs w:val="24"/>
          <w:lang w:val="cy-GB"/>
        </w:rPr>
        <w:t>Lex Justi</w:t>
      </w:r>
    </w:p>
    <w:p w14:paraId="702F6D1E" w14:textId="77777777" w:rsidR="006D3FD0" w:rsidRPr="0092354F" w:rsidRDefault="006D3FD0" w:rsidP="00BE279A">
      <w:pPr>
        <w:spacing w:after="0"/>
        <w:rPr>
          <w:rFonts w:ascii="Calibri" w:hAnsi="Calibri"/>
          <w:sz w:val="24"/>
          <w:szCs w:val="24"/>
          <w:lang w:val="cy-GB"/>
        </w:rPr>
      </w:pPr>
    </w:p>
    <w:p w14:paraId="6679F961" w14:textId="77777777" w:rsidR="006D3FD0" w:rsidRPr="0092354F" w:rsidRDefault="00EB555B" w:rsidP="00BE279A">
      <w:pPr>
        <w:spacing w:after="0"/>
        <w:jc w:val="right"/>
        <w:rPr>
          <w:rFonts w:ascii="Calibri" w:hAnsi="Calibri"/>
          <w:b/>
          <w:sz w:val="24"/>
          <w:szCs w:val="24"/>
          <w:lang w:val="cy-GB"/>
        </w:rPr>
      </w:pPr>
      <w:r w:rsidRPr="0092354F">
        <w:rPr>
          <w:rFonts w:ascii="Calibri" w:hAnsi="Calibri"/>
          <w:b/>
          <w:sz w:val="24"/>
          <w:szCs w:val="24"/>
          <w:lang w:val="cy-GB"/>
        </w:rPr>
        <w:tab/>
      </w:r>
      <w:r w:rsidRPr="0092354F">
        <w:rPr>
          <w:rFonts w:ascii="Calibri" w:hAnsi="Calibri"/>
          <w:b/>
          <w:sz w:val="24"/>
          <w:szCs w:val="24"/>
          <w:lang w:val="cy-GB"/>
        </w:rPr>
        <w:tab/>
      </w:r>
    </w:p>
    <w:p w14:paraId="7060E437" w14:textId="77777777" w:rsidR="00EB555B" w:rsidRPr="0092354F" w:rsidRDefault="00BE279A" w:rsidP="00A44C2F">
      <w:pPr>
        <w:rPr>
          <w:rFonts w:ascii="Calibri" w:hAnsi="Calibri"/>
          <w:b/>
          <w:sz w:val="24"/>
          <w:szCs w:val="24"/>
          <w:lang w:val="cy-GB"/>
        </w:rPr>
      </w:pPr>
      <w:r w:rsidRPr="0092354F">
        <w:rPr>
          <w:rFonts w:ascii="Calibri" w:hAnsi="Calibri"/>
          <w:sz w:val="24"/>
          <w:szCs w:val="24"/>
          <w:lang w:val="cy-GB"/>
        </w:rPr>
        <w:t>26</w:t>
      </w:r>
      <w:r w:rsidR="00EB555B" w:rsidRPr="0092354F">
        <w:rPr>
          <w:rFonts w:ascii="Calibri" w:hAnsi="Calibri"/>
          <w:sz w:val="24"/>
          <w:szCs w:val="24"/>
          <w:lang w:val="cy-GB"/>
        </w:rPr>
        <w:t xml:space="preserve"> February 2016</w:t>
      </w:r>
    </w:p>
    <w:sectPr w:rsidR="00EB555B" w:rsidRPr="0092354F" w:rsidSect="00EF1D45">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7A94E" w14:textId="77777777" w:rsidR="005A3D88" w:rsidRDefault="005A3D88" w:rsidP="00EF1D45">
      <w:pPr>
        <w:spacing w:after="0" w:line="240" w:lineRule="auto"/>
      </w:pPr>
      <w:r>
        <w:separator/>
      </w:r>
    </w:p>
  </w:endnote>
  <w:endnote w:type="continuationSeparator" w:id="0">
    <w:p w14:paraId="467A09E0" w14:textId="77777777" w:rsidR="005A3D88" w:rsidRDefault="005A3D88" w:rsidP="00EF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4F03" w14:textId="77777777" w:rsidR="005A3D88" w:rsidRDefault="005A3D88" w:rsidP="00EF1D45">
      <w:pPr>
        <w:spacing w:after="0" w:line="240" w:lineRule="auto"/>
      </w:pPr>
      <w:r>
        <w:separator/>
      </w:r>
    </w:p>
  </w:footnote>
  <w:footnote w:type="continuationSeparator" w:id="0">
    <w:p w14:paraId="6F043519" w14:textId="77777777" w:rsidR="005A3D88" w:rsidRDefault="005A3D88" w:rsidP="00EF1D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408"/>
      <w:docPartObj>
        <w:docPartGallery w:val="Page Numbers (Top of Page)"/>
        <w:docPartUnique/>
      </w:docPartObj>
    </w:sdtPr>
    <w:sdtEndPr/>
    <w:sdtContent>
      <w:p w14:paraId="027574BD" w14:textId="77777777" w:rsidR="005A3D88" w:rsidRDefault="005A3D88">
        <w:pPr>
          <w:pStyle w:val="Header"/>
          <w:jc w:val="right"/>
        </w:pPr>
        <w:r>
          <w:fldChar w:fldCharType="begin"/>
        </w:r>
        <w:r>
          <w:instrText xml:space="preserve"> PAGE   \* MERGEFORMAT </w:instrText>
        </w:r>
        <w:r>
          <w:fldChar w:fldCharType="separate"/>
        </w:r>
        <w:r w:rsidR="0092354F">
          <w:rPr>
            <w:noProof/>
          </w:rPr>
          <w:t>2</w:t>
        </w:r>
        <w:r>
          <w:rPr>
            <w:noProof/>
          </w:rPr>
          <w:fldChar w:fldCharType="end"/>
        </w:r>
      </w:p>
    </w:sdtContent>
  </w:sdt>
  <w:p w14:paraId="6F0C16E0" w14:textId="77777777" w:rsidR="005A3D88" w:rsidRDefault="005A3D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6B7"/>
    <w:multiLevelType w:val="hybridMultilevel"/>
    <w:tmpl w:val="90B29830"/>
    <w:lvl w:ilvl="0" w:tplc="5BCE4538">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4943A5"/>
    <w:multiLevelType w:val="hybridMultilevel"/>
    <w:tmpl w:val="C998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A630E"/>
    <w:multiLevelType w:val="hybridMultilevel"/>
    <w:tmpl w:val="B27E021A"/>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4E5B7E"/>
    <w:multiLevelType w:val="hybridMultilevel"/>
    <w:tmpl w:val="7122C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61176"/>
    <w:multiLevelType w:val="hybridMultilevel"/>
    <w:tmpl w:val="DE5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95942"/>
    <w:multiLevelType w:val="hybridMultilevel"/>
    <w:tmpl w:val="EF34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963629"/>
    <w:multiLevelType w:val="hybridMultilevel"/>
    <w:tmpl w:val="E124D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95A7154"/>
    <w:multiLevelType w:val="hybridMultilevel"/>
    <w:tmpl w:val="F4FC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143963"/>
    <w:multiLevelType w:val="hybridMultilevel"/>
    <w:tmpl w:val="94B69AD6"/>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AA3FD2"/>
    <w:multiLevelType w:val="hybridMultilevel"/>
    <w:tmpl w:val="44E46B34"/>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97D94"/>
    <w:multiLevelType w:val="hybridMultilevel"/>
    <w:tmpl w:val="C250F5A6"/>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6803E1"/>
    <w:multiLevelType w:val="hybridMultilevel"/>
    <w:tmpl w:val="0E80C792"/>
    <w:lvl w:ilvl="0" w:tplc="C13E19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253DE0"/>
    <w:multiLevelType w:val="hybridMultilevel"/>
    <w:tmpl w:val="FD9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3D5CB0"/>
    <w:multiLevelType w:val="hybridMultilevel"/>
    <w:tmpl w:val="4E5C87BC"/>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93313"/>
    <w:multiLevelType w:val="hybridMultilevel"/>
    <w:tmpl w:val="415A8964"/>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A1750A"/>
    <w:multiLevelType w:val="hybridMultilevel"/>
    <w:tmpl w:val="A24CD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B1FAC"/>
    <w:multiLevelType w:val="hybridMultilevel"/>
    <w:tmpl w:val="84A2C160"/>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005DCC"/>
    <w:multiLevelType w:val="hybridMultilevel"/>
    <w:tmpl w:val="AEBE534E"/>
    <w:lvl w:ilvl="0" w:tplc="30A48EC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9186A"/>
    <w:multiLevelType w:val="hybridMultilevel"/>
    <w:tmpl w:val="93D62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69000E"/>
    <w:multiLevelType w:val="hybridMultilevel"/>
    <w:tmpl w:val="ADCAA7D4"/>
    <w:lvl w:ilvl="0" w:tplc="C13E19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06577"/>
    <w:multiLevelType w:val="hybridMultilevel"/>
    <w:tmpl w:val="827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3237D"/>
    <w:multiLevelType w:val="hybridMultilevel"/>
    <w:tmpl w:val="67D61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27313"/>
    <w:multiLevelType w:val="hybridMultilevel"/>
    <w:tmpl w:val="C9706C12"/>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C841CE"/>
    <w:multiLevelType w:val="hybridMultilevel"/>
    <w:tmpl w:val="65BE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D7EFF"/>
    <w:multiLevelType w:val="hybridMultilevel"/>
    <w:tmpl w:val="99002AF2"/>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1061FC"/>
    <w:multiLevelType w:val="hybridMultilevel"/>
    <w:tmpl w:val="AC5E2888"/>
    <w:lvl w:ilvl="0" w:tplc="C13E19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52E9A"/>
    <w:multiLevelType w:val="hybridMultilevel"/>
    <w:tmpl w:val="1FE8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B32288"/>
    <w:multiLevelType w:val="hybridMultilevel"/>
    <w:tmpl w:val="C47C47F4"/>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9B2EFA"/>
    <w:multiLevelType w:val="hybridMultilevel"/>
    <w:tmpl w:val="B770D9DC"/>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653B73"/>
    <w:multiLevelType w:val="hybridMultilevel"/>
    <w:tmpl w:val="B420AFF4"/>
    <w:lvl w:ilvl="0" w:tplc="C13E198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4847A3"/>
    <w:multiLevelType w:val="hybridMultilevel"/>
    <w:tmpl w:val="0DAE502C"/>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675AF4"/>
    <w:multiLevelType w:val="hybridMultilevel"/>
    <w:tmpl w:val="08AAAD0C"/>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B1199D"/>
    <w:multiLevelType w:val="hybridMultilevel"/>
    <w:tmpl w:val="7E94529E"/>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756421"/>
    <w:multiLevelType w:val="hybridMultilevel"/>
    <w:tmpl w:val="40DE0146"/>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A9017E"/>
    <w:multiLevelType w:val="hybridMultilevel"/>
    <w:tmpl w:val="C6703898"/>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541822"/>
    <w:multiLevelType w:val="hybridMultilevel"/>
    <w:tmpl w:val="0008A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6E79F6"/>
    <w:multiLevelType w:val="hybridMultilevel"/>
    <w:tmpl w:val="2C926656"/>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5468AF"/>
    <w:multiLevelType w:val="hybridMultilevel"/>
    <w:tmpl w:val="949A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365D30"/>
    <w:multiLevelType w:val="hybridMultilevel"/>
    <w:tmpl w:val="ACFA9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870C51"/>
    <w:multiLevelType w:val="hybridMultilevel"/>
    <w:tmpl w:val="4236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B0777A"/>
    <w:multiLevelType w:val="hybridMultilevel"/>
    <w:tmpl w:val="C310E654"/>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9BD6E99"/>
    <w:multiLevelType w:val="hybridMultilevel"/>
    <w:tmpl w:val="44CEEB28"/>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E2029F6"/>
    <w:multiLevelType w:val="hybridMultilevel"/>
    <w:tmpl w:val="1CF2B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E9B2E42"/>
    <w:multiLevelType w:val="hybridMultilevel"/>
    <w:tmpl w:val="AC18A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CD34CF"/>
    <w:multiLevelType w:val="hybridMultilevel"/>
    <w:tmpl w:val="41885ED6"/>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5752F8"/>
    <w:multiLevelType w:val="hybridMultilevel"/>
    <w:tmpl w:val="80DCD7C4"/>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37085A"/>
    <w:multiLevelType w:val="hybridMultilevel"/>
    <w:tmpl w:val="3496BE76"/>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F801EB"/>
    <w:multiLevelType w:val="hybridMultilevel"/>
    <w:tmpl w:val="90BCE56E"/>
    <w:lvl w:ilvl="0" w:tplc="C13E19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F740C0"/>
    <w:multiLevelType w:val="hybridMultilevel"/>
    <w:tmpl w:val="9EF486DC"/>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1407AB"/>
    <w:multiLevelType w:val="hybridMultilevel"/>
    <w:tmpl w:val="D0EA3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6C2C1B4B"/>
    <w:multiLevelType w:val="hybridMultilevel"/>
    <w:tmpl w:val="7B7E230C"/>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E8C4D21"/>
    <w:multiLevelType w:val="hybridMultilevel"/>
    <w:tmpl w:val="0AF4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464800"/>
    <w:multiLevelType w:val="hybridMultilevel"/>
    <w:tmpl w:val="4E8603B0"/>
    <w:lvl w:ilvl="0" w:tplc="148C844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B9712E"/>
    <w:multiLevelType w:val="hybridMultilevel"/>
    <w:tmpl w:val="6DE69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78300A06"/>
    <w:multiLevelType w:val="hybridMultilevel"/>
    <w:tmpl w:val="82AEDD06"/>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F390C9C"/>
    <w:multiLevelType w:val="hybridMultilevel"/>
    <w:tmpl w:val="FB269CDC"/>
    <w:lvl w:ilvl="0" w:tplc="C13E198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F774155"/>
    <w:multiLevelType w:val="hybridMultilevel"/>
    <w:tmpl w:val="262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56"/>
  </w:num>
  <w:num w:numId="4">
    <w:abstractNumId w:val="18"/>
  </w:num>
  <w:num w:numId="5">
    <w:abstractNumId w:val="4"/>
  </w:num>
  <w:num w:numId="6">
    <w:abstractNumId w:val="7"/>
  </w:num>
  <w:num w:numId="7">
    <w:abstractNumId w:val="39"/>
  </w:num>
  <w:num w:numId="8">
    <w:abstractNumId w:val="51"/>
  </w:num>
  <w:num w:numId="9">
    <w:abstractNumId w:val="1"/>
  </w:num>
  <w:num w:numId="10">
    <w:abstractNumId w:val="6"/>
  </w:num>
  <w:num w:numId="11">
    <w:abstractNumId w:val="37"/>
  </w:num>
  <w:num w:numId="12">
    <w:abstractNumId w:val="49"/>
  </w:num>
  <w:num w:numId="13">
    <w:abstractNumId w:val="26"/>
  </w:num>
  <w:num w:numId="14">
    <w:abstractNumId w:val="47"/>
  </w:num>
  <w:num w:numId="15">
    <w:abstractNumId w:val="52"/>
  </w:num>
  <w:num w:numId="16">
    <w:abstractNumId w:val="16"/>
  </w:num>
  <w:num w:numId="17">
    <w:abstractNumId w:val="50"/>
  </w:num>
  <w:num w:numId="18">
    <w:abstractNumId w:val="28"/>
  </w:num>
  <w:num w:numId="19">
    <w:abstractNumId w:val="8"/>
  </w:num>
  <w:num w:numId="20">
    <w:abstractNumId w:val="30"/>
  </w:num>
  <w:num w:numId="21">
    <w:abstractNumId w:val="46"/>
  </w:num>
  <w:num w:numId="22">
    <w:abstractNumId w:val="23"/>
  </w:num>
  <w:num w:numId="23">
    <w:abstractNumId w:val="31"/>
  </w:num>
  <w:num w:numId="24">
    <w:abstractNumId w:val="24"/>
  </w:num>
  <w:num w:numId="25">
    <w:abstractNumId w:val="33"/>
  </w:num>
  <w:num w:numId="26">
    <w:abstractNumId w:val="27"/>
  </w:num>
  <w:num w:numId="27">
    <w:abstractNumId w:val="32"/>
  </w:num>
  <w:num w:numId="28">
    <w:abstractNumId w:val="53"/>
  </w:num>
  <w:num w:numId="29">
    <w:abstractNumId w:val="42"/>
  </w:num>
  <w:num w:numId="30">
    <w:abstractNumId w:val="14"/>
  </w:num>
  <w:num w:numId="31">
    <w:abstractNumId w:val="40"/>
  </w:num>
  <w:num w:numId="32">
    <w:abstractNumId w:val="2"/>
  </w:num>
  <w:num w:numId="33">
    <w:abstractNumId w:val="10"/>
  </w:num>
  <w:num w:numId="34">
    <w:abstractNumId w:val="48"/>
  </w:num>
  <w:num w:numId="35">
    <w:abstractNumId w:val="22"/>
  </w:num>
  <w:num w:numId="36">
    <w:abstractNumId w:val="55"/>
  </w:num>
  <w:num w:numId="37">
    <w:abstractNumId w:val="34"/>
  </w:num>
  <w:num w:numId="38">
    <w:abstractNumId w:val="44"/>
  </w:num>
  <w:num w:numId="39">
    <w:abstractNumId w:val="9"/>
  </w:num>
  <w:num w:numId="40">
    <w:abstractNumId w:val="41"/>
  </w:num>
  <w:num w:numId="41">
    <w:abstractNumId w:val="0"/>
  </w:num>
  <w:num w:numId="42">
    <w:abstractNumId w:val="45"/>
  </w:num>
  <w:num w:numId="43">
    <w:abstractNumId w:val="25"/>
  </w:num>
  <w:num w:numId="44">
    <w:abstractNumId w:val="29"/>
  </w:num>
  <w:num w:numId="45">
    <w:abstractNumId w:val="11"/>
  </w:num>
  <w:num w:numId="46">
    <w:abstractNumId w:val="19"/>
  </w:num>
  <w:num w:numId="47">
    <w:abstractNumId w:val="54"/>
  </w:num>
  <w:num w:numId="48">
    <w:abstractNumId w:val="21"/>
  </w:num>
  <w:num w:numId="49">
    <w:abstractNumId w:val="38"/>
  </w:num>
  <w:num w:numId="50">
    <w:abstractNumId w:val="35"/>
  </w:num>
  <w:num w:numId="51">
    <w:abstractNumId w:val="43"/>
  </w:num>
  <w:num w:numId="52">
    <w:abstractNumId w:val="20"/>
  </w:num>
  <w:num w:numId="53">
    <w:abstractNumId w:val="15"/>
  </w:num>
  <w:num w:numId="54">
    <w:abstractNumId w:val="13"/>
  </w:num>
  <w:num w:numId="55">
    <w:abstractNumId w:val="36"/>
  </w:num>
  <w:num w:numId="56">
    <w:abstractNumId w:val="17"/>
  </w:num>
  <w:num w:numId="57">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FC"/>
    <w:rsid w:val="00001B2C"/>
    <w:rsid w:val="00025BB4"/>
    <w:rsid w:val="00027C1F"/>
    <w:rsid w:val="0004309E"/>
    <w:rsid w:val="00050AEF"/>
    <w:rsid w:val="00055815"/>
    <w:rsid w:val="00070732"/>
    <w:rsid w:val="00082B37"/>
    <w:rsid w:val="00086CC2"/>
    <w:rsid w:val="00094E87"/>
    <w:rsid w:val="00095E67"/>
    <w:rsid w:val="000A248E"/>
    <w:rsid w:val="000A3DCB"/>
    <w:rsid w:val="000B3C06"/>
    <w:rsid w:val="000D76FB"/>
    <w:rsid w:val="000E0C6A"/>
    <w:rsid w:val="000E7231"/>
    <w:rsid w:val="000F0C9C"/>
    <w:rsid w:val="000F7858"/>
    <w:rsid w:val="001033F3"/>
    <w:rsid w:val="00104F85"/>
    <w:rsid w:val="00114088"/>
    <w:rsid w:val="00121968"/>
    <w:rsid w:val="0013014D"/>
    <w:rsid w:val="00135467"/>
    <w:rsid w:val="001364C7"/>
    <w:rsid w:val="001508DE"/>
    <w:rsid w:val="00162EDC"/>
    <w:rsid w:val="001647AE"/>
    <w:rsid w:val="001702C8"/>
    <w:rsid w:val="00170B01"/>
    <w:rsid w:val="001777FC"/>
    <w:rsid w:val="00180687"/>
    <w:rsid w:val="001907E4"/>
    <w:rsid w:val="0019574E"/>
    <w:rsid w:val="0019641B"/>
    <w:rsid w:val="001968A4"/>
    <w:rsid w:val="001C5527"/>
    <w:rsid w:val="001E5326"/>
    <w:rsid w:val="001F26E8"/>
    <w:rsid w:val="0023185B"/>
    <w:rsid w:val="00231F21"/>
    <w:rsid w:val="00244459"/>
    <w:rsid w:val="002542FC"/>
    <w:rsid w:val="002733BD"/>
    <w:rsid w:val="002B00B7"/>
    <w:rsid w:val="002C6A29"/>
    <w:rsid w:val="002D1B8A"/>
    <w:rsid w:val="002D2835"/>
    <w:rsid w:val="002F3B01"/>
    <w:rsid w:val="00334047"/>
    <w:rsid w:val="00334FCA"/>
    <w:rsid w:val="003538CA"/>
    <w:rsid w:val="00371733"/>
    <w:rsid w:val="00381C53"/>
    <w:rsid w:val="00392F8C"/>
    <w:rsid w:val="003A59C2"/>
    <w:rsid w:val="003B0E01"/>
    <w:rsid w:val="003D64F9"/>
    <w:rsid w:val="00406516"/>
    <w:rsid w:val="00423140"/>
    <w:rsid w:val="0042395D"/>
    <w:rsid w:val="004254CE"/>
    <w:rsid w:val="0043044C"/>
    <w:rsid w:val="0043407C"/>
    <w:rsid w:val="00453D66"/>
    <w:rsid w:val="004716E6"/>
    <w:rsid w:val="00477FEE"/>
    <w:rsid w:val="004849FA"/>
    <w:rsid w:val="00494CE5"/>
    <w:rsid w:val="004950EC"/>
    <w:rsid w:val="004D5AE0"/>
    <w:rsid w:val="004E5A37"/>
    <w:rsid w:val="004F567F"/>
    <w:rsid w:val="004F597B"/>
    <w:rsid w:val="00505BCA"/>
    <w:rsid w:val="00520302"/>
    <w:rsid w:val="00521F01"/>
    <w:rsid w:val="005828A0"/>
    <w:rsid w:val="00584CA6"/>
    <w:rsid w:val="00585428"/>
    <w:rsid w:val="005979CF"/>
    <w:rsid w:val="005A296A"/>
    <w:rsid w:val="005A3D88"/>
    <w:rsid w:val="005B0E2D"/>
    <w:rsid w:val="005B39C8"/>
    <w:rsid w:val="005C4E2E"/>
    <w:rsid w:val="005D032A"/>
    <w:rsid w:val="005F3382"/>
    <w:rsid w:val="006026A9"/>
    <w:rsid w:val="00604076"/>
    <w:rsid w:val="00606431"/>
    <w:rsid w:val="00614461"/>
    <w:rsid w:val="00620829"/>
    <w:rsid w:val="00643772"/>
    <w:rsid w:val="00685713"/>
    <w:rsid w:val="0069730C"/>
    <w:rsid w:val="006A5224"/>
    <w:rsid w:val="006C304C"/>
    <w:rsid w:val="006D3FD0"/>
    <w:rsid w:val="006D55E1"/>
    <w:rsid w:val="00704DF1"/>
    <w:rsid w:val="007106B8"/>
    <w:rsid w:val="00720F4F"/>
    <w:rsid w:val="00721B70"/>
    <w:rsid w:val="0072508D"/>
    <w:rsid w:val="00732D4F"/>
    <w:rsid w:val="00761907"/>
    <w:rsid w:val="0077011B"/>
    <w:rsid w:val="007865E1"/>
    <w:rsid w:val="00791EB8"/>
    <w:rsid w:val="00793324"/>
    <w:rsid w:val="007E4D16"/>
    <w:rsid w:val="007E7B39"/>
    <w:rsid w:val="007F24B8"/>
    <w:rsid w:val="00801CE8"/>
    <w:rsid w:val="00805802"/>
    <w:rsid w:val="00816F59"/>
    <w:rsid w:val="00820898"/>
    <w:rsid w:val="00822CD5"/>
    <w:rsid w:val="0082440D"/>
    <w:rsid w:val="008527BF"/>
    <w:rsid w:val="008631BE"/>
    <w:rsid w:val="00863E10"/>
    <w:rsid w:val="0087137B"/>
    <w:rsid w:val="008839DA"/>
    <w:rsid w:val="008902D6"/>
    <w:rsid w:val="00896F07"/>
    <w:rsid w:val="008A33F1"/>
    <w:rsid w:val="008A6B9E"/>
    <w:rsid w:val="008B0777"/>
    <w:rsid w:val="008B54F6"/>
    <w:rsid w:val="008C55DE"/>
    <w:rsid w:val="008E6173"/>
    <w:rsid w:val="00912DDC"/>
    <w:rsid w:val="00915D55"/>
    <w:rsid w:val="0092354F"/>
    <w:rsid w:val="009405EB"/>
    <w:rsid w:val="00997755"/>
    <w:rsid w:val="009A1AD0"/>
    <w:rsid w:val="009A3748"/>
    <w:rsid w:val="009A43BA"/>
    <w:rsid w:val="009E5D81"/>
    <w:rsid w:val="009F7521"/>
    <w:rsid w:val="00A032B4"/>
    <w:rsid w:val="00A3515C"/>
    <w:rsid w:val="00A44C2F"/>
    <w:rsid w:val="00A563E9"/>
    <w:rsid w:val="00A6276E"/>
    <w:rsid w:val="00A65B7B"/>
    <w:rsid w:val="00A952D4"/>
    <w:rsid w:val="00AB07F0"/>
    <w:rsid w:val="00AC0B3F"/>
    <w:rsid w:val="00AD1E90"/>
    <w:rsid w:val="00AE75E5"/>
    <w:rsid w:val="00AF224D"/>
    <w:rsid w:val="00AF4009"/>
    <w:rsid w:val="00B00001"/>
    <w:rsid w:val="00B6411F"/>
    <w:rsid w:val="00B72004"/>
    <w:rsid w:val="00B84003"/>
    <w:rsid w:val="00B91853"/>
    <w:rsid w:val="00B97D49"/>
    <w:rsid w:val="00BB1A69"/>
    <w:rsid w:val="00BB7E64"/>
    <w:rsid w:val="00BC12E7"/>
    <w:rsid w:val="00BE0539"/>
    <w:rsid w:val="00BE24DC"/>
    <w:rsid w:val="00BE279A"/>
    <w:rsid w:val="00BE719F"/>
    <w:rsid w:val="00BF1FF7"/>
    <w:rsid w:val="00C047BC"/>
    <w:rsid w:val="00C04ACB"/>
    <w:rsid w:val="00C21284"/>
    <w:rsid w:val="00C32E6C"/>
    <w:rsid w:val="00C56B07"/>
    <w:rsid w:val="00C74B56"/>
    <w:rsid w:val="00C75AB5"/>
    <w:rsid w:val="00CC0CF2"/>
    <w:rsid w:val="00CC5599"/>
    <w:rsid w:val="00CC7923"/>
    <w:rsid w:val="00CE507C"/>
    <w:rsid w:val="00D17F6A"/>
    <w:rsid w:val="00D327E1"/>
    <w:rsid w:val="00D37F99"/>
    <w:rsid w:val="00D6447A"/>
    <w:rsid w:val="00D7313C"/>
    <w:rsid w:val="00D83FBD"/>
    <w:rsid w:val="00D87481"/>
    <w:rsid w:val="00D87EF6"/>
    <w:rsid w:val="00DA6C5C"/>
    <w:rsid w:val="00DE0520"/>
    <w:rsid w:val="00DE074A"/>
    <w:rsid w:val="00DF44D1"/>
    <w:rsid w:val="00E04932"/>
    <w:rsid w:val="00E20EAD"/>
    <w:rsid w:val="00E22A49"/>
    <w:rsid w:val="00E60507"/>
    <w:rsid w:val="00E67BE8"/>
    <w:rsid w:val="00E84310"/>
    <w:rsid w:val="00E97E9C"/>
    <w:rsid w:val="00EB1551"/>
    <w:rsid w:val="00EB555B"/>
    <w:rsid w:val="00ED1D4A"/>
    <w:rsid w:val="00ED2AD5"/>
    <w:rsid w:val="00EE5002"/>
    <w:rsid w:val="00EE6CAB"/>
    <w:rsid w:val="00EF1754"/>
    <w:rsid w:val="00EF1D45"/>
    <w:rsid w:val="00F21C7E"/>
    <w:rsid w:val="00F25DA5"/>
    <w:rsid w:val="00F53952"/>
    <w:rsid w:val="00FA0015"/>
    <w:rsid w:val="00FB3CE1"/>
    <w:rsid w:val="00FB707E"/>
    <w:rsid w:val="00FD0EB0"/>
    <w:rsid w:val="00FD147F"/>
    <w:rsid w:val="00FD1BF6"/>
    <w:rsid w:val="00FE0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F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FC"/>
    <w:pPr>
      <w:ind w:left="720"/>
      <w:contextualSpacing/>
    </w:pPr>
  </w:style>
  <w:style w:type="paragraph" w:styleId="Header">
    <w:name w:val="header"/>
    <w:basedOn w:val="Normal"/>
    <w:link w:val="HeaderChar"/>
    <w:uiPriority w:val="99"/>
    <w:unhideWhenUsed/>
    <w:rsid w:val="00EF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45"/>
  </w:style>
  <w:style w:type="paragraph" w:styleId="Footer">
    <w:name w:val="footer"/>
    <w:basedOn w:val="Normal"/>
    <w:link w:val="FooterChar"/>
    <w:uiPriority w:val="99"/>
    <w:semiHidden/>
    <w:unhideWhenUsed/>
    <w:rsid w:val="00EF1D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1D45"/>
  </w:style>
  <w:style w:type="paragraph" w:styleId="BalloonText">
    <w:name w:val="Balloon Text"/>
    <w:basedOn w:val="Normal"/>
    <w:link w:val="BalloonTextChar"/>
    <w:uiPriority w:val="99"/>
    <w:semiHidden/>
    <w:unhideWhenUsed/>
    <w:rsid w:val="0047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EE"/>
    <w:rPr>
      <w:rFonts w:ascii="Tahoma" w:hAnsi="Tahoma" w:cs="Tahoma"/>
      <w:sz w:val="16"/>
      <w:szCs w:val="16"/>
    </w:rPr>
  </w:style>
  <w:style w:type="character" w:styleId="CommentReference">
    <w:name w:val="annotation reference"/>
    <w:basedOn w:val="DefaultParagraphFont"/>
    <w:uiPriority w:val="99"/>
    <w:semiHidden/>
    <w:unhideWhenUsed/>
    <w:rsid w:val="007106B8"/>
    <w:rPr>
      <w:sz w:val="18"/>
      <w:szCs w:val="18"/>
    </w:rPr>
  </w:style>
  <w:style w:type="paragraph" w:styleId="CommentText">
    <w:name w:val="annotation text"/>
    <w:basedOn w:val="Normal"/>
    <w:link w:val="CommentTextChar"/>
    <w:uiPriority w:val="99"/>
    <w:semiHidden/>
    <w:unhideWhenUsed/>
    <w:rsid w:val="007106B8"/>
    <w:pPr>
      <w:spacing w:line="240" w:lineRule="auto"/>
    </w:pPr>
    <w:rPr>
      <w:sz w:val="24"/>
      <w:szCs w:val="24"/>
    </w:rPr>
  </w:style>
  <w:style w:type="character" w:customStyle="1" w:styleId="CommentTextChar">
    <w:name w:val="Comment Text Char"/>
    <w:basedOn w:val="DefaultParagraphFont"/>
    <w:link w:val="CommentText"/>
    <w:uiPriority w:val="99"/>
    <w:semiHidden/>
    <w:rsid w:val="007106B8"/>
    <w:rPr>
      <w:sz w:val="24"/>
      <w:szCs w:val="24"/>
    </w:rPr>
  </w:style>
  <w:style w:type="paragraph" w:styleId="CommentSubject">
    <w:name w:val="annotation subject"/>
    <w:basedOn w:val="CommentText"/>
    <w:next w:val="CommentText"/>
    <w:link w:val="CommentSubjectChar"/>
    <w:uiPriority w:val="99"/>
    <w:semiHidden/>
    <w:unhideWhenUsed/>
    <w:rsid w:val="007106B8"/>
    <w:rPr>
      <w:b/>
      <w:bCs/>
      <w:sz w:val="20"/>
      <w:szCs w:val="20"/>
    </w:rPr>
  </w:style>
  <w:style w:type="character" w:customStyle="1" w:styleId="CommentSubjectChar">
    <w:name w:val="Comment Subject Char"/>
    <w:basedOn w:val="CommentTextChar"/>
    <w:link w:val="CommentSubject"/>
    <w:uiPriority w:val="99"/>
    <w:semiHidden/>
    <w:rsid w:val="007106B8"/>
    <w:rPr>
      <w:b/>
      <w:bCs/>
      <w:sz w:val="20"/>
      <w:szCs w:val="20"/>
    </w:rPr>
  </w:style>
  <w:style w:type="paragraph" w:styleId="Revision">
    <w:name w:val="Revision"/>
    <w:hidden/>
    <w:uiPriority w:val="99"/>
    <w:semiHidden/>
    <w:rsid w:val="007106B8"/>
    <w:pPr>
      <w:spacing w:after="0" w:line="240" w:lineRule="auto"/>
    </w:pPr>
  </w:style>
  <w:style w:type="paragraph" w:styleId="FootnoteText">
    <w:name w:val="footnote text"/>
    <w:basedOn w:val="Normal"/>
    <w:link w:val="FootnoteTextChar"/>
    <w:uiPriority w:val="99"/>
    <w:unhideWhenUsed/>
    <w:rsid w:val="00095E67"/>
    <w:pPr>
      <w:spacing w:after="0" w:line="240" w:lineRule="auto"/>
    </w:pPr>
    <w:rPr>
      <w:sz w:val="20"/>
      <w:szCs w:val="20"/>
    </w:rPr>
  </w:style>
  <w:style w:type="character" w:customStyle="1" w:styleId="FootnoteTextChar">
    <w:name w:val="Footnote Text Char"/>
    <w:basedOn w:val="DefaultParagraphFont"/>
    <w:link w:val="FootnoteText"/>
    <w:uiPriority w:val="99"/>
    <w:rsid w:val="00095E67"/>
    <w:rPr>
      <w:sz w:val="20"/>
      <w:szCs w:val="20"/>
    </w:rPr>
  </w:style>
  <w:style w:type="character" w:styleId="FootnoteReference">
    <w:name w:val="footnote reference"/>
    <w:basedOn w:val="DefaultParagraphFont"/>
    <w:uiPriority w:val="99"/>
    <w:semiHidden/>
    <w:unhideWhenUsed/>
    <w:rsid w:val="00095E67"/>
    <w:rPr>
      <w:vertAlign w:val="superscript"/>
    </w:rPr>
  </w:style>
  <w:style w:type="character" w:styleId="Hyperlink">
    <w:name w:val="Hyperlink"/>
    <w:basedOn w:val="DefaultParagraphFont"/>
    <w:uiPriority w:val="99"/>
    <w:unhideWhenUsed/>
    <w:rsid w:val="001702C8"/>
    <w:rPr>
      <w:color w:val="0000FF" w:themeColor="hyperlink"/>
      <w:u w:val="single"/>
    </w:rPr>
  </w:style>
  <w:style w:type="paragraph" w:styleId="DocumentMap">
    <w:name w:val="Document Map"/>
    <w:basedOn w:val="Normal"/>
    <w:link w:val="DocumentMapChar"/>
    <w:uiPriority w:val="99"/>
    <w:semiHidden/>
    <w:unhideWhenUsed/>
    <w:rsid w:val="00E049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493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FC"/>
    <w:pPr>
      <w:ind w:left="720"/>
      <w:contextualSpacing/>
    </w:pPr>
  </w:style>
  <w:style w:type="paragraph" w:styleId="Header">
    <w:name w:val="header"/>
    <w:basedOn w:val="Normal"/>
    <w:link w:val="HeaderChar"/>
    <w:uiPriority w:val="99"/>
    <w:unhideWhenUsed/>
    <w:rsid w:val="00EF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45"/>
  </w:style>
  <w:style w:type="paragraph" w:styleId="Footer">
    <w:name w:val="footer"/>
    <w:basedOn w:val="Normal"/>
    <w:link w:val="FooterChar"/>
    <w:uiPriority w:val="99"/>
    <w:semiHidden/>
    <w:unhideWhenUsed/>
    <w:rsid w:val="00EF1D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1D45"/>
  </w:style>
  <w:style w:type="paragraph" w:styleId="BalloonText">
    <w:name w:val="Balloon Text"/>
    <w:basedOn w:val="Normal"/>
    <w:link w:val="BalloonTextChar"/>
    <w:uiPriority w:val="99"/>
    <w:semiHidden/>
    <w:unhideWhenUsed/>
    <w:rsid w:val="0047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EE"/>
    <w:rPr>
      <w:rFonts w:ascii="Tahoma" w:hAnsi="Tahoma" w:cs="Tahoma"/>
      <w:sz w:val="16"/>
      <w:szCs w:val="16"/>
    </w:rPr>
  </w:style>
  <w:style w:type="character" w:styleId="CommentReference">
    <w:name w:val="annotation reference"/>
    <w:basedOn w:val="DefaultParagraphFont"/>
    <w:uiPriority w:val="99"/>
    <w:semiHidden/>
    <w:unhideWhenUsed/>
    <w:rsid w:val="007106B8"/>
    <w:rPr>
      <w:sz w:val="18"/>
      <w:szCs w:val="18"/>
    </w:rPr>
  </w:style>
  <w:style w:type="paragraph" w:styleId="CommentText">
    <w:name w:val="annotation text"/>
    <w:basedOn w:val="Normal"/>
    <w:link w:val="CommentTextChar"/>
    <w:uiPriority w:val="99"/>
    <w:semiHidden/>
    <w:unhideWhenUsed/>
    <w:rsid w:val="007106B8"/>
    <w:pPr>
      <w:spacing w:line="240" w:lineRule="auto"/>
    </w:pPr>
    <w:rPr>
      <w:sz w:val="24"/>
      <w:szCs w:val="24"/>
    </w:rPr>
  </w:style>
  <w:style w:type="character" w:customStyle="1" w:styleId="CommentTextChar">
    <w:name w:val="Comment Text Char"/>
    <w:basedOn w:val="DefaultParagraphFont"/>
    <w:link w:val="CommentText"/>
    <w:uiPriority w:val="99"/>
    <w:semiHidden/>
    <w:rsid w:val="007106B8"/>
    <w:rPr>
      <w:sz w:val="24"/>
      <w:szCs w:val="24"/>
    </w:rPr>
  </w:style>
  <w:style w:type="paragraph" w:styleId="CommentSubject">
    <w:name w:val="annotation subject"/>
    <w:basedOn w:val="CommentText"/>
    <w:next w:val="CommentText"/>
    <w:link w:val="CommentSubjectChar"/>
    <w:uiPriority w:val="99"/>
    <w:semiHidden/>
    <w:unhideWhenUsed/>
    <w:rsid w:val="007106B8"/>
    <w:rPr>
      <w:b/>
      <w:bCs/>
      <w:sz w:val="20"/>
      <w:szCs w:val="20"/>
    </w:rPr>
  </w:style>
  <w:style w:type="character" w:customStyle="1" w:styleId="CommentSubjectChar">
    <w:name w:val="Comment Subject Char"/>
    <w:basedOn w:val="CommentTextChar"/>
    <w:link w:val="CommentSubject"/>
    <w:uiPriority w:val="99"/>
    <w:semiHidden/>
    <w:rsid w:val="007106B8"/>
    <w:rPr>
      <w:b/>
      <w:bCs/>
      <w:sz w:val="20"/>
      <w:szCs w:val="20"/>
    </w:rPr>
  </w:style>
  <w:style w:type="paragraph" w:styleId="Revision">
    <w:name w:val="Revision"/>
    <w:hidden/>
    <w:uiPriority w:val="99"/>
    <w:semiHidden/>
    <w:rsid w:val="007106B8"/>
    <w:pPr>
      <w:spacing w:after="0" w:line="240" w:lineRule="auto"/>
    </w:pPr>
  </w:style>
  <w:style w:type="paragraph" w:styleId="FootnoteText">
    <w:name w:val="footnote text"/>
    <w:basedOn w:val="Normal"/>
    <w:link w:val="FootnoteTextChar"/>
    <w:uiPriority w:val="99"/>
    <w:unhideWhenUsed/>
    <w:rsid w:val="00095E67"/>
    <w:pPr>
      <w:spacing w:after="0" w:line="240" w:lineRule="auto"/>
    </w:pPr>
    <w:rPr>
      <w:sz w:val="20"/>
      <w:szCs w:val="20"/>
    </w:rPr>
  </w:style>
  <w:style w:type="character" w:customStyle="1" w:styleId="FootnoteTextChar">
    <w:name w:val="Footnote Text Char"/>
    <w:basedOn w:val="DefaultParagraphFont"/>
    <w:link w:val="FootnoteText"/>
    <w:uiPriority w:val="99"/>
    <w:rsid w:val="00095E67"/>
    <w:rPr>
      <w:sz w:val="20"/>
      <w:szCs w:val="20"/>
    </w:rPr>
  </w:style>
  <w:style w:type="character" w:styleId="FootnoteReference">
    <w:name w:val="footnote reference"/>
    <w:basedOn w:val="DefaultParagraphFont"/>
    <w:uiPriority w:val="99"/>
    <w:semiHidden/>
    <w:unhideWhenUsed/>
    <w:rsid w:val="00095E67"/>
    <w:rPr>
      <w:vertAlign w:val="superscript"/>
    </w:rPr>
  </w:style>
  <w:style w:type="character" w:styleId="Hyperlink">
    <w:name w:val="Hyperlink"/>
    <w:basedOn w:val="DefaultParagraphFont"/>
    <w:uiPriority w:val="99"/>
    <w:unhideWhenUsed/>
    <w:rsid w:val="001702C8"/>
    <w:rPr>
      <w:color w:val="0000FF" w:themeColor="hyperlink"/>
      <w:u w:val="single"/>
    </w:rPr>
  </w:style>
  <w:style w:type="paragraph" w:styleId="DocumentMap">
    <w:name w:val="Document Map"/>
    <w:basedOn w:val="Normal"/>
    <w:link w:val="DocumentMapChar"/>
    <w:uiPriority w:val="99"/>
    <w:semiHidden/>
    <w:unhideWhenUsed/>
    <w:rsid w:val="00E049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493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110C4-91F3-AD4D-9930-FF45B56D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13824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Soderbergh</dc:creator>
  <cp:lastModifiedBy>Vicky Dodman</cp:lastModifiedBy>
  <cp:revision>2</cp:revision>
  <cp:lastPrinted>2016-02-26T17:02:00Z</cp:lastPrinted>
  <dcterms:created xsi:type="dcterms:W3CDTF">2016-03-09T16:32:00Z</dcterms:created>
  <dcterms:modified xsi:type="dcterms:W3CDTF">2016-03-09T16:32:00Z</dcterms:modified>
</cp:coreProperties>
</file>