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2A" w:rsidRDefault="00455310">
      <w:pPr>
        <w:pStyle w:val="Cuerpo"/>
        <w:jc w:val="center"/>
        <w:rPr>
          <w:rFonts w:ascii="Times New Roman" w:eastAsia="Times New Roman" w:hAnsi="Times New Roman" w:cs="Times New Roman"/>
          <w:b/>
          <w:bCs/>
          <w:sz w:val="24"/>
          <w:szCs w:val="24"/>
          <w:lang w:val="en-US"/>
        </w:rPr>
      </w:pPr>
      <w:r>
        <w:rPr>
          <w:rFonts w:ascii="Times New Roman"/>
          <w:b/>
          <w:bCs/>
          <w:sz w:val="24"/>
          <w:szCs w:val="24"/>
          <w:lang w:val="en-US"/>
        </w:rPr>
        <w:t xml:space="preserve">First session of the Open </w:t>
      </w:r>
      <w:r>
        <w:rPr>
          <w:rFonts w:hAnsi="Arial Unicode MS"/>
          <w:b/>
          <w:bCs/>
          <w:sz w:val="24"/>
          <w:szCs w:val="24"/>
          <w:lang w:val="en-US"/>
        </w:rPr>
        <w:t>–</w:t>
      </w:r>
      <w:r>
        <w:rPr>
          <w:b/>
          <w:bCs/>
          <w:sz w:val="24"/>
          <w:szCs w:val="24"/>
          <w:lang w:val="en-US"/>
        </w:rPr>
        <w:t xml:space="preserve"> </w:t>
      </w:r>
      <w:r>
        <w:rPr>
          <w:rFonts w:ascii="Times New Roman"/>
          <w:b/>
          <w:bCs/>
          <w:sz w:val="24"/>
          <w:szCs w:val="24"/>
          <w:lang w:val="en-US"/>
        </w:rPr>
        <w:t xml:space="preserve">Ended Intergovernmental Working Group on Transnational Corporations and Other Business Enterprises with respect to Human Rights </w:t>
      </w:r>
    </w:p>
    <w:p w:rsidR="001F792A" w:rsidRDefault="00455310">
      <w:pPr>
        <w:pStyle w:val="Cuerpo"/>
        <w:jc w:val="center"/>
        <w:rPr>
          <w:rFonts w:ascii="Times New Roman" w:eastAsia="Times New Roman" w:hAnsi="Times New Roman" w:cs="Times New Roman"/>
          <w:b/>
          <w:bCs/>
          <w:sz w:val="24"/>
          <w:szCs w:val="24"/>
          <w:lang w:val="en-US"/>
        </w:rPr>
      </w:pPr>
      <w:r>
        <w:rPr>
          <w:rFonts w:ascii="Times New Roman"/>
          <w:b/>
          <w:bCs/>
          <w:sz w:val="24"/>
          <w:szCs w:val="24"/>
          <w:lang w:val="en-US"/>
        </w:rPr>
        <w:t xml:space="preserve">Concept note proposed under the responsibility of the designated Chair, </w:t>
      </w:r>
      <w:proofErr w:type="spellStart"/>
      <w:r>
        <w:rPr>
          <w:rFonts w:ascii="Times New Roman"/>
          <w:b/>
          <w:bCs/>
          <w:sz w:val="24"/>
          <w:szCs w:val="24"/>
          <w:lang w:val="en-US"/>
        </w:rPr>
        <w:t>Amb</w:t>
      </w:r>
      <w:proofErr w:type="spellEnd"/>
      <w:r>
        <w:rPr>
          <w:rFonts w:ascii="Times New Roman"/>
          <w:b/>
          <w:bCs/>
          <w:sz w:val="24"/>
          <w:szCs w:val="24"/>
          <w:lang w:val="en-US"/>
        </w:rPr>
        <w:t xml:space="preserve">. </w:t>
      </w:r>
      <w:proofErr w:type="spellStart"/>
      <w:r>
        <w:rPr>
          <w:rFonts w:ascii="Times New Roman"/>
          <w:b/>
          <w:bCs/>
          <w:sz w:val="24"/>
          <w:szCs w:val="24"/>
          <w:lang w:val="en-US"/>
        </w:rPr>
        <w:t>Mar</w:t>
      </w:r>
      <w:r>
        <w:rPr>
          <w:rFonts w:hAnsi="Arial Unicode MS"/>
          <w:b/>
          <w:bCs/>
          <w:sz w:val="24"/>
          <w:szCs w:val="24"/>
          <w:lang w:val="en-US"/>
        </w:rPr>
        <w:t>í</w:t>
      </w:r>
      <w:r>
        <w:rPr>
          <w:rFonts w:ascii="Times New Roman"/>
          <w:b/>
          <w:bCs/>
          <w:sz w:val="24"/>
          <w:szCs w:val="24"/>
          <w:lang w:val="en-US"/>
        </w:rPr>
        <w:t>a</w:t>
      </w:r>
      <w:proofErr w:type="spellEnd"/>
      <w:r>
        <w:rPr>
          <w:rFonts w:ascii="Times New Roman"/>
          <w:b/>
          <w:bCs/>
          <w:sz w:val="24"/>
          <w:szCs w:val="24"/>
          <w:lang w:val="en-US"/>
        </w:rPr>
        <w:t xml:space="preserve"> Fernanda Espinosa, Permanent Representative of Ecuador to the United Nations in Geneva</w:t>
      </w:r>
    </w:p>
    <w:p w:rsidR="001F792A" w:rsidRDefault="00455310">
      <w:pPr>
        <w:pStyle w:val="Cuerpo"/>
        <w:jc w:val="center"/>
        <w:rPr>
          <w:rFonts w:ascii="Times New Roman" w:eastAsia="Times New Roman" w:hAnsi="Times New Roman" w:cs="Times New Roman"/>
          <w:b/>
          <w:bCs/>
          <w:sz w:val="24"/>
          <w:szCs w:val="24"/>
        </w:rPr>
      </w:pPr>
      <w:r>
        <w:rPr>
          <w:rFonts w:ascii="Times New Roman"/>
          <w:b/>
          <w:bCs/>
          <w:sz w:val="24"/>
          <w:szCs w:val="24"/>
        </w:rPr>
        <w:t>Geneva, Palais des Nations, Room XX</w:t>
      </w:r>
    </w:p>
    <w:p w:rsidR="001F792A" w:rsidRDefault="00455310">
      <w:pPr>
        <w:pStyle w:val="Cuerpo"/>
        <w:jc w:val="center"/>
        <w:rPr>
          <w:rFonts w:ascii="Times New Roman" w:eastAsia="Times New Roman" w:hAnsi="Times New Roman" w:cs="Times New Roman"/>
          <w:b/>
          <w:bCs/>
          <w:sz w:val="24"/>
          <w:szCs w:val="24"/>
          <w:lang w:val="en-US"/>
        </w:rPr>
      </w:pPr>
      <w:r>
        <w:rPr>
          <w:rFonts w:ascii="Times New Roman"/>
          <w:b/>
          <w:bCs/>
          <w:sz w:val="24"/>
          <w:szCs w:val="24"/>
          <w:lang w:val="en-US"/>
        </w:rPr>
        <w:t>July 06</w:t>
      </w:r>
      <w:r>
        <w:rPr>
          <w:rFonts w:ascii="Times New Roman"/>
          <w:b/>
          <w:bCs/>
          <w:sz w:val="24"/>
          <w:szCs w:val="24"/>
          <w:vertAlign w:val="superscript"/>
          <w:lang w:val="en-US"/>
        </w:rPr>
        <w:t>th</w:t>
      </w:r>
      <w:r>
        <w:rPr>
          <w:b/>
          <w:bCs/>
          <w:sz w:val="24"/>
          <w:szCs w:val="24"/>
          <w:lang w:val="en-US"/>
        </w:rPr>
        <w:t xml:space="preserve"> </w:t>
      </w:r>
      <w:r>
        <w:rPr>
          <w:rFonts w:hAnsi="Arial Unicode MS"/>
          <w:b/>
          <w:bCs/>
          <w:sz w:val="24"/>
          <w:szCs w:val="24"/>
          <w:lang w:val="en-US"/>
        </w:rPr>
        <w:t>–</w:t>
      </w:r>
      <w:r>
        <w:rPr>
          <w:b/>
          <w:bCs/>
          <w:sz w:val="24"/>
          <w:szCs w:val="24"/>
          <w:lang w:val="en-US"/>
        </w:rPr>
        <w:t xml:space="preserve"> </w:t>
      </w:r>
      <w:r>
        <w:rPr>
          <w:rFonts w:ascii="Times New Roman"/>
          <w:b/>
          <w:bCs/>
          <w:sz w:val="24"/>
          <w:szCs w:val="24"/>
          <w:lang w:val="en-US"/>
        </w:rPr>
        <w:t>10</w:t>
      </w:r>
      <w:r>
        <w:rPr>
          <w:rFonts w:ascii="Times New Roman"/>
          <w:b/>
          <w:bCs/>
          <w:sz w:val="24"/>
          <w:szCs w:val="24"/>
          <w:vertAlign w:val="superscript"/>
          <w:lang w:val="en-US"/>
        </w:rPr>
        <w:t>th</w:t>
      </w:r>
      <w:r>
        <w:rPr>
          <w:rFonts w:ascii="Times New Roman"/>
          <w:b/>
          <w:bCs/>
          <w:sz w:val="24"/>
          <w:szCs w:val="24"/>
          <w:lang w:val="en-US"/>
        </w:rPr>
        <w:t>, 2015</w:t>
      </w:r>
    </w:p>
    <w:p w:rsidR="001F792A" w:rsidRDefault="00455310">
      <w:pPr>
        <w:pStyle w:val="ListParagraph"/>
        <w:spacing w:after="0" w:line="240" w:lineRule="auto"/>
        <w:ind w:left="0"/>
        <w:jc w:val="both"/>
        <w:rPr>
          <w:rFonts w:ascii="Times New Roman" w:eastAsia="Times New Roman" w:hAnsi="Times New Roman" w:cs="Times New Roman"/>
          <w:b/>
          <w:bCs/>
          <w:caps/>
          <w:sz w:val="24"/>
          <w:szCs w:val="24"/>
          <w:lang w:val="en-US"/>
        </w:rPr>
      </w:pPr>
      <w:r>
        <w:rPr>
          <w:rFonts w:ascii="Times New Roman"/>
          <w:b/>
          <w:bCs/>
          <w:caps/>
          <w:sz w:val="24"/>
          <w:szCs w:val="24"/>
          <w:lang w:val="en-US"/>
        </w:rPr>
        <w:t>background</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The open-ended intergovernmental working group (OEIWG) on transnational corporations (TNCs) and other business enterprises with respect to human rights was established through resolution A/HRC/RES/26/9 (resolution 26/9), adopted by the Human Rights Council on Ju</w:t>
      </w:r>
      <w:r w:rsidR="00474F25">
        <w:rPr>
          <w:rFonts w:ascii="Times New Roman"/>
          <w:sz w:val="24"/>
          <w:szCs w:val="24"/>
          <w:lang w:val="en-GB"/>
        </w:rPr>
        <w:t>ne</w:t>
      </w:r>
      <w:r w:rsidRPr="00474F25">
        <w:rPr>
          <w:rFonts w:ascii="Times New Roman"/>
          <w:sz w:val="24"/>
          <w:szCs w:val="24"/>
          <w:lang w:val="en-GB"/>
        </w:rPr>
        <w:t xml:space="preserve"> </w:t>
      </w:r>
      <w:r w:rsidR="00474F25">
        <w:rPr>
          <w:rFonts w:ascii="Times New Roman"/>
          <w:sz w:val="24"/>
          <w:szCs w:val="24"/>
          <w:lang w:val="en-GB"/>
        </w:rPr>
        <w:t>26</w:t>
      </w:r>
      <w:r w:rsidRPr="00474F25">
        <w:rPr>
          <w:rFonts w:ascii="Times New Roman"/>
          <w:sz w:val="24"/>
          <w:szCs w:val="24"/>
          <w:lang w:val="en-GB"/>
        </w:rPr>
        <w:t xml:space="preserve">th, 2014. The OEIWG is mandated to </w:t>
      </w:r>
      <w:r w:rsidRPr="00474F25">
        <w:rPr>
          <w:rFonts w:hAnsi="Arial Unicode MS"/>
          <w:sz w:val="24"/>
          <w:szCs w:val="24"/>
          <w:lang w:val="en-GB"/>
        </w:rPr>
        <w:t>“</w:t>
      </w:r>
      <w:r w:rsidRPr="00474F25">
        <w:rPr>
          <w:rFonts w:ascii="Times New Roman"/>
          <w:sz w:val="24"/>
          <w:szCs w:val="24"/>
          <w:lang w:val="en-GB"/>
        </w:rPr>
        <w:t>elaborate an international legally binding instrument to regulate, in international human rights law, the activities of transnational corporations and other business enterprises</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 xml:space="preserve">(para. </w:t>
      </w:r>
      <w:r w:rsidRPr="00170A7F">
        <w:rPr>
          <w:rFonts w:ascii="Times New Roman"/>
          <w:sz w:val="24"/>
          <w:szCs w:val="24"/>
          <w:lang w:val="en-GB"/>
        </w:rPr>
        <w:t xml:space="preserve">1 of resolution 26/9). </w:t>
      </w:r>
      <w:r w:rsidRPr="00474F25">
        <w:rPr>
          <w:rFonts w:ascii="Times New Roman"/>
          <w:sz w:val="24"/>
          <w:szCs w:val="24"/>
          <w:lang w:val="en-GB"/>
        </w:rPr>
        <w:t xml:space="preserve">The resolution provides that </w:t>
      </w:r>
      <w:r w:rsidRPr="00474F25">
        <w:rPr>
          <w:rFonts w:hAnsi="Arial Unicode MS"/>
          <w:sz w:val="24"/>
          <w:szCs w:val="24"/>
          <w:lang w:val="en-GB"/>
        </w:rPr>
        <w:t>“</w:t>
      </w:r>
      <w:r w:rsidRPr="00474F25">
        <w:rPr>
          <w:rFonts w:ascii="Times New Roman"/>
          <w:sz w:val="24"/>
          <w:szCs w:val="24"/>
          <w:lang w:val="en-GB"/>
        </w:rPr>
        <w:t>the first two sessions of the open-ended inter-governmental working group shall be dedicated to conducting constructive deliberations on the content, scope, nature and form of the future international instrument</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 xml:space="preserve">(para. </w:t>
      </w:r>
      <w:r w:rsidRPr="00170A7F">
        <w:rPr>
          <w:rFonts w:ascii="Times New Roman"/>
          <w:sz w:val="24"/>
          <w:szCs w:val="24"/>
          <w:lang w:val="en-GB"/>
        </w:rPr>
        <w:t xml:space="preserve">2 of resolution 26/9). </w:t>
      </w:r>
      <w:r w:rsidRPr="00474F25">
        <w:rPr>
          <w:rFonts w:ascii="Times New Roman"/>
          <w:sz w:val="24"/>
          <w:szCs w:val="24"/>
          <w:lang w:val="en-GB"/>
        </w:rPr>
        <w:t xml:space="preserve">The resolution also recommends that </w:t>
      </w:r>
      <w:r w:rsidRPr="00474F25">
        <w:rPr>
          <w:rFonts w:hAnsi="Arial Unicode MS"/>
          <w:sz w:val="24"/>
          <w:szCs w:val="24"/>
          <w:lang w:val="en-GB"/>
        </w:rPr>
        <w:t>“</w:t>
      </w:r>
      <w:r w:rsidRPr="00474F25">
        <w:rPr>
          <w:rFonts w:ascii="Times New Roman"/>
          <w:sz w:val="24"/>
          <w:szCs w:val="24"/>
          <w:lang w:val="en-GB"/>
        </w:rPr>
        <w:t xml:space="preserve">the first meeting of the open-ended intergovernmental working group serve to collect inputs, including written inputs, from States and relevant stakeholders on possible principles, scope and elements of such </w:t>
      </w:r>
      <w:r w:rsidR="00474F25">
        <w:rPr>
          <w:rFonts w:ascii="Times New Roman"/>
          <w:sz w:val="24"/>
          <w:szCs w:val="24"/>
          <w:lang w:val="en-GB"/>
        </w:rPr>
        <w:t xml:space="preserve">an </w:t>
      </w:r>
      <w:r w:rsidRPr="00474F25">
        <w:rPr>
          <w:rFonts w:ascii="Times New Roman"/>
          <w:sz w:val="24"/>
          <w:szCs w:val="24"/>
          <w:lang w:val="en-GB"/>
        </w:rPr>
        <w:t>international legally binding instrument</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 xml:space="preserve">(para. </w:t>
      </w:r>
      <w:r w:rsidRPr="00170A7F">
        <w:rPr>
          <w:rFonts w:ascii="Times New Roman"/>
          <w:sz w:val="24"/>
          <w:szCs w:val="24"/>
          <w:lang w:val="en-GB"/>
        </w:rPr>
        <w:t xml:space="preserve">5 of resolution 26/9). </w:t>
      </w:r>
      <w:r w:rsidRPr="00474F25">
        <w:rPr>
          <w:rFonts w:ascii="Times New Roman"/>
          <w:sz w:val="24"/>
          <w:szCs w:val="24"/>
          <w:lang w:val="en-GB"/>
        </w:rPr>
        <w:t xml:space="preserve">It should be noted that </w:t>
      </w:r>
      <w:r w:rsidR="00474F25">
        <w:rPr>
          <w:rFonts w:ascii="Times New Roman"/>
          <w:sz w:val="24"/>
          <w:szCs w:val="24"/>
          <w:lang w:val="en-GB"/>
        </w:rPr>
        <w:t xml:space="preserve">pursuant to </w:t>
      </w:r>
      <w:r w:rsidRPr="00474F25">
        <w:rPr>
          <w:rFonts w:ascii="Times New Roman"/>
          <w:sz w:val="24"/>
          <w:szCs w:val="24"/>
          <w:lang w:val="en-GB"/>
        </w:rPr>
        <w:t xml:space="preserve"> paragraph 3 of the resolution, the deliberations of the first two sessions should be such as would allow the Chairperson-Rapporteur of the open-ended intergovernmental working group to </w:t>
      </w:r>
      <w:r w:rsidRPr="00474F25">
        <w:rPr>
          <w:rFonts w:hAnsi="Arial Unicode MS"/>
          <w:sz w:val="24"/>
          <w:szCs w:val="24"/>
          <w:lang w:val="en-GB"/>
        </w:rPr>
        <w:t>“</w:t>
      </w:r>
      <w:r w:rsidRPr="00474F25">
        <w:rPr>
          <w:rFonts w:ascii="Times New Roman"/>
          <w:sz w:val="24"/>
          <w:szCs w:val="24"/>
          <w:lang w:val="en-GB"/>
        </w:rPr>
        <w:t>prepare elements for the draft legally binding instrument for substantive negotiations at the commencement of the third session of the working group on the subject, taking into consideration the discussions held at its first two sessions</w:t>
      </w:r>
      <w:r w:rsidRPr="00474F25">
        <w:rPr>
          <w:rFonts w:hAnsi="Arial Unicode MS"/>
          <w:sz w:val="24"/>
          <w:szCs w:val="24"/>
          <w:lang w:val="en-GB"/>
        </w:rPr>
        <w:t>”</w:t>
      </w:r>
      <w:r w:rsidR="00474F25">
        <w:rPr>
          <w:rFonts w:ascii="Times New Roman"/>
          <w:sz w:val="24"/>
          <w:szCs w:val="24"/>
          <w:lang w:val="en-GB"/>
        </w:rPr>
        <w:t xml:space="preserve"> - </w:t>
      </w:r>
      <w:r w:rsidRPr="00474F25">
        <w:rPr>
          <w:rFonts w:ascii="Times New Roman"/>
          <w:sz w:val="24"/>
          <w:szCs w:val="24"/>
          <w:lang w:val="en-GB"/>
        </w:rPr>
        <w:t>therefore, it is expected to have focused and constructive deliberations.</w:t>
      </w:r>
    </w:p>
    <w:p w:rsidR="001F792A" w:rsidRDefault="001F792A">
      <w:pPr>
        <w:pStyle w:val="ListParagraph"/>
        <w:spacing w:after="0" w:line="240" w:lineRule="auto"/>
        <w:ind w:left="0"/>
        <w:jc w:val="both"/>
        <w:rPr>
          <w:rFonts w:ascii="Times New Roman" w:eastAsia="Times New Roman" w:hAnsi="Times New Roman" w:cs="Times New Roman"/>
          <w:sz w:val="24"/>
          <w:szCs w:val="24"/>
          <w:lang w:val="en-US"/>
        </w:rPr>
      </w:pPr>
    </w:p>
    <w:p w:rsidR="001F792A" w:rsidRDefault="00455310">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Resolution 26/9 stresses that the obligation and primary responsibility to promote and protect human rights and fundamental freedoms lie</w:t>
      </w:r>
      <w:r w:rsidR="00474F25">
        <w:rPr>
          <w:rFonts w:ascii="Times New Roman"/>
          <w:sz w:val="24"/>
          <w:szCs w:val="24"/>
          <w:lang w:val="en-GB"/>
        </w:rPr>
        <w:t>s</w:t>
      </w:r>
      <w:r w:rsidRPr="00474F25">
        <w:rPr>
          <w:rFonts w:ascii="Times New Roman"/>
          <w:sz w:val="24"/>
          <w:szCs w:val="24"/>
          <w:lang w:val="en-GB"/>
        </w:rPr>
        <w:t xml:space="preserve"> with the State, and that States must protect against human rights abuse within their territory and/or jurisdiction by third parties, including transnational corporations. While the obligation of States to regulate business activities within their territorial jurisdiction is clear, on the other hand States</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 xml:space="preserve">obligations regarding corporate conduct acting abroad remain unclear. </w:t>
      </w:r>
    </w:p>
    <w:p w:rsidR="001F792A" w:rsidRDefault="001F792A">
      <w:pPr>
        <w:pStyle w:val="Cuerpo"/>
        <w:tabs>
          <w:tab w:val="left" w:pos="426"/>
        </w:tabs>
        <w:spacing w:after="0" w:line="240" w:lineRule="auto"/>
        <w:jc w:val="both"/>
        <w:rPr>
          <w:rFonts w:ascii="Times New Roman" w:eastAsia="Times New Roman" w:hAnsi="Times New Roman" w:cs="Times New Roman"/>
          <w:sz w:val="24"/>
          <w:szCs w:val="24"/>
          <w:lang w:val="en-US"/>
        </w:rPr>
      </w:pPr>
    </w:p>
    <w:p w:rsidR="001F792A" w:rsidRDefault="00455310">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lastRenderedPageBreak/>
        <w:t>Member States</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 xml:space="preserve">discussions during the process of preparation of the resolution underlined that there are gaps in the international legal framework related to the duty to protect human rights in respect </w:t>
      </w:r>
      <w:r w:rsidR="00474F25">
        <w:rPr>
          <w:rFonts w:ascii="Times New Roman"/>
          <w:sz w:val="24"/>
          <w:szCs w:val="24"/>
          <w:lang w:val="en-GB"/>
        </w:rPr>
        <w:t>of</w:t>
      </w:r>
      <w:r w:rsidRPr="00474F25">
        <w:rPr>
          <w:rFonts w:ascii="Times New Roman"/>
          <w:sz w:val="24"/>
          <w:szCs w:val="24"/>
          <w:lang w:val="en-GB"/>
        </w:rPr>
        <w:t xml:space="preserve"> business activities, and that related instruments are concentrated in soft law. Resolution 26/9 recognizes the importance of the issue of business and human rights, especially given the increasing role that TNCs and businesses play in various economic sectors. In the case of human rights </w:t>
      </w:r>
      <w:r w:rsidR="00474F25">
        <w:rPr>
          <w:rFonts w:ascii="Times New Roman"/>
          <w:sz w:val="24"/>
          <w:szCs w:val="24"/>
          <w:lang w:val="en-GB"/>
        </w:rPr>
        <w:t>abuses caused</w:t>
      </w:r>
      <w:r w:rsidRPr="00474F25">
        <w:rPr>
          <w:rFonts w:ascii="Times New Roman"/>
          <w:sz w:val="24"/>
          <w:szCs w:val="24"/>
          <w:lang w:val="en-GB"/>
        </w:rPr>
        <w:t xml:space="preserve"> by TNCs, the </w:t>
      </w:r>
      <w:r w:rsidR="00474F25">
        <w:rPr>
          <w:rFonts w:ascii="Times New Roman"/>
          <w:sz w:val="24"/>
          <w:szCs w:val="24"/>
          <w:lang w:val="en-GB"/>
        </w:rPr>
        <w:t>third</w:t>
      </w:r>
      <w:r w:rsidRPr="00474F25">
        <w:rPr>
          <w:rFonts w:ascii="Times New Roman"/>
          <w:sz w:val="24"/>
          <w:szCs w:val="24"/>
          <w:lang w:val="en-GB"/>
        </w:rPr>
        <w:t xml:space="preserve"> pillar under the UN Guiding Principles on Business and Human Rights, which addresses access to effective remedy, acknowledges the limitations of national measures and the need for </w:t>
      </w:r>
      <w:r w:rsidR="00474F25">
        <w:rPr>
          <w:rFonts w:ascii="Times New Roman"/>
          <w:sz w:val="24"/>
          <w:szCs w:val="24"/>
          <w:lang w:val="en-GB"/>
        </w:rPr>
        <w:t>greater</w:t>
      </w:r>
      <w:r w:rsidRPr="00474F25">
        <w:rPr>
          <w:rFonts w:ascii="Times New Roman"/>
          <w:sz w:val="24"/>
          <w:szCs w:val="24"/>
          <w:lang w:val="en-GB"/>
        </w:rPr>
        <w:t xml:space="preserve"> clarity in regard to access to effective remedies. </w:t>
      </w:r>
    </w:p>
    <w:p w:rsidR="001F792A" w:rsidRDefault="001F792A">
      <w:pPr>
        <w:pStyle w:val="ListParagraph"/>
        <w:spacing w:after="0" w:line="240" w:lineRule="auto"/>
        <w:ind w:left="0"/>
        <w:jc w:val="both"/>
        <w:rPr>
          <w:rFonts w:ascii="Times New Roman" w:eastAsia="Times New Roman" w:hAnsi="Times New Roman" w:cs="Times New Roman"/>
          <w:sz w:val="24"/>
          <w:szCs w:val="24"/>
          <w:lang w:val="en-US"/>
        </w:rPr>
      </w:pPr>
    </w:p>
    <w:p w:rsidR="001F792A" w:rsidRDefault="00455310">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 xml:space="preserve">Furthermore, the international legal system reflects an asymmetry between rights and obligations of TNCs. While TNCs are </w:t>
      </w:r>
      <w:r w:rsidR="00FA01DB">
        <w:rPr>
          <w:rFonts w:ascii="Times New Roman"/>
          <w:sz w:val="24"/>
          <w:szCs w:val="24"/>
          <w:lang w:val="en-GB"/>
        </w:rPr>
        <w:t>granted</w:t>
      </w:r>
      <w:r w:rsidR="00170A7F">
        <w:rPr>
          <w:rFonts w:ascii="Times New Roman"/>
          <w:sz w:val="24"/>
          <w:szCs w:val="24"/>
          <w:lang w:val="en-GB"/>
        </w:rPr>
        <w:t xml:space="preserve"> </w:t>
      </w:r>
      <w:r w:rsidRPr="00474F25">
        <w:rPr>
          <w:rFonts w:ascii="Times New Roman"/>
          <w:sz w:val="24"/>
          <w:szCs w:val="24"/>
          <w:lang w:val="en-GB"/>
        </w:rPr>
        <w:t>rights through hard law instruments, such as bilateral investment treaties and investment rules in free trade agreements, and have access to a system of investor-state dispute settlement, there are no hard law instruments that address the obligations of corporations to respect human rights.</w:t>
      </w:r>
    </w:p>
    <w:p w:rsidR="001F792A" w:rsidRDefault="001F792A">
      <w:pPr>
        <w:pStyle w:val="ListParagraph"/>
        <w:spacing w:after="0" w:line="240" w:lineRule="auto"/>
        <w:ind w:left="0"/>
        <w:rPr>
          <w:rFonts w:ascii="Times New Roman" w:eastAsia="Times New Roman" w:hAnsi="Times New Roman" w:cs="Times New Roman"/>
          <w:sz w:val="24"/>
          <w:szCs w:val="24"/>
          <w:lang w:val="en-US"/>
        </w:rPr>
      </w:pPr>
    </w:p>
    <w:p w:rsidR="001F792A" w:rsidRDefault="00FA01DB">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GB"/>
        </w:rPr>
        <w:t xml:space="preserve">The role of </w:t>
      </w:r>
      <w:r w:rsidR="00455310" w:rsidRPr="00474F25">
        <w:rPr>
          <w:rFonts w:ascii="Times New Roman"/>
          <w:sz w:val="24"/>
          <w:szCs w:val="24"/>
          <w:lang w:val="en-GB"/>
        </w:rPr>
        <w:t>TNCs</w:t>
      </w:r>
      <w:r w:rsidR="00455310" w:rsidRPr="00474F25">
        <w:rPr>
          <w:rFonts w:ascii="Trebuchet MS"/>
          <w:sz w:val="24"/>
          <w:szCs w:val="24"/>
          <w:lang w:val="en-GB"/>
        </w:rPr>
        <w:t xml:space="preserve"> </w:t>
      </w:r>
      <w:r>
        <w:rPr>
          <w:rFonts w:ascii="Times New Roman"/>
          <w:sz w:val="24"/>
          <w:szCs w:val="24"/>
          <w:lang w:val="en-GB"/>
        </w:rPr>
        <w:t>has</w:t>
      </w:r>
      <w:r w:rsidR="00455310" w:rsidRPr="00474F25">
        <w:rPr>
          <w:rFonts w:ascii="Times New Roman"/>
          <w:sz w:val="24"/>
          <w:szCs w:val="24"/>
          <w:lang w:val="en-GB"/>
        </w:rPr>
        <w:t xml:space="preserve"> exponentially expanded over the last few decades. V</w:t>
      </w:r>
      <w:r w:rsidR="00455310" w:rsidRPr="00474F25">
        <w:rPr>
          <w:rFonts w:ascii="Times New Roman"/>
          <w:sz w:val="24"/>
          <w:szCs w:val="24"/>
          <w:shd w:val="clear" w:color="auto" w:fill="FFFFFF"/>
          <w:lang w:val="en-GB"/>
        </w:rPr>
        <w:t xml:space="preserve">alue chains (i.e. intra-firm or inter-firm, regional or global, and commonly referred to as </w:t>
      </w:r>
      <w:r w:rsidR="00455310" w:rsidRPr="00474F25">
        <w:rPr>
          <w:rFonts w:hAnsi="Arial Unicode MS"/>
          <w:sz w:val="24"/>
          <w:szCs w:val="24"/>
          <w:shd w:val="clear" w:color="auto" w:fill="FFFFFF"/>
          <w:lang w:val="en-GB"/>
        </w:rPr>
        <w:t>“</w:t>
      </w:r>
      <w:r w:rsidR="00455310" w:rsidRPr="00474F25">
        <w:rPr>
          <w:rFonts w:ascii="Times New Roman"/>
          <w:sz w:val="24"/>
          <w:szCs w:val="24"/>
          <w:shd w:val="clear" w:color="auto" w:fill="FFFFFF"/>
          <w:lang w:val="en-GB"/>
        </w:rPr>
        <w:t>global value chains, or GVCs) are shaped by TNCs that account for around 80 per cent of global trade</w:t>
      </w:r>
      <w:r w:rsidR="00455310">
        <w:rPr>
          <w:rFonts w:ascii="Trebuchet MS" w:eastAsia="Trebuchet MS" w:hAnsi="Trebuchet MS" w:cs="Trebuchet MS"/>
          <w:sz w:val="20"/>
          <w:szCs w:val="20"/>
          <w:shd w:val="clear" w:color="auto" w:fill="FFFFFF"/>
          <w:vertAlign w:val="superscript"/>
          <w:lang w:val="en-US"/>
        </w:rPr>
        <w:footnoteReference w:id="2"/>
      </w:r>
      <w:r w:rsidR="00455310" w:rsidRPr="00474F25">
        <w:rPr>
          <w:rFonts w:ascii="Times New Roman"/>
          <w:sz w:val="24"/>
          <w:szCs w:val="24"/>
          <w:lang w:val="en-GB"/>
        </w:rPr>
        <w:t>. It is clear that the role of corporations ha</w:t>
      </w:r>
      <w:r>
        <w:rPr>
          <w:rFonts w:ascii="Times New Roman"/>
          <w:sz w:val="24"/>
          <w:szCs w:val="24"/>
          <w:lang w:val="en-GB"/>
        </w:rPr>
        <w:t>s</w:t>
      </w:r>
      <w:r w:rsidR="00455310" w:rsidRPr="00474F25">
        <w:rPr>
          <w:rFonts w:ascii="Times New Roman"/>
          <w:sz w:val="24"/>
          <w:szCs w:val="24"/>
          <w:lang w:val="en-GB"/>
        </w:rPr>
        <w:t xml:space="preserve"> evolved in a way that transcends national laws. Yet, TNCs still lack international legal responsibility commensurate with their role and influence in international and domestic affairs. While it is important to strengthen national legal frameworks and mechanisms for access to remedy in cases of human rights violations, there is an increasing need for international cooperation between states to ensure that victims of corporate human rights </w:t>
      </w:r>
      <w:r>
        <w:rPr>
          <w:rFonts w:ascii="Times New Roman"/>
          <w:sz w:val="24"/>
          <w:szCs w:val="24"/>
          <w:lang w:val="en-GB"/>
        </w:rPr>
        <w:t xml:space="preserve">abuse </w:t>
      </w:r>
      <w:proofErr w:type="gramStart"/>
      <w:r w:rsidR="00455310" w:rsidRPr="00474F25">
        <w:rPr>
          <w:rFonts w:ascii="Times New Roman"/>
          <w:sz w:val="24"/>
          <w:szCs w:val="24"/>
          <w:lang w:val="en-GB"/>
        </w:rPr>
        <w:t>have  access</w:t>
      </w:r>
      <w:proofErr w:type="gramEnd"/>
      <w:r w:rsidR="00455310" w:rsidRPr="00474F25">
        <w:rPr>
          <w:rFonts w:ascii="Times New Roman"/>
          <w:sz w:val="24"/>
          <w:szCs w:val="24"/>
          <w:lang w:val="en-GB"/>
        </w:rPr>
        <w:t xml:space="preserve"> to remedy. </w:t>
      </w:r>
    </w:p>
    <w:p w:rsidR="001F792A" w:rsidRDefault="001F792A">
      <w:pPr>
        <w:pStyle w:val="ListParagraph"/>
        <w:spacing w:after="0" w:line="240" w:lineRule="auto"/>
        <w:ind w:left="0"/>
        <w:jc w:val="both"/>
        <w:rPr>
          <w:rFonts w:ascii="Times New Roman" w:eastAsia="Times New Roman" w:hAnsi="Times New Roman" w:cs="Times New Roman"/>
          <w:sz w:val="24"/>
          <w:szCs w:val="24"/>
          <w:lang w:val="en-US"/>
        </w:rPr>
      </w:pPr>
    </w:p>
    <w:p w:rsidR="001F792A" w:rsidRPr="00170A7F" w:rsidRDefault="00455310" w:rsidP="00170A7F">
      <w:pPr>
        <w:pStyle w:val="ListParagraph"/>
        <w:numPr>
          <w:ilvl w:val="0"/>
          <w:numId w:val="3"/>
        </w:numPr>
        <w:tabs>
          <w:tab w:val="num" w:pos="663"/>
          <w:tab w:val="left" w:pos="690"/>
        </w:tabs>
        <w:spacing w:after="0" w:line="240" w:lineRule="auto"/>
        <w:ind w:left="663" w:hanging="303"/>
        <w:jc w:val="both"/>
        <w:rPr>
          <w:rFonts w:ascii="Times New Roman"/>
          <w:sz w:val="24"/>
          <w:szCs w:val="24"/>
          <w:lang w:val="en-GB"/>
        </w:rPr>
      </w:pPr>
      <w:r w:rsidRPr="00170A7F">
        <w:rPr>
          <w:rFonts w:ascii="Times New Roman"/>
          <w:sz w:val="24"/>
          <w:szCs w:val="24"/>
          <w:lang w:val="en-GB"/>
        </w:rPr>
        <w:t>Additionally, studies show that companies</w:t>
      </w:r>
      <w:r w:rsidRPr="00170A7F">
        <w:rPr>
          <w:rFonts w:ascii="Times New Roman"/>
          <w:sz w:val="24"/>
          <w:szCs w:val="24"/>
          <w:lang w:val="en-GB"/>
        </w:rPr>
        <w:t>’</w:t>
      </w:r>
      <w:r w:rsidRPr="00170A7F">
        <w:rPr>
          <w:rFonts w:ascii="Times New Roman"/>
          <w:sz w:val="24"/>
          <w:szCs w:val="24"/>
          <w:lang w:val="en-GB"/>
        </w:rPr>
        <w:t xml:space="preserve"> incentives are not negatively impacted by the regulatory aspects of the context in which they operate. Issues of primary concern to investors include the size and growth potential of markets, infrastructure development, and availability of resources (natural resources and abundant labor). For example, a study by the International Monetary Fund entitled </w:t>
      </w:r>
      <w:r w:rsidRPr="00170A7F">
        <w:rPr>
          <w:rFonts w:ascii="Times New Roman"/>
          <w:sz w:val="24"/>
          <w:szCs w:val="24"/>
          <w:lang w:val="en-GB"/>
        </w:rPr>
        <w:t>“</w:t>
      </w:r>
      <w:r w:rsidRPr="00170A7F">
        <w:rPr>
          <w:rFonts w:ascii="Times New Roman"/>
          <w:sz w:val="24"/>
          <w:szCs w:val="24"/>
          <w:lang w:val="en-GB"/>
        </w:rPr>
        <w:t xml:space="preserve">Determinants of Foreign Direct Investment: A </w:t>
      </w:r>
      <w:r w:rsidR="00170A7F">
        <w:rPr>
          <w:rFonts w:ascii="Times New Roman"/>
          <w:sz w:val="24"/>
          <w:szCs w:val="24"/>
          <w:lang w:val="en-GB"/>
        </w:rPr>
        <w:t>S</w:t>
      </w:r>
      <w:r w:rsidRPr="00170A7F">
        <w:rPr>
          <w:rFonts w:ascii="Times New Roman"/>
          <w:sz w:val="24"/>
          <w:szCs w:val="24"/>
          <w:lang w:val="en-GB"/>
        </w:rPr>
        <w:t xml:space="preserve">ectoral and </w:t>
      </w:r>
      <w:proofErr w:type="spellStart"/>
      <w:r w:rsidRPr="00170A7F">
        <w:rPr>
          <w:rFonts w:ascii="Times New Roman"/>
          <w:sz w:val="24"/>
          <w:szCs w:val="24"/>
          <w:lang w:val="en-GB"/>
        </w:rPr>
        <w:t>Institutonal</w:t>
      </w:r>
      <w:proofErr w:type="spellEnd"/>
      <w:r w:rsidRPr="00170A7F">
        <w:rPr>
          <w:rFonts w:ascii="Times New Roman"/>
          <w:sz w:val="24"/>
          <w:szCs w:val="24"/>
          <w:lang w:val="en-GB"/>
        </w:rPr>
        <w:t xml:space="preserve"> approach</w:t>
      </w:r>
      <w:r w:rsidRPr="00170A7F">
        <w:rPr>
          <w:rFonts w:ascii="Times New Roman"/>
          <w:sz w:val="24"/>
          <w:szCs w:val="24"/>
          <w:lang w:val="en-GB"/>
        </w:rPr>
        <w:t>”</w:t>
      </w:r>
      <w:r w:rsidRPr="00170A7F">
        <w:rPr>
          <w:rFonts w:ascii="Times New Roman"/>
          <w:sz w:val="24"/>
          <w:szCs w:val="24"/>
          <w:lang w:val="en-GB"/>
        </w:rPr>
        <w:t xml:space="preserve"> (2010) showed that institutional development and regulatory procedures do not have significant influence on the total FDI flows and inflows</w:t>
      </w:r>
      <w:r w:rsidRPr="00170A7F">
        <w:rPr>
          <w:rFonts w:ascii="Times New Roman" w:hAnsi="Times New Roman"/>
          <w:sz w:val="24"/>
          <w:szCs w:val="24"/>
          <w:vertAlign w:val="superscript"/>
          <w:lang w:val="en-GB"/>
        </w:rPr>
        <w:footnoteReference w:id="3"/>
      </w:r>
      <w:r w:rsidRPr="00170A7F">
        <w:rPr>
          <w:rFonts w:ascii="Times New Roman"/>
          <w:sz w:val="24"/>
          <w:szCs w:val="24"/>
          <w:lang w:val="en-GB"/>
        </w:rPr>
        <w:t xml:space="preserve">.  Moreover, a World Bank study notes that </w:t>
      </w:r>
      <w:r w:rsidRPr="00170A7F">
        <w:rPr>
          <w:rFonts w:ascii="Times New Roman"/>
          <w:sz w:val="24"/>
          <w:szCs w:val="24"/>
          <w:lang w:val="en-GB"/>
        </w:rPr>
        <w:t>“</w:t>
      </w:r>
      <w:r w:rsidRPr="00170A7F">
        <w:rPr>
          <w:rFonts w:ascii="Times New Roman"/>
          <w:sz w:val="24"/>
          <w:szCs w:val="24"/>
          <w:lang w:val="en-GB"/>
        </w:rPr>
        <w:t xml:space="preserve">both a </w:t>
      </w:r>
      <w:r w:rsidRPr="00170A7F">
        <w:rPr>
          <w:rFonts w:ascii="Times New Roman"/>
          <w:sz w:val="24"/>
          <w:szCs w:val="24"/>
          <w:lang w:val="en-GB"/>
        </w:rPr>
        <w:lastRenderedPageBreak/>
        <w:t>review of the empirical literature and analysis using new data sources suggest that business opportunities</w:t>
      </w:r>
      <w:r w:rsidRPr="00170A7F">
        <w:rPr>
          <w:rFonts w:ascii="Times New Roman"/>
          <w:sz w:val="24"/>
          <w:szCs w:val="24"/>
          <w:lang w:val="en-GB"/>
        </w:rPr>
        <w:t>—</w:t>
      </w:r>
      <w:r w:rsidRPr="00170A7F">
        <w:rPr>
          <w:rFonts w:ascii="Times New Roman"/>
          <w:sz w:val="24"/>
          <w:szCs w:val="24"/>
          <w:lang w:val="en-GB"/>
        </w:rPr>
        <w:t>as represented by, for example, the size and growth potential of markets</w:t>
      </w:r>
      <w:r w:rsidRPr="00170A7F">
        <w:rPr>
          <w:rFonts w:ascii="Times New Roman"/>
          <w:sz w:val="24"/>
          <w:szCs w:val="24"/>
          <w:lang w:val="en-GB"/>
        </w:rPr>
        <w:t>—</w:t>
      </w:r>
      <w:r w:rsidRPr="00170A7F">
        <w:rPr>
          <w:rFonts w:ascii="Times New Roman"/>
          <w:sz w:val="24"/>
          <w:szCs w:val="24"/>
          <w:lang w:val="en-GB"/>
        </w:rPr>
        <w:t>are by far the most powerful determinants of FDI</w:t>
      </w:r>
      <w:r w:rsidRPr="00170A7F">
        <w:rPr>
          <w:rFonts w:ascii="Times New Roman"/>
          <w:sz w:val="24"/>
          <w:szCs w:val="24"/>
          <w:lang w:val="en-GB"/>
        </w:rPr>
        <w:t>”</w:t>
      </w:r>
      <w:r w:rsidRPr="00170A7F">
        <w:rPr>
          <w:rFonts w:ascii="Times New Roman" w:hAnsi="Times New Roman"/>
          <w:sz w:val="24"/>
          <w:szCs w:val="24"/>
          <w:vertAlign w:val="superscript"/>
          <w:lang w:val="en-GB"/>
        </w:rPr>
        <w:footnoteReference w:id="4"/>
      </w:r>
      <w:r w:rsidRPr="00170A7F">
        <w:rPr>
          <w:rFonts w:ascii="Times New Roman"/>
          <w:sz w:val="24"/>
          <w:szCs w:val="24"/>
          <w:lang w:val="en-GB"/>
        </w:rPr>
        <w:t>.</w:t>
      </w:r>
    </w:p>
    <w:p w:rsidR="001F792A" w:rsidRDefault="001F792A">
      <w:pPr>
        <w:pStyle w:val="Cuerpo"/>
        <w:tabs>
          <w:tab w:val="left" w:pos="426"/>
        </w:tabs>
        <w:spacing w:after="0" w:line="240" w:lineRule="auto"/>
        <w:jc w:val="both"/>
        <w:rPr>
          <w:sz w:val="20"/>
          <w:szCs w:val="20"/>
          <w:lang w:val="en-US"/>
        </w:rPr>
      </w:pPr>
    </w:p>
    <w:p w:rsidR="001F792A" w:rsidRDefault="00455310">
      <w:pPr>
        <w:pStyle w:val="ListParagraph"/>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 xml:space="preserve">The more than forty years of history of addressing issues of business and human rights under the auspices of the United Nations, dates back to the </w:t>
      </w:r>
      <w:r w:rsidR="00FA01DB">
        <w:rPr>
          <w:rFonts w:ascii="Times New Roman"/>
          <w:sz w:val="24"/>
          <w:szCs w:val="24"/>
          <w:lang w:val="en-GB"/>
        </w:rPr>
        <w:t>nineteen-</w:t>
      </w:r>
      <w:r w:rsidRPr="00474F25">
        <w:rPr>
          <w:rFonts w:ascii="Times New Roman"/>
          <w:sz w:val="24"/>
          <w:szCs w:val="24"/>
          <w:lang w:val="en-GB"/>
        </w:rPr>
        <w:t xml:space="preserve">seventies, and includes experiences like the </w:t>
      </w:r>
      <w:r w:rsidRPr="00474F25">
        <w:rPr>
          <w:rFonts w:hAnsi="Arial Unicode MS"/>
          <w:sz w:val="24"/>
          <w:szCs w:val="24"/>
          <w:lang w:val="en-GB"/>
        </w:rPr>
        <w:t>“</w:t>
      </w:r>
      <w:r w:rsidRPr="00474F25">
        <w:rPr>
          <w:rFonts w:ascii="Times New Roman"/>
          <w:sz w:val="24"/>
          <w:szCs w:val="24"/>
          <w:lang w:val="en-GB"/>
        </w:rPr>
        <w:t>Norms on the Responsibilities of Transnational Corporations and Other Business Enterprises with Regard to Human Rights", which provide important precedent</w:t>
      </w:r>
      <w:r w:rsidR="00FA01DB">
        <w:rPr>
          <w:rFonts w:ascii="Times New Roman"/>
          <w:sz w:val="24"/>
          <w:szCs w:val="24"/>
          <w:lang w:val="en-GB"/>
        </w:rPr>
        <w:t>s</w:t>
      </w:r>
      <w:r w:rsidRPr="00474F25">
        <w:rPr>
          <w:rFonts w:ascii="Times New Roman"/>
          <w:sz w:val="24"/>
          <w:szCs w:val="24"/>
          <w:lang w:val="en-GB"/>
        </w:rPr>
        <w:t xml:space="preserve"> and lessons learned in this area. At the same time, significant steps have been achieved, including the adoption of the UN Guiding Principles (UNGPs) on business and human rights. Some Member States converge over the importance of continuing efforts towards implementing the UNGPs and developing national action plans based on them.</w:t>
      </w:r>
    </w:p>
    <w:p w:rsidR="001F792A" w:rsidRDefault="001F792A">
      <w:pPr>
        <w:pStyle w:val="ListParagraph"/>
        <w:spacing w:after="0" w:line="240" w:lineRule="auto"/>
        <w:ind w:left="0"/>
        <w:jc w:val="both"/>
        <w:rPr>
          <w:rFonts w:ascii="Times New Roman" w:eastAsia="Times New Roman" w:hAnsi="Times New Roman" w:cs="Times New Roman"/>
          <w:sz w:val="24"/>
          <w:szCs w:val="24"/>
          <w:lang w:val="en-US"/>
        </w:rPr>
      </w:pPr>
    </w:p>
    <w:p w:rsidR="001F792A" w:rsidRDefault="00455310">
      <w:pPr>
        <w:pStyle w:val="ListParagraph"/>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 xml:space="preserve">The discussions </w:t>
      </w:r>
      <w:r w:rsidRPr="00455310">
        <w:rPr>
          <w:rFonts w:ascii="Times New Roman"/>
          <w:sz w:val="24"/>
          <w:szCs w:val="24"/>
          <w:lang w:val="en-GB"/>
        </w:rPr>
        <w:t>under the mandate</w:t>
      </w:r>
      <w:r w:rsidRPr="00474F25">
        <w:rPr>
          <w:rFonts w:ascii="Times New Roman"/>
          <w:sz w:val="24"/>
          <w:szCs w:val="24"/>
          <w:lang w:val="en-GB"/>
        </w:rPr>
        <w:t xml:space="preserve"> established by the resolution could draw </w:t>
      </w:r>
      <w:proofErr w:type="gramStart"/>
      <w:r w:rsidRPr="00474F25">
        <w:rPr>
          <w:rFonts w:ascii="Times New Roman"/>
          <w:sz w:val="24"/>
          <w:szCs w:val="24"/>
          <w:lang w:val="en-GB"/>
        </w:rPr>
        <w:t>on  existing</w:t>
      </w:r>
      <w:proofErr w:type="gramEnd"/>
      <w:r w:rsidRPr="00474F25">
        <w:rPr>
          <w:rFonts w:ascii="Times New Roman"/>
          <w:sz w:val="24"/>
          <w:szCs w:val="24"/>
          <w:lang w:val="en-GB"/>
        </w:rPr>
        <w:t xml:space="preserve"> progress in the field as well as innovat</w:t>
      </w:r>
      <w:r w:rsidR="00FA01DB">
        <w:rPr>
          <w:rFonts w:ascii="Times New Roman"/>
          <w:sz w:val="24"/>
          <w:szCs w:val="24"/>
          <w:lang w:val="en-GB"/>
        </w:rPr>
        <w:t>ing</w:t>
      </w:r>
      <w:r w:rsidRPr="00474F25">
        <w:rPr>
          <w:rFonts w:ascii="Times New Roman"/>
          <w:sz w:val="24"/>
          <w:szCs w:val="24"/>
          <w:lang w:val="en-GB"/>
        </w:rPr>
        <w:t xml:space="preserve"> in certain areas. Close coordination with other organizations and United Nations agencies addressing certain issues, as well as coordination with civil society organizations is extremely </w:t>
      </w:r>
      <w:r w:rsidR="00FA01DB">
        <w:rPr>
          <w:rFonts w:ascii="Times New Roman"/>
          <w:sz w:val="24"/>
          <w:szCs w:val="24"/>
          <w:lang w:val="en-GB"/>
        </w:rPr>
        <w:t>important</w:t>
      </w:r>
      <w:r w:rsidRPr="00474F25">
        <w:rPr>
          <w:rFonts w:ascii="Times New Roman"/>
          <w:sz w:val="24"/>
          <w:szCs w:val="24"/>
          <w:lang w:val="en-GB"/>
        </w:rPr>
        <w:t xml:space="preserve">. </w:t>
      </w:r>
    </w:p>
    <w:p w:rsidR="001F792A" w:rsidRDefault="001F792A">
      <w:pPr>
        <w:pStyle w:val="ListParagraph"/>
        <w:spacing w:after="0" w:line="240" w:lineRule="auto"/>
        <w:ind w:left="0"/>
        <w:rPr>
          <w:rFonts w:ascii="Times New Roman" w:eastAsia="Times New Roman" w:hAnsi="Times New Roman" w:cs="Times New Roman"/>
          <w:b/>
          <w:bCs/>
          <w:caps/>
          <w:sz w:val="24"/>
          <w:szCs w:val="24"/>
          <w:lang w:val="en-US"/>
        </w:rPr>
      </w:pPr>
    </w:p>
    <w:p w:rsidR="001F792A" w:rsidRDefault="00455310">
      <w:pPr>
        <w:pStyle w:val="ListParagraph"/>
        <w:spacing w:after="0" w:line="240" w:lineRule="auto"/>
        <w:ind w:left="0"/>
        <w:rPr>
          <w:rFonts w:ascii="Times New Roman" w:eastAsia="Times New Roman" w:hAnsi="Times New Roman" w:cs="Times New Roman"/>
          <w:b/>
          <w:bCs/>
          <w:caps/>
          <w:sz w:val="24"/>
          <w:szCs w:val="24"/>
          <w:lang w:val="en-US"/>
        </w:rPr>
      </w:pPr>
      <w:r>
        <w:rPr>
          <w:rFonts w:ascii="Times New Roman"/>
          <w:b/>
          <w:bCs/>
          <w:caps/>
          <w:sz w:val="24"/>
          <w:szCs w:val="24"/>
          <w:lang w:val="en-US"/>
        </w:rPr>
        <w:t>objective for the first SESSION OF THE oeiwg</w:t>
      </w:r>
    </w:p>
    <w:p w:rsidR="001F792A" w:rsidRDefault="001F792A">
      <w:pPr>
        <w:pStyle w:val="Cuerpo"/>
        <w:spacing w:after="0" w:line="240" w:lineRule="auto"/>
        <w:rPr>
          <w:rFonts w:ascii="Times New Roman" w:eastAsia="Times New Roman" w:hAnsi="Times New Roman" w:cs="Times New Roman"/>
          <w:b/>
          <w:bCs/>
          <w:sz w:val="24"/>
          <w:szCs w:val="24"/>
          <w:lang w:val="en-US"/>
        </w:rPr>
      </w:pPr>
    </w:p>
    <w:p w:rsidR="001F792A" w:rsidRPr="00170A7F" w:rsidRDefault="00455310" w:rsidP="00170A7F">
      <w:pPr>
        <w:pStyle w:val="ListParagraph"/>
        <w:numPr>
          <w:ilvl w:val="0"/>
          <w:numId w:val="9"/>
        </w:numPr>
        <w:tabs>
          <w:tab w:val="num" w:pos="663"/>
          <w:tab w:val="left" w:pos="690"/>
        </w:tabs>
        <w:spacing w:after="0" w:line="240" w:lineRule="auto"/>
        <w:ind w:left="663" w:hanging="303"/>
        <w:jc w:val="both"/>
        <w:rPr>
          <w:rFonts w:ascii="Times New Roman"/>
          <w:sz w:val="24"/>
          <w:szCs w:val="24"/>
          <w:lang w:val="en-GB"/>
        </w:rPr>
      </w:pPr>
      <w:r w:rsidRPr="00170A7F">
        <w:rPr>
          <w:rFonts w:ascii="Times New Roman"/>
          <w:sz w:val="24"/>
          <w:szCs w:val="24"/>
          <w:lang w:val="en-GB"/>
        </w:rPr>
        <w:t xml:space="preserve">The main objective of the session of the OEIWG will be to comply with the mandate contained in resolution 26/9. The actions to be taken in this regard include, among others, to confirm the chair of the intergovernmental working group; to receive inputs from States and relevant stakeholders on </w:t>
      </w:r>
      <w:r w:rsidR="00FA01DB">
        <w:rPr>
          <w:rFonts w:ascii="Times New Roman"/>
          <w:sz w:val="24"/>
          <w:szCs w:val="24"/>
          <w:lang w:val="en-GB"/>
        </w:rPr>
        <w:t xml:space="preserve">possible </w:t>
      </w:r>
      <w:r w:rsidRPr="00170A7F">
        <w:rPr>
          <w:rFonts w:ascii="Times New Roman"/>
          <w:sz w:val="24"/>
          <w:szCs w:val="24"/>
          <w:lang w:val="en-GB"/>
        </w:rPr>
        <w:t>principles, scope and elements of an international legally binding instrument</w:t>
      </w:r>
      <w:r w:rsidR="00FA01DB" w:rsidRPr="007D5301">
        <w:rPr>
          <w:rFonts w:ascii="Times New Roman"/>
          <w:sz w:val="24"/>
          <w:szCs w:val="24"/>
          <w:lang w:val="en-GB"/>
        </w:rPr>
        <w:t xml:space="preserve"> on transnational corporations and other business enterprises with respect to human rights</w:t>
      </w:r>
      <w:r w:rsidRPr="00170A7F">
        <w:rPr>
          <w:rFonts w:ascii="Times New Roman"/>
          <w:sz w:val="24"/>
          <w:szCs w:val="24"/>
          <w:lang w:val="en-GB"/>
        </w:rPr>
        <w:t xml:space="preserve">, and to discuss issues </w:t>
      </w:r>
      <w:r w:rsidR="00FA01DB">
        <w:rPr>
          <w:rFonts w:ascii="Times New Roman"/>
          <w:sz w:val="24"/>
          <w:szCs w:val="24"/>
          <w:lang w:val="en-GB"/>
        </w:rPr>
        <w:t>relating to the</w:t>
      </w:r>
      <w:r w:rsidRPr="00170A7F">
        <w:rPr>
          <w:rFonts w:ascii="Times New Roman"/>
          <w:sz w:val="24"/>
          <w:szCs w:val="24"/>
          <w:lang w:val="en-GB"/>
        </w:rPr>
        <w:t xml:space="preserve"> content (including possible principles and elements), nature and form of </w:t>
      </w:r>
      <w:r w:rsidR="00FA01DB">
        <w:rPr>
          <w:rFonts w:ascii="Times New Roman"/>
          <w:sz w:val="24"/>
          <w:szCs w:val="24"/>
          <w:lang w:val="en-GB"/>
        </w:rPr>
        <w:t>such an instrument</w:t>
      </w:r>
      <w:r w:rsidRPr="00170A7F">
        <w:rPr>
          <w:rFonts w:ascii="Times New Roman"/>
          <w:sz w:val="24"/>
          <w:szCs w:val="24"/>
          <w:lang w:val="en-GB"/>
        </w:rPr>
        <w:t xml:space="preserve">, as provided </w:t>
      </w:r>
      <w:r w:rsidR="00FA01DB">
        <w:rPr>
          <w:rFonts w:ascii="Times New Roman"/>
          <w:sz w:val="24"/>
          <w:szCs w:val="24"/>
          <w:lang w:val="en-GB"/>
        </w:rPr>
        <w:t xml:space="preserve">for </w:t>
      </w:r>
      <w:r w:rsidRPr="00170A7F">
        <w:rPr>
          <w:rFonts w:ascii="Times New Roman"/>
          <w:sz w:val="24"/>
          <w:szCs w:val="24"/>
          <w:lang w:val="en-GB"/>
        </w:rPr>
        <w:t>in paragraphs 2 and 5 of resolution 26/9.</w:t>
      </w:r>
    </w:p>
    <w:p w:rsidR="00FA01DB" w:rsidRDefault="00FA01DB">
      <w:pPr>
        <w:pStyle w:val="ListParagraph"/>
        <w:spacing w:after="0" w:line="240" w:lineRule="auto"/>
        <w:ind w:left="0"/>
        <w:jc w:val="both"/>
        <w:rPr>
          <w:rFonts w:ascii="Times New Roman"/>
          <w:b/>
          <w:bCs/>
          <w:caps/>
          <w:sz w:val="24"/>
          <w:szCs w:val="24"/>
          <w:lang w:val="en-US"/>
        </w:rPr>
      </w:pPr>
    </w:p>
    <w:p w:rsidR="00FA01DB" w:rsidRDefault="00FA01DB">
      <w:pPr>
        <w:pStyle w:val="ListParagraph"/>
        <w:spacing w:after="0" w:line="240" w:lineRule="auto"/>
        <w:ind w:left="0"/>
        <w:jc w:val="both"/>
        <w:rPr>
          <w:rFonts w:ascii="Times New Roman"/>
          <w:b/>
          <w:bCs/>
          <w:caps/>
          <w:sz w:val="24"/>
          <w:szCs w:val="24"/>
          <w:lang w:val="en-US"/>
        </w:rPr>
      </w:pPr>
    </w:p>
    <w:p w:rsidR="001F792A" w:rsidRDefault="00455310">
      <w:pPr>
        <w:pStyle w:val="ListParagraph"/>
        <w:spacing w:after="0" w:line="240" w:lineRule="auto"/>
        <w:ind w:left="0"/>
        <w:jc w:val="both"/>
        <w:rPr>
          <w:rFonts w:ascii="Times New Roman" w:eastAsia="Times New Roman" w:hAnsi="Times New Roman" w:cs="Times New Roman"/>
          <w:b/>
          <w:bCs/>
          <w:caps/>
          <w:sz w:val="24"/>
          <w:szCs w:val="24"/>
          <w:lang w:val="en-US"/>
        </w:rPr>
      </w:pPr>
      <w:r>
        <w:rPr>
          <w:rFonts w:ascii="Times New Roman"/>
          <w:b/>
          <w:bCs/>
          <w:caps/>
          <w:sz w:val="24"/>
          <w:szCs w:val="24"/>
          <w:lang w:val="en-US"/>
        </w:rPr>
        <w:t>THE PROGRAMME OF WORK</w:t>
      </w:r>
    </w:p>
    <w:p w:rsidR="001F792A" w:rsidRDefault="001F792A">
      <w:pPr>
        <w:pStyle w:val="Cuerpo"/>
        <w:spacing w:after="0" w:line="240" w:lineRule="auto"/>
        <w:jc w:val="both"/>
        <w:rPr>
          <w:rFonts w:ascii="Times New Roman" w:eastAsia="Times New Roman" w:hAnsi="Times New Roman" w:cs="Times New Roman"/>
          <w:b/>
          <w:bCs/>
          <w:sz w:val="24"/>
          <w:szCs w:val="24"/>
          <w:lang w:val="en-US"/>
        </w:rPr>
      </w:pPr>
    </w:p>
    <w:p w:rsidR="001F792A" w:rsidRDefault="00455310">
      <w:pPr>
        <w:pStyle w:val="Cuerpo"/>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 xml:space="preserve">In order to guide the debates during the first session of the OEIWG, a </w:t>
      </w:r>
      <w:proofErr w:type="spellStart"/>
      <w:r>
        <w:rPr>
          <w:rFonts w:ascii="Times New Roman"/>
          <w:sz w:val="24"/>
          <w:szCs w:val="24"/>
          <w:lang w:val="en-US"/>
        </w:rPr>
        <w:t>programme</w:t>
      </w:r>
      <w:proofErr w:type="spellEnd"/>
      <w:r>
        <w:rPr>
          <w:rFonts w:ascii="Times New Roman"/>
          <w:sz w:val="24"/>
          <w:szCs w:val="24"/>
          <w:lang w:val="en-US"/>
        </w:rPr>
        <w:t xml:space="preserve"> of work (</w:t>
      </w:r>
      <w:proofErr w:type="spellStart"/>
      <w:proofErr w:type="gramStart"/>
      <w:r>
        <w:rPr>
          <w:rFonts w:ascii="Times New Roman"/>
          <w:sz w:val="24"/>
          <w:szCs w:val="24"/>
          <w:lang w:val="en-US"/>
        </w:rPr>
        <w:t>PoW</w:t>
      </w:r>
      <w:proofErr w:type="spellEnd"/>
      <w:proofErr w:type="gramEnd"/>
      <w:r>
        <w:rPr>
          <w:rFonts w:ascii="Times New Roman"/>
          <w:sz w:val="24"/>
          <w:szCs w:val="24"/>
          <w:lang w:val="en-US"/>
        </w:rPr>
        <w:t xml:space="preserve">) was proposed to Member States almost three weeks in advance </w:t>
      </w:r>
      <w:r w:rsidR="00151958">
        <w:rPr>
          <w:rFonts w:ascii="Times New Roman"/>
          <w:sz w:val="24"/>
          <w:szCs w:val="24"/>
          <w:lang w:val="en-US"/>
        </w:rPr>
        <w:t>of</w:t>
      </w:r>
      <w:r>
        <w:rPr>
          <w:rFonts w:ascii="Times New Roman"/>
          <w:sz w:val="24"/>
          <w:szCs w:val="24"/>
          <w:lang w:val="en-US"/>
        </w:rPr>
        <w:t xml:space="preserve"> the beginning of the session. The </w:t>
      </w:r>
      <w:proofErr w:type="spellStart"/>
      <w:proofErr w:type="gramStart"/>
      <w:r>
        <w:rPr>
          <w:rFonts w:ascii="Times New Roman"/>
          <w:sz w:val="24"/>
          <w:szCs w:val="24"/>
          <w:lang w:val="en-US"/>
        </w:rPr>
        <w:t>PoW</w:t>
      </w:r>
      <w:proofErr w:type="spellEnd"/>
      <w:proofErr w:type="gramEnd"/>
      <w:r>
        <w:rPr>
          <w:rFonts w:ascii="Times New Roman"/>
          <w:sz w:val="24"/>
          <w:szCs w:val="24"/>
          <w:lang w:val="en-US"/>
        </w:rPr>
        <w:t xml:space="preserve"> has been enriched by the comments and suggestions provided by some interested Parties, whose concerns were addressed to the extent </w:t>
      </w:r>
      <w:r w:rsidR="00151958">
        <w:rPr>
          <w:rFonts w:ascii="Times New Roman"/>
          <w:sz w:val="24"/>
          <w:szCs w:val="24"/>
          <w:lang w:val="en-US"/>
        </w:rPr>
        <w:t xml:space="preserve">that </w:t>
      </w:r>
      <w:r>
        <w:rPr>
          <w:rFonts w:ascii="Times New Roman"/>
          <w:sz w:val="24"/>
          <w:szCs w:val="24"/>
          <w:lang w:val="en-US"/>
        </w:rPr>
        <w:t xml:space="preserve">they were neither conflicting nor contradictory to the mandate contained in resolution 26/9.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 xml:space="preserve">The proposed </w:t>
      </w:r>
      <w:proofErr w:type="spellStart"/>
      <w:proofErr w:type="gramStart"/>
      <w:r>
        <w:rPr>
          <w:rFonts w:ascii="Times New Roman"/>
          <w:sz w:val="24"/>
          <w:szCs w:val="24"/>
          <w:lang w:val="en-US"/>
        </w:rPr>
        <w:t>PoW</w:t>
      </w:r>
      <w:proofErr w:type="spellEnd"/>
      <w:proofErr w:type="gramEnd"/>
      <w:r>
        <w:rPr>
          <w:rFonts w:ascii="Times New Roman"/>
          <w:sz w:val="24"/>
          <w:szCs w:val="24"/>
          <w:lang w:val="en-US"/>
        </w:rPr>
        <w:t xml:space="preserve"> has been divided into five items to be discussed during nine public meetings and one private meeting, all of them to be held </w:t>
      </w:r>
      <w:r w:rsidR="00151958">
        <w:rPr>
          <w:rFonts w:ascii="Times New Roman"/>
          <w:sz w:val="24"/>
          <w:szCs w:val="24"/>
          <w:lang w:val="en-US"/>
        </w:rPr>
        <w:t xml:space="preserve">during the period </w:t>
      </w:r>
      <w:r>
        <w:rPr>
          <w:rFonts w:ascii="Times New Roman"/>
          <w:sz w:val="24"/>
          <w:szCs w:val="24"/>
          <w:lang w:val="en-US"/>
        </w:rPr>
        <w:t>from Monday 6</w:t>
      </w:r>
      <w:r>
        <w:rPr>
          <w:rFonts w:ascii="Times New Roman"/>
          <w:sz w:val="24"/>
          <w:szCs w:val="24"/>
          <w:vertAlign w:val="superscript"/>
          <w:lang w:val="en-US"/>
        </w:rPr>
        <w:t>th</w:t>
      </w:r>
      <w:r>
        <w:rPr>
          <w:rFonts w:ascii="Times New Roman"/>
          <w:sz w:val="24"/>
          <w:szCs w:val="24"/>
          <w:lang w:val="en-US"/>
        </w:rPr>
        <w:t xml:space="preserve"> till Friday 10</w:t>
      </w:r>
      <w:r>
        <w:rPr>
          <w:rFonts w:ascii="Times New Roman"/>
          <w:sz w:val="24"/>
          <w:szCs w:val="24"/>
          <w:vertAlign w:val="superscript"/>
          <w:lang w:val="en-US"/>
        </w:rPr>
        <w:t>th</w:t>
      </w:r>
      <w:r w:rsidR="00151958">
        <w:rPr>
          <w:rFonts w:ascii="Times New Roman"/>
          <w:sz w:val="24"/>
          <w:szCs w:val="24"/>
          <w:vertAlign w:val="superscript"/>
          <w:lang w:val="en-US"/>
        </w:rPr>
        <w:t xml:space="preserve"> </w:t>
      </w:r>
      <w:r w:rsidR="00151958" w:rsidRPr="00170A7F">
        <w:rPr>
          <w:rFonts w:ascii="Times New Roman" w:hAnsi="Times New Roman"/>
          <w:sz w:val="24"/>
          <w:szCs w:val="24"/>
          <w:lang w:val="en-US"/>
        </w:rPr>
        <w:t>July 2015</w:t>
      </w:r>
      <w:r>
        <w:rPr>
          <w:rFonts w:ascii="Times New Roman"/>
          <w:sz w:val="24"/>
          <w:szCs w:val="24"/>
          <w:lang w:val="en-US"/>
        </w:rPr>
        <w:t xml:space="preserve">, from 10h00 to 13h00, and from 15h00 to 18h00.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The plenary discussions on the substantive issues are planned to take place under item 4</w:t>
      </w:r>
      <w:r w:rsidR="00170A7F">
        <w:rPr>
          <w:rFonts w:ascii="Times New Roman"/>
          <w:sz w:val="24"/>
          <w:szCs w:val="24"/>
          <w:lang w:val="en-US"/>
        </w:rPr>
        <w:t xml:space="preserve"> of the P</w:t>
      </w:r>
      <w:r w:rsidR="00151958">
        <w:rPr>
          <w:rFonts w:ascii="Times New Roman"/>
          <w:sz w:val="24"/>
          <w:szCs w:val="24"/>
          <w:lang w:val="en-US"/>
        </w:rPr>
        <w:t xml:space="preserve">rovisional </w:t>
      </w:r>
      <w:r w:rsidR="00AA176B">
        <w:rPr>
          <w:rFonts w:ascii="Times New Roman"/>
          <w:sz w:val="24"/>
          <w:szCs w:val="24"/>
          <w:lang w:val="en-US"/>
        </w:rPr>
        <w:t>a</w:t>
      </w:r>
      <w:r w:rsidR="00151958">
        <w:rPr>
          <w:rFonts w:ascii="Times New Roman"/>
          <w:sz w:val="24"/>
          <w:szCs w:val="24"/>
          <w:lang w:val="en-US"/>
        </w:rPr>
        <w:t>genda</w:t>
      </w:r>
      <w:r>
        <w:rPr>
          <w:rFonts w:ascii="Times New Roman"/>
          <w:sz w:val="24"/>
          <w:szCs w:val="24"/>
          <w:lang w:val="en-US"/>
        </w:rPr>
        <w:t>, and in order to trigger the debate, seven panels have been proposed, where experts coming from different backgrounds, professional experiences and geographic regions, have been invited. The selection of experts took into account recommendations provided by States and relevant stakeholders.</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 xml:space="preserve">As for the specific topics to be discussed, the intention of the </w:t>
      </w:r>
      <w:proofErr w:type="spellStart"/>
      <w:proofErr w:type="gramStart"/>
      <w:r>
        <w:rPr>
          <w:rFonts w:ascii="Times New Roman"/>
          <w:sz w:val="24"/>
          <w:szCs w:val="24"/>
          <w:lang w:val="en-US"/>
        </w:rPr>
        <w:t>PoW</w:t>
      </w:r>
      <w:proofErr w:type="spellEnd"/>
      <w:proofErr w:type="gramEnd"/>
      <w:r>
        <w:rPr>
          <w:rFonts w:ascii="Times New Roman"/>
          <w:sz w:val="24"/>
          <w:szCs w:val="24"/>
          <w:lang w:val="en-US"/>
        </w:rPr>
        <w:t xml:space="preserve"> is to present indicative headings for the debates, neither prejudging positions, nor assuming consensus on any issue, as it is clear that the views and opinions are diverse and sometimes contradictory or controversial, as it has been expressed by many stakeholders during the preparatory stages.</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11"/>
        </w:numPr>
        <w:tabs>
          <w:tab w:val="num" w:pos="690"/>
          <w:tab w:val="left" w:pos="720"/>
        </w:tabs>
        <w:spacing w:after="0" w:line="240" w:lineRule="auto"/>
        <w:ind w:left="690" w:hanging="330"/>
        <w:jc w:val="both"/>
        <w:rPr>
          <w:rFonts w:ascii="Times New Roman" w:eastAsia="Times New Roman" w:hAnsi="Times New Roman" w:cs="Times New Roman"/>
          <w:sz w:val="24"/>
          <w:szCs w:val="24"/>
          <w:lang w:val="en-US"/>
        </w:rPr>
      </w:pPr>
      <w:r>
        <w:rPr>
          <w:rFonts w:ascii="Times New Roman"/>
          <w:sz w:val="24"/>
          <w:szCs w:val="24"/>
          <w:lang w:val="en-US"/>
        </w:rPr>
        <w:t xml:space="preserve">The first substantive discussion will be on the </w:t>
      </w:r>
      <w:r w:rsidRPr="00170A7F">
        <w:rPr>
          <w:rFonts w:ascii="Times New Roman"/>
          <w:b/>
          <w:sz w:val="24"/>
          <w:szCs w:val="24"/>
          <w:lang w:val="en-US"/>
        </w:rPr>
        <w:t>Principles for an International Legally Binding Instrument on Transnational Corporations (TNCs) and other Business Enterprises with respect to human rights</w:t>
      </w:r>
      <w:r>
        <w:rPr>
          <w:rFonts w:ascii="Times New Roman"/>
          <w:sz w:val="24"/>
          <w:szCs w:val="24"/>
          <w:lang w:val="en-US"/>
        </w:rPr>
        <w:t xml:space="preserve">. Participants may be interested in sharing their views on how to address the key principles that will guide the elaboration of the legally binding instrument.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12"/>
        </w:numPr>
        <w:tabs>
          <w:tab w:val="clear" w:pos="690"/>
          <w:tab w:val="num" w:pos="663"/>
          <w:tab w:val="left" w:pos="72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 xml:space="preserve">The second topic refers to the scope of the Instrument: </w:t>
      </w:r>
      <w:r w:rsidRPr="00170A7F">
        <w:rPr>
          <w:rFonts w:ascii="Times New Roman"/>
          <w:b/>
          <w:sz w:val="24"/>
          <w:szCs w:val="24"/>
          <w:lang w:val="en-US"/>
        </w:rPr>
        <w:t>TNCs and other Business Enterprises: concepts and legal nature in International Law</w:t>
      </w:r>
      <w:r>
        <w:rPr>
          <w:rFonts w:ascii="Times New Roman"/>
          <w:sz w:val="24"/>
          <w:szCs w:val="24"/>
          <w:lang w:val="en-US"/>
        </w:rPr>
        <w:t>. Among the issues that have drawn attention fr</w:t>
      </w:r>
      <w:r w:rsidR="00170A7F">
        <w:rPr>
          <w:rFonts w:ascii="Times New Roman"/>
          <w:sz w:val="24"/>
          <w:szCs w:val="24"/>
          <w:lang w:val="en-US"/>
        </w:rPr>
        <w:t>o</w:t>
      </w:r>
      <w:r>
        <w:rPr>
          <w:rFonts w:ascii="Times New Roman"/>
          <w:sz w:val="24"/>
          <w:szCs w:val="24"/>
          <w:lang w:val="en-US"/>
        </w:rPr>
        <w:t xml:space="preserve">m different actors before the first session of the OEIWG is the footnote of resolution 26/9, which provides an interpretation on how to understand the expression </w:t>
      </w:r>
      <w:r>
        <w:rPr>
          <w:rFonts w:hAnsi="Arial Unicode MS"/>
          <w:sz w:val="24"/>
          <w:szCs w:val="24"/>
          <w:lang w:val="en-US"/>
        </w:rPr>
        <w:t>“</w:t>
      </w:r>
      <w:r>
        <w:rPr>
          <w:rFonts w:ascii="Times New Roman"/>
          <w:sz w:val="24"/>
          <w:szCs w:val="24"/>
          <w:lang w:val="en-US"/>
        </w:rPr>
        <w:t>other business enterprises</w:t>
      </w:r>
      <w:r>
        <w:rPr>
          <w:rFonts w:hAnsi="Arial Unicode MS"/>
          <w:sz w:val="24"/>
          <w:szCs w:val="24"/>
          <w:lang w:val="en-US"/>
        </w:rPr>
        <w:t>”</w:t>
      </w:r>
      <w:r>
        <w:rPr>
          <w:rFonts w:ascii="ArialUnicodeMS"/>
          <w:sz w:val="24"/>
          <w:szCs w:val="24"/>
          <w:lang w:val="en-US"/>
        </w:rPr>
        <w:t xml:space="preserve">. This issue </w:t>
      </w:r>
      <w:r>
        <w:rPr>
          <w:rFonts w:ascii="Times New Roman"/>
          <w:sz w:val="24"/>
          <w:szCs w:val="24"/>
          <w:lang w:val="en-US"/>
        </w:rPr>
        <w:t xml:space="preserve">has already triggered a lively debate. Some States and other stakeholders have requested a broad interpretation of the footnote, not limited only to businesses with a transnational character, but applied to all business enterprises. In order to address this concern, and without prejudging any position or opinion, it is important to underline that the footnote is part of resolution 26/9, which was adopted by the Human Rights Council following a multilateral negotiation and respecting the rules and procedures of the Council. Taking this into account, States and relevant stakeholders are invited to engage in a substantive and constructive discussion in order to address this concern. Therefore Member States and other stakeholders are invited to provide their views and positions </w:t>
      </w:r>
      <w:r w:rsidR="00151958">
        <w:rPr>
          <w:rFonts w:ascii="Times New Roman"/>
          <w:sz w:val="24"/>
          <w:szCs w:val="24"/>
          <w:lang w:val="en-US"/>
        </w:rPr>
        <w:t xml:space="preserve">on this matter </w:t>
      </w:r>
      <w:r>
        <w:rPr>
          <w:rFonts w:ascii="Times New Roman"/>
          <w:sz w:val="24"/>
          <w:szCs w:val="24"/>
          <w:lang w:val="en-US"/>
        </w:rPr>
        <w:t xml:space="preserve">during the first session of the OEIWG.  </w:t>
      </w:r>
    </w:p>
    <w:p w:rsidR="001F792A" w:rsidRDefault="001F792A">
      <w:pPr>
        <w:pStyle w:val="Cuerpo"/>
        <w:spacing w:after="0" w:line="240" w:lineRule="auto"/>
        <w:ind w:left="690"/>
        <w:jc w:val="both"/>
        <w:rPr>
          <w:rFonts w:ascii="Times New Roman" w:eastAsia="Times New Roman" w:hAnsi="Times New Roman" w:cs="Times New Roman"/>
          <w:sz w:val="24"/>
          <w:szCs w:val="24"/>
          <w:lang w:val="en-US"/>
        </w:rPr>
      </w:pPr>
    </w:p>
    <w:p w:rsidR="001F792A" w:rsidRDefault="00455310">
      <w:pPr>
        <w:pStyle w:val="Cuerpo"/>
        <w:numPr>
          <w:ilvl w:val="0"/>
          <w:numId w:val="12"/>
        </w:numPr>
        <w:tabs>
          <w:tab w:val="clear" w:pos="690"/>
          <w:tab w:val="num" w:pos="663"/>
          <w:tab w:val="left" w:pos="72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The third topic, referr</w:t>
      </w:r>
      <w:r w:rsidR="00151958">
        <w:rPr>
          <w:rFonts w:ascii="Times New Roman"/>
          <w:sz w:val="24"/>
          <w:szCs w:val="24"/>
          <w:lang w:val="en-US"/>
        </w:rPr>
        <w:t>ing</w:t>
      </w:r>
      <w:r>
        <w:rPr>
          <w:rFonts w:ascii="Times New Roman"/>
          <w:sz w:val="24"/>
          <w:szCs w:val="24"/>
          <w:lang w:val="en-US"/>
        </w:rPr>
        <w:t xml:space="preserve"> to the coverage of human rights under the Instrument, has also </w:t>
      </w:r>
      <w:r w:rsidR="00151958">
        <w:rPr>
          <w:rFonts w:ascii="Times New Roman"/>
          <w:sz w:val="24"/>
          <w:szCs w:val="24"/>
          <w:lang w:val="en-US"/>
        </w:rPr>
        <w:t>generated</w:t>
      </w:r>
      <w:r>
        <w:rPr>
          <w:rFonts w:ascii="Times New Roman"/>
          <w:sz w:val="24"/>
          <w:szCs w:val="24"/>
          <w:lang w:val="en-US"/>
        </w:rPr>
        <w:t xml:space="preserve"> interest. Some views refer to the need to ensure a wide and broad coverage </w:t>
      </w:r>
      <w:r w:rsidR="00151958">
        <w:rPr>
          <w:rFonts w:ascii="Times New Roman"/>
          <w:sz w:val="24"/>
          <w:szCs w:val="24"/>
          <w:lang w:val="en-US"/>
        </w:rPr>
        <w:t>of</w:t>
      </w:r>
      <w:r>
        <w:rPr>
          <w:rFonts w:ascii="Times New Roman"/>
          <w:sz w:val="24"/>
          <w:szCs w:val="24"/>
          <w:lang w:val="en-US"/>
        </w:rPr>
        <w:t xml:space="preserve"> all human rights, while other voices have mentioned that only gross human rights </w:t>
      </w:r>
      <w:r w:rsidR="00151958">
        <w:rPr>
          <w:rFonts w:ascii="Times New Roman"/>
          <w:sz w:val="24"/>
          <w:szCs w:val="24"/>
          <w:lang w:val="en-US"/>
        </w:rPr>
        <w:t xml:space="preserve">violations </w:t>
      </w:r>
      <w:r>
        <w:rPr>
          <w:rFonts w:ascii="Times New Roman"/>
          <w:sz w:val="24"/>
          <w:szCs w:val="24"/>
          <w:lang w:val="en-US"/>
        </w:rPr>
        <w:t>should be addressed. Participants will be invited to share their views on this issue.</w:t>
      </w:r>
    </w:p>
    <w:p w:rsidR="001F792A" w:rsidRDefault="001F792A">
      <w:pPr>
        <w:pStyle w:val="ListParagraph"/>
        <w:rPr>
          <w:rFonts w:ascii="Times New Roman" w:eastAsia="Times New Roman" w:hAnsi="Times New Roman" w:cs="Times New Roman"/>
          <w:sz w:val="24"/>
          <w:szCs w:val="24"/>
          <w:lang w:val="en-US"/>
        </w:rPr>
      </w:pPr>
    </w:p>
    <w:p w:rsidR="001F792A" w:rsidRDefault="00455310">
      <w:pPr>
        <w:pStyle w:val="Cuerpo"/>
        <w:numPr>
          <w:ilvl w:val="0"/>
          <w:numId w:val="12"/>
        </w:numPr>
        <w:tabs>
          <w:tab w:val="clear" w:pos="690"/>
          <w:tab w:val="num" w:pos="663"/>
          <w:tab w:val="left" w:pos="72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lastRenderedPageBreak/>
        <w:t xml:space="preserve">The fourth discussion will be on the </w:t>
      </w:r>
      <w:r w:rsidRPr="00170A7F">
        <w:rPr>
          <w:rFonts w:ascii="Times New Roman"/>
          <w:b/>
          <w:sz w:val="24"/>
          <w:szCs w:val="24"/>
          <w:lang w:val="en-US"/>
        </w:rPr>
        <w:t>Obligations of States to guarantee the Respect of Human Rights by TNCs and other business enterprises, including extraterritorial obligations</w:t>
      </w:r>
      <w:r>
        <w:rPr>
          <w:rFonts w:ascii="Times New Roman"/>
          <w:sz w:val="24"/>
          <w:szCs w:val="24"/>
          <w:lang w:val="en-US"/>
        </w:rPr>
        <w:t>.  The issue of extraterritoriality of State's obligations</w:t>
      </w:r>
      <w:r w:rsidR="00151958">
        <w:rPr>
          <w:rFonts w:ascii="Times New Roman"/>
          <w:sz w:val="24"/>
          <w:szCs w:val="24"/>
          <w:lang w:val="en-US"/>
        </w:rPr>
        <w:t xml:space="preserve"> is an important topic for consideration</w:t>
      </w:r>
      <w:r>
        <w:rPr>
          <w:rFonts w:ascii="Times New Roman"/>
          <w:sz w:val="24"/>
          <w:szCs w:val="24"/>
          <w:lang w:val="en-US"/>
        </w:rPr>
        <w:t xml:space="preserve">, since in the production chain, there </w:t>
      </w:r>
      <w:r w:rsidR="00151958">
        <w:rPr>
          <w:rFonts w:ascii="Times New Roman"/>
          <w:sz w:val="24"/>
          <w:szCs w:val="24"/>
          <w:lang w:val="en-US"/>
        </w:rPr>
        <w:t xml:space="preserve">may </w:t>
      </w:r>
      <w:proofErr w:type="gramStart"/>
      <w:r w:rsidR="00151958">
        <w:rPr>
          <w:rFonts w:ascii="Times New Roman"/>
          <w:sz w:val="24"/>
          <w:szCs w:val="24"/>
          <w:lang w:val="en-US"/>
        </w:rPr>
        <w:t xml:space="preserve">be </w:t>
      </w:r>
      <w:r>
        <w:rPr>
          <w:rFonts w:ascii="Times New Roman"/>
          <w:sz w:val="24"/>
          <w:szCs w:val="24"/>
          <w:lang w:val="en-US"/>
        </w:rPr>
        <w:t xml:space="preserve"> many</w:t>
      </w:r>
      <w:proofErr w:type="gramEnd"/>
      <w:r>
        <w:rPr>
          <w:rFonts w:ascii="Times New Roman"/>
          <w:sz w:val="24"/>
          <w:szCs w:val="24"/>
          <w:lang w:val="en-US"/>
        </w:rPr>
        <w:t xml:space="preserve"> jurisdictions involved. While recognizing the complexity of this topic, a fulsome discussion is expected.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12"/>
        </w:numPr>
        <w:tabs>
          <w:tab w:val="clear" w:pos="690"/>
          <w:tab w:val="num" w:pos="663"/>
          <w:tab w:val="left" w:pos="720"/>
        </w:tabs>
        <w:spacing w:after="0" w:line="240" w:lineRule="auto"/>
        <w:ind w:left="663" w:hanging="303"/>
        <w:jc w:val="both"/>
        <w:rPr>
          <w:rFonts w:ascii="Times New Roman" w:eastAsia="Times New Roman" w:hAnsi="Times New Roman" w:cs="Times New Roman"/>
          <w:sz w:val="24"/>
          <w:szCs w:val="24"/>
          <w:lang w:val="en-US"/>
        </w:rPr>
      </w:pPr>
      <w:r w:rsidRPr="00170A7F">
        <w:rPr>
          <w:rFonts w:ascii="Times New Roman"/>
          <w:b/>
          <w:sz w:val="24"/>
          <w:szCs w:val="24"/>
          <w:lang w:val="en-US"/>
        </w:rPr>
        <w:t>Enhancing the responsibility of TNCs and other business enterprises to respect human rights, including prevention, mitigation and remediation</w:t>
      </w:r>
      <w:r w:rsidR="00151958">
        <w:rPr>
          <w:rFonts w:ascii="Times New Roman"/>
          <w:sz w:val="24"/>
          <w:szCs w:val="24"/>
          <w:lang w:val="en-US"/>
        </w:rPr>
        <w:t>,</w:t>
      </w:r>
      <w:r>
        <w:rPr>
          <w:rFonts w:ascii="Times New Roman"/>
          <w:sz w:val="24"/>
          <w:szCs w:val="24"/>
          <w:lang w:val="en-US"/>
        </w:rPr>
        <w:t xml:space="preserve"> will be the fifth issue to discuss. As the preparatory debates have showed, it is foreseeable that participants may </w:t>
      </w:r>
      <w:r w:rsidR="00151958">
        <w:rPr>
          <w:rFonts w:ascii="Times New Roman"/>
          <w:sz w:val="24"/>
          <w:szCs w:val="24"/>
          <w:lang w:val="en-US"/>
        </w:rPr>
        <w:t xml:space="preserve">use this opportunity to </w:t>
      </w:r>
      <w:r>
        <w:rPr>
          <w:rFonts w:ascii="Times New Roman"/>
          <w:sz w:val="24"/>
          <w:szCs w:val="24"/>
          <w:lang w:val="en-US"/>
        </w:rPr>
        <w:t xml:space="preserve">share opinions on the legal nature of TNCs, and their rights and responsibilities. There is indeed an unfinished debate about obligations </w:t>
      </w:r>
      <w:r w:rsidRPr="00455310">
        <w:rPr>
          <w:rFonts w:ascii="Times New Roman"/>
          <w:sz w:val="24"/>
          <w:szCs w:val="24"/>
          <w:lang w:val="en-US"/>
        </w:rPr>
        <w:t xml:space="preserve">to be </w:t>
      </w:r>
      <w:r w:rsidRPr="00170A7F">
        <w:rPr>
          <w:rFonts w:ascii="Times New Roman"/>
          <w:sz w:val="24"/>
          <w:szCs w:val="24"/>
          <w:lang w:val="en-US"/>
        </w:rPr>
        <w:t xml:space="preserve">imposed directly upon </w:t>
      </w:r>
      <w:r>
        <w:rPr>
          <w:rFonts w:ascii="Times New Roman"/>
          <w:sz w:val="24"/>
          <w:szCs w:val="24"/>
          <w:lang w:val="en-US"/>
        </w:rPr>
        <w:t xml:space="preserve">TNCs and other business enterprises.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ListParagraph"/>
        <w:numPr>
          <w:ilvl w:val="0"/>
          <w:numId w:val="13"/>
        </w:numPr>
        <w:tabs>
          <w:tab w:val="num" w:pos="690"/>
          <w:tab w:val="left" w:pos="720"/>
        </w:tabs>
        <w:spacing w:after="0" w:line="240" w:lineRule="auto"/>
        <w:ind w:left="690" w:hanging="330"/>
        <w:jc w:val="both"/>
        <w:rPr>
          <w:rFonts w:ascii="Times New Roman" w:eastAsia="Times New Roman" w:hAnsi="Times New Roman" w:cs="Times New Roman"/>
          <w:sz w:val="24"/>
          <w:szCs w:val="24"/>
          <w:lang w:val="en-US"/>
        </w:rPr>
      </w:pPr>
      <w:r w:rsidRPr="00474F25">
        <w:rPr>
          <w:rFonts w:ascii="Times New Roman"/>
          <w:sz w:val="24"/>
          <w:szCs w:val="24"/>
          <w:lang w:val="en-GB"/>
        </w:rPr>
        <w:t xml:space="preserve">The sixth topic refers to the </w:t>
      </w:r>
      <w:r w:rsidRPr="00170A7F">
        <w:rPr>
          <w:rFonts w:ascii="Times New Roman"/>
          <w:b/>
          <w:sz w:val="24"/>
          <w:szCs w:val="24"/>
          <w:lang w:val="en-GB"/>
        </w:rPr>
        <w:t>Legal liability of TNCs and other business enterprises: What are the standards for corporate legal liability and for which conduct?</w:t>
      </w:r>
      <w:r w:rsidRPr="00474F25">
        <w:rPr>
          <w:rFonts w:ascii="Times New Roman"/>
          <w:sz w:val="24"/>
          <w:szCs w:val="24"/>
          <w:lang w:val="en-GB"/>
        </w:rPr>
        <w:t xml:space="preserve"> This issue is closely related to the previous issue </w:t>
      </w:r>
      <w:r w:rsidR="00C66430">
        <w:rPr>
          <w:rFonts w:ascii="Times New Roman"/>
          <w:sz w:val="24"/>
          <w:szCs w:val="24"/>
          <w:lang w:val="en-GB"/>
        </w:rPr>
        <w:t>concerning</w:t>
      </w:r>
      <w:r w:rsidRPr="00474F25">
        <w:rPr>
          <w:rFonts w:ascii="Times New Roman"/>
          <w:sz w:val="24"/>
          <w:szCs w:val="24"/>
          <w:lang w:val="en-GB"/>
        </w:rPr>
        <w:t xml:space="preserve"> the legal nature</w:t>
      </w:r>
      <w:r w:rsidR="00C66430">
        <w:rPr>
          <w:rFonts w:ascii="Times New Roman"/>
          <w:sz w:val="24"/>
          <w:szCs w:val="24"/>
          <w:lang w:val="en-GB"/>
        </w:rPr>
        <w:t xml:space="preserve"> of TNCs</w:t>
      </w:r>
      <w:r w:rsidRPr="00474F25">
        <w:rPr>
          <w:rFonts w:ascii="Times New Roman"/>
          <w:sz w:val="24"/>
          <w:szCs w:val="24"/>
          <w:lang w:val="en-GB"/>
        </w:rPr>
        <w:t xml:space="preserve">. </w:t>
      </w:r>
    </w:p>
    <w:p w:rsidR="001F792A" w:rsidRDefault="001F792A" w:rsidP="00170A7F">
      <w:pPr>
        <w:pStyle w:val="ListParagraph"/>
        <w:spacing w:after="0" w:line="240" w:lineRule="auto"/>
        <w:ind w:left="690"/>
        <w:jc w:val="both"/>
        <w:rPr>
          <w:rFonts w:ascii="Times New Roman" w:eastAsia="Times New Roman" w:hAnsi="Times New Roman" w:cs="Times New Roman"/>
          <w:sz w:val="24"/>
          <w:szCs w:val="24"/>
          <w:lang w:val="en-US"/>
        </w:rPr>
      </w:pPr>
    </w:p>
    <w:p w:rsidR="001F792A" w:rsidRDefault="00455310">
      <w:pPr>
        <w:pStyle w:val="ListParagraph"/>
        <w:numPr>
          <w:ilvl w:val="0"/>
          <w:numId w:val="14"/>
        </w:numPr>
        <w:tabs>
          <w:tab w:val="num" w:pos="690"/>
          <w:tab w:val="left" w:pos="720"/>
        </w:tabs>
        <w:spacing w:after="0" w:line="240" w:lineRule="auto"/>
        <w:ind w:left="690" w:hanging="330"/>
        <w:jc w:val="both"/>
        <w:rPr>
          <w:rFonts w:ascii="Times New Roman" w:eastAsia="Times New Roman" w:hAnsi="Times New Roman" w:cs="Times New Roman"/>
          <w:sz w:val="24"/>
          <w:szCs w:val="24"/>
          <w:lang w:val="en-US"/>
        </w:rPr>
      </w:pPr>
      <w:r w:rsidRPr="00474F25">
        <w:rPr>
          <w:rFonts w:ascii="Times New Roman"/>
          <w:sz w:val="24"/>
          <w:szCs w:val="24"/>
          <w:lang w:val="en-GB"/>
        </w:rPr>
        <w:t>The las</w:t>
      </w:r>
      <w:r w:rsidR="00C66430">
        <w:rPr>
          <w:rFonts w:ascii="Times New Roman"/>
          <w:sz w:val="24"/>
          <w:szCs w:val="24"/>
          <w:lang w:val="en-GB"/>
        </w:rPr>
        <w:t>t</w:t>
      </w:r>
      <w:r w:rsidRPr="00474F25">
        <w:rPr>
          <w:rFonts w:ascii="Times New Roman"/>
          <w:sz w:val="24"/>
          <w:szCs w:val="24"/>
          <w:lang w:val="en-GB"/>
        </w:rPr>
        <w:t xml:space="preserve"> issue addressed </w:t>
      </w:r>
      <w:r w:rsidR="00C66430">
        <w:rPr>
          <w:rFonts w:ascii="Times New Roman"/>
          <w:sz w:val="24"/>
          <w:szCs w:val="24"/>
          <w:lang w:val="en-GB"/>
        </w:rPr>
        <w:t>by</w:t>
      </w:r>
      <w:r w:rsidRPr="00474F25">
        <w:rPr>
          <w:rFonts w:ascii="Times New Roman"/>
          <w:sz w:val="24"/>
          <w:szCs w:val="24"/>
          <w:lang w:val="en-GB"/>
        </w:rPr>
        <w:t xml:space="preserve"> the proposed Programme of Work </w:t>
      </w:r>
      <w:r w:rsidR="00C66430">
        <w:rPr>
          <w:rFonts w:ascii="Times New Roman"/>
          <w:sz w:val="24"/>
          <w:szCs w:val="24"/>
          <w:lang w:val="en-GB"/>
        </w:rPr>
        <w:t>is</w:t>
      </w:r>
      <w:r w:rsidRPr="00474F25">
        <w:rPr>
          <w:rFonts w:ascii="Times New Roman"/>
          <w:sz w:val="24"/>
          <w:szCs w:val="24"/>
          <w:lang w:val="en-GB"/>
        </w:rPr>
        <w:t xml:space="preserve"> the need to  build </w:t>
      </w:r>
      <w:r w:rsidRPr="00170A7F">
        <w:rPr>
          <w:rFonts w:ascii="Times New Roman"/>
          <w:b/>
          <w:sz w:val="24"/>
          <w:szCs w:val="24"/>
          <w:lang w:val="en-GB"/>
        </w:rPr>
        <w:t>National and international mechanisms for access to remedy, including international judicial cooperation, with respect to Human Rights  violations by TNCs and other business enterprises</w:t>
      </w:r>
      <w:r w:rsidRPr="00474F25">
        <w:rPr>
          <w:rFonts w:ascii="Times New Roman"/>
          <w:sz w:val="24"/>
          <w:szCs w:val="24"/>
          <w:lang w:val="en-GB"/>
        </w:rPr>
        <w:t xml:space="preserve"> </w:t>
      </w:r>
      <w:r w:rsidRPr="00170A7F">
        <w:rPr>
          <w:rFonts w:ascii="Times New Roman"/>
          <w:b/>
          <w:sz w:val="24"/>
          <w:szCs w:val="24"/>
          <w:lang w:val="en-GB"/>
        </w:rPr>
        <w:t>- The OHCHR accountability and remedy project</w:t>
      </w:r>
      <w:r w:rsidRPr="00474F25">
        <w:rPr>
          <w:rFonts w:ascii="Times New Roman"/>
          <w:sz w:val="24"/>
          <w:szCs w:val="24"/>
          <w:lang w:val="en-GB"/>
        </w:rPr>
        <w:t xml:space="preserve">. Under this Programme item, participants may engage in </w:t>
      </w:r>
      <w:r w:rsidR="00415564">
        <w:rPr>
          <w:rFonts w:ascii="Times New Roman"/>
          <w:sz w:val="24"/>
          <w:szCs w:val="24"/>
          <w:lang w:val="en-GB"/>
        </w:rPr>
        <w:t>a</w:t>
      </w:r>
      <w:r w:rsidRPr="00474F25">
        <w:rPr>
          <w:rFonts w:ascii="Times New Roman"/>
          <w:sz w:val="24"/>
          <w:szCs w:val="24"/>
          <w:lang w:val="en-GB"/>
        </w:rPr>
        <w:t xml:space="preserve"> discussion on the best way to address remedy, assessing the existing instruments</w:t>
      </w:r>
      <w:proofErr w:type="gramStart"/>
      <w:r w:rsidRPr="00474F25">
        <w:rPr>
          <w:rFonts w:ascii="Times New Roman"/>
          <w:sz w:val="24"/>
          <w:szCs w:val="24"/>
          <w:lang w:val="en-GB"/>
        </w:rPr>
        <w:t xml:space="preserve">,  </w:t>
      </w:r>
      <w:r w:rsidR="00415564">
        <w:rPr>
          <w:rFonts w:ascii="Times New Roman"/>
          <w:sz w:val="24"/>
          <w:szCs w:val="24"/>
          <w:lang w:val="en-GB"/>
        </w:rPr>
        <w:t>identifying</w:t>
      </w:r>
      <w:proofErr w:type="gramEnd"/>
      <w:r w:rsidRPr="00474F25">
        <w:rPr>
          <w:rFonts w:ascii="Times New Roman"/>
          <w:sz w:val="24"/>
          <w:szCs w:val="24"/>
          <w:lang w:val="en-GB"/>
        </w:rPr>
        <w:t xml:space="preserve"> potential gaps, and providing other alternatives.</w:t>
      </w:r>
    </w:p>
    <w:p w:rsidR="001F792A" w:rsidRDefault="001F792A">
      <w:pPr>
        <w:pStyle w:val="Cuerpo"/>
        <w:spacing w:after="0" w:line="240" w:lineRule="auto"/>
        <w:jc w:val="both"/>
        <w:rPr>
          <w:rFonts w:ascii="Times New Roman" w:eastAsia="Times New Roman" w:hAnsi="Times New Roman" w:cs="Times New Roman"/>
          <w:b/>
          <w:bCs/>
          <w:sz w:val="24"/>
          <w:szCs w:val="24"/>
          <w:lang w:val="en-US"/>
        </w:rPr>
      </w:pPr>
    </w:p>
    <w:p w:rsidR="001F792A" w:rsidRDefault="00455310">
      <w:pPr>
        <w:pStyle w:val="ListParagraph"/>
        <w:spacing w:after="0" w:line="240" w:lineRule="auto"/>
        <w:ind w:left="0"/>
        <w:jc w:val="both"/>
        <w:rPr>
          <w:rFonts w:ascii="Times New Roman" w:eastAsia="Times New Roman" w:hAnsi="Times New Roman" w:cs="Times New Roman"/>
          <w:caps/>
          <w:sz w:val="24"/>
          <w:szCs w:val="24"/>
          <w:lang w:val="en-US"/>
        </w:rPr>
      </w:pPr>
      <w:r>
        <w:rPr>
          <w:rFonts w:ascii="Times New Roman"/>
          <w:b/>
          <w:bCs/>
          <w:caps/>
          <w:sz w:val="24"/>
          <w:szCs w:val="24"/>
          <w:lang w:val="en-US"/>
        </w:rPr>
        <w:t>Participation</w:t>
      </w:r>
    </w:p>
    <w:p w:rsidR="001F792A" w:rsidRPr="00474F25" w:rsidRDefault="00455310">
      <w:pPr>
        <w:pStyle w:val="NormalWeb"/>
        <w:numPr>
          <w:ilvl w:val="0"/>
          <w:numId w:val="14"/>
        </w:numPr>
        <w:shd w:val="clear" w:color="auto" w:fill="FFFFFF"/>
        <w:tabs>
          <w:tab w:val="clear" w:pos="720"/>
          <w:tab w:val="num" w:pos="690"/>
        </w:tabs>
        <w:spacing w:before="100" w:after="240" w:line="240" w:lineRule="auto"/>
        <w:ind w:left="690" w:hanging="330"/>
        <w:jc w:val="both"/>
        <w:rPr>
          <w:rFonts w:ascii="Times New Roman" w:eastAsia="Times New Roman" w:hAnsi="Times New Roman" w:cs="Times New Roman"/>
          <w:lang w:val="en-GB"/>
        </w:rPr>
      </w:pPr>
      <w:r w:rsidRPr="00474F25">
        <w:rPr>
          <w:rFonts w:ascii="Times New Roman"/>
          <w:sz w:val="24"/>
          <w:szCs w:val="24"/>
          <w:lang w:val="en-GB"/>
        </w:rPr>
        <w:t xml:space="preserve">Information on the session may be found </w:t>
      </w:r>
      <w:r w:rsidR="00415564">
        <w:rPr>
          <w:rFonts w:ascii="Times New Roman"/>
          <w:sz w:val="24"/>
          <w:szCs w:val="24"/>
          <w:lang w:val="en-GB"/>
        </w:rPr>
        <w:t>at</w:t>
      </w:r>
      <w:r w:rsidRPr="00474F25">
        <w:rPr>
          <w:rFonts w:ascii="Times New Roman"/>
          <w:sz w:val="24"/>
          <w:szCs w:val="24"/>
          <w:lang w:val="en-GB"/>
        </w:rPr>
        <w:t xml:space="preserve"> the link </w:t>
      </w:r>
      <w:bookmarkStart w:id="0" w:name="_GoBack"/>
      <w:r w:rsidR="00CB5053">
        <w:fldChar w:fldCharType="begin"/>
      </w:r>
      <w:r w:rsidR="00CB5053" w:rsidRPr="00D14CD4">
        <w:rPr>
          <w:lang w:val="en-GB"/>
        </w:rPr>
        <w:instrText xml:space="preserve"> HYPERLINK "http://www.ohchr.org/en/hrbodies/hrc/wgtranscorp/pages/igwgontnc.aspx" </w:instrText>
      </w:r>
      <w:r w:rsidR="00CB5053">
        <w:fldChar w:fldCharType="separate"/>
      </w:r>
      <w:r w:rsidRPr="00474F25">
        <w:rPr>
          <w:rStyle w:val="Hyperlink1"/>
          <w:rFonts w:ascii="Times New Roman"/>
          <w:lang w:val="en-GB"/>
        </w:rPr>
        <w:t>http://www.ohchr.org/EN/HRBodies/HRC/WGTransCorp/Pages/IGWGOnTNC.aspx</w:t>
      </w:r>
      <w:r w:rsidR="00CB5053">
        <w:rPr>
          <w:rStyle w:val="Hyperlink1"/>
          <w:rFonts w:ascii="Times New Roman"/>
          <w:lang w:val="en-GB"/>
        </w:rPr>
        <w:fldChar w:fldCharType="end"/>
      </w:r>
      <w:bookmarkEnd w:id="0"/>
      <w:r w:rsidRPr="00474F25">
        <w:rPr>
          <w:rFonts w:ascii="Times New Roman"/>
          <w:sz w:val="24"/>
          <w:szCs w:val="24"/>
          <w:lang w:val="en-GB"/>
        </w:rPr>
        <w:t xml:space="preserve"> States and relevant stakeholders are invited to participate in a constructive way in this process, and to contribute to the debate </w:t>
      </w:r>
      <w:r w:rsidR="00415564">
        <w:rPr>
          <w:rFonts w:ascii="Times New Roman"/>
          <w:sz w:val="24"/>
          <w:szCs w:val="24"/>
          <w:lang w:val="en-GB"/>
        </w:rPr>
        <w:t xml:space="preserve">by </w:t>
      </w:r>
      <w:r w:rsidRPr="00474F25">
        <w:rPr>
          <w:rFonts w:ascii="Times New Roman"/>
          <w:sz w:val="24"/>
          <w:szCs w:val="24"/>
          <w:lang w:val="en-GB"/>
        </w:rPr>
        <w:t>sharing their opinions, views, perspectives and expectations in the most democratic, transparent and inclusive manner, with the assurances of an objective and impartial chairmanship committed to respect</w:t>
      </w:r>
      <w:r w:rsidR="00415564">
        <w:rPr>
          <w:rFonts w:ascii="Times New Roman"/>
          <w:sz w:val="24"/>
          <w:szCs w:val="24"/>
          <w:lang w:val="en-GB"/>
        </w:rPr>
        <w:t>ing</w:t>
      </w:r>
      <w:r w:rsidRPr="00474F25">
        <w:rPr>
          <w:rFonts w:ascii="Times New Roman"/>
          <w:sz w:val="24"/>
          <w:szCs w:val="24"/>
          <w:lang w:val="en-GB"/>
        </w:rPr>
        <w:t xml:space="preserve"> the rules and procedures of the Council.</w:t>
      </w:r>
    </w:p>
    <w:sectPr w:rsidR="001F792A" w:rsidRPr="00474F25">
      <w:headerReference w:type="default" r:id="rId8"/>
      <w:pgSz w:w="11900" w:h="16840"/>
      <w:pgMar w:top="2610" w:right="1286" w:bottom="1026" w:left="1620" w:header="72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53" w:rsidRDefault="00CB5053">
      <w:r>
        <w:separator/>
      </w:r>
    </w:p>
  </w:endnote>
  <w:endnote w:type="continuationSeparator" w:id="0">
    <w:p w:rsidR="00CB5053" w:rsidRDefault="00CB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UnicodeM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53" w:rsidRDefault="00CB5053">
      <w:r>
        <w:separator/>
      </w:r>
    </w:p>
  </w:footnote>
  <w:footnote w:type="continuationSeparator" w:id="0">
    <w:p w:rsidR="00CB5053" w:rsidRDefault="00CB5053">
      <w:r>
        <w:continuationSeparator/>
      </w:r>
    </w:p>
  </w:footnote>
  <w:footnote w:type="continuationNotice" w:id="1">
    <w:p w:rsidR="00CB5053" w:rsidRDefault="00CB5053"/>
  </w:footnote>
  <w:footnote w:id="2">
    <w:p w:rsidR="001F792A" w:rsidRDefault="00455310">
      <w:pPr>
        <w:pStyle w:val="FootnoteText"/>
        <w:jc w:val="both"/>
      </w:pPr>
      <w:r>
        <w:rPr>
          <w:rFonts w:ascii="Trebuchet MS" w:eastAsia="Trebuchet MS" w:hAnsi="Trebuchet MS" w:cs="Trebuchet MS"/>
          <w:shd w:val="clear" w:color="auto" w:fill="FFFFFF"/>
          <w:vertAlign w:val="superscript"/>
        </w:rPr>
        <w:footnoteRef/>
      </w:r>
      <w:r>
        <w:rPr>
          <w:rFonts w:ascii="Calibri" w:eastAsia="Calibri" w:hAnsi="Calibri" w:cs="Calibri"/>
          <w:sz w:val="18"/>
          <w:szCs w:val="18"/>
        </w:rPr>
        <w:t xml:space="preserve"> </w:t>
      </w:r>
      <w:r>
        <w:rPr>
          <w:rFonts w:ascii="Calibri" w:eastAsia="Calibri" w:hAnsi="Calibri" w:cs="Calibri"/>
          <w:sz w:val="18"/>
          <w:szCs w:val="18"/>
          <w:shd w:val="clear" w:color="auto" w:fill="FFFFFF"/>
        </w:rPr>
        <w:t>Source: UNCTAD WIR 2013, http://unctad.org/en/pages/PressRelease.aspx?OriginalVersionID=113</w:t>
      </w:r>
      <w:r>
        <w:rPr>
          <w:rFonts w:ascii="Calibri" w:eastAsia="Calibri" w:hAnsi="Calibri" w:cs="Calibri"/>
          <w:sz w:val="18"/>
          <w:szCs w:val="18"/>
        </w:rPr>
        <w:t>.</w:t>
      </w:r>
    </w:p>
  </w:footnote>
  <w:footnote w:id="3">
    <w:p w:rsidR="001F792A" w:rsidRDefault="00455310">
      <w:pPr>
        <w:pStyle w:val="FootnoteText"/>
        <w:jc w:val="both"/>
      </w:pPr>
      <w:r>
        <w:rPr>
          <w:b/>
          <w:bCs/>
          <w:i/>
          <w:iCs/>
          <w:vertAlign w:val="superscript"/>
        </w:rPr>
        <w:footnoteRef/>
      </w:r>
      <w:r>
        <w:rPr>
          <w:rFonts w:ascii="Calibri" w:eastAsia="Calibri" w:hAnsi="Calibri" w:cs="Calibri"/>
          <w:sz w:val="18"/>
          <w:szCs w:val="18"/>
        </w:rPr>
        <w:t xml:space="preserve"> James P. Walsh and </w:t>
      </w:r>
      <w:proofErr w:type="spellStart"/>
      <w:r>
        <w:rPr>
          <w:rFonts w:ascii="Calibri" w:eastAsia="Calibri" w:hAnsi="Calibri" w:cs="Calibri"/>
          <w:sz w:val="18"/>
          <w:szCs w:val="18"/>
        </w:rPr>
        <w:t>Jiangyan</w:t>
      </w:r>
      <w:proofErr w:type="spellEnd"/>
      <w:r>
        <w:rPr>
          <w:rFonts w:ascii="Calibri" w:eastAsia="Calibri" w:hAnsi="Calibri" w:cs="Calibri"/>
          <w:sz w:val="18"/>
          <w:szCs w:val="18"/>
        </w:rPr>
        <w:t xml:space="preserve"> Yu (2010), “Determinants of Foreign Direct Investment: A sectoral and Institutional approach”, IMF Working Paper, available at: http://core.ac.uk/download/pdf/6671904.pdf. The paper explicitly states, “None of the developmental or institutional variables appear to have any influence either on total FDI flows or inflows into the primary sector”. The situation does not change much when assessing the inflow of FDI into the secondary sector. As a matter of fact, although labor market flexibility and financial depth seem to be partially significant, other variables related to regulation do not have any sort of influence. See also: Paulo </w:t>
      </w:r>
      <w:proofErr w:type="spellStart"/>
      <w:r>
        <w:rPr>
          <w:rFonts w:ascii="Calibri" w:eastAsia="Calibri" w:hAnsi="Calibri" w:cs="Calibri"/>
          <w:sz w:val="18"/>
          <w:szCs w:val="18"/>
        </w:rPr>
        <w:t>Elicha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Tembe</w:t>
      </w:r>
      <w:proofErr w:type="spellEnd"/>
      <w:r>
        <w:rPr>
          <w:rFonts w:ascii="Calibri" w:eastAsia="Calibri" w:hAnsi="Calibri" w:cs="Calibri"/>
          <w:sz w:val="18"/>
          <w:szCs w:val="18"/>
        </w:rPr>
        <w:t xml:space="preserve"> &amp; </w:t>
      </w:r>
      <w:proofErr w:type="spellStart"/>
      <w:r>
        <w:rPr>
          <w:rFonts w:ascii="Calibri" w:eastAsia="Calibri" w:hAnsi="Calibri" w:cs="Calibri"/>
          <w:sz w:val="18"/>
          <w:szCs w:val="18"/>
        </w:rPr>
        <w:t>Kangning</w:t>
      </w:r>
      <w:proofErr w:type="spellEnd"/>
      <w:r>
        <w:rPr>
          <w:rFonts w:ascii="Calibri" w:eastAsia="Calibri" w:hAnsi="Calibri" w:cs="Calibri"/>
          <w:sz w:val="18"/>
          <w:szCs w:val="18"/>
        </w:rPr>
        <w:t xml:space="preserve"> Xu (2012) « Attracting Foreign Direct Investment in Developing Countries: Determinants and Policies-A Comparative Study between Mozambique and China”. See also: U.S. Agency for International Development (2005) Foreign Direct Investment: Putting It to Work in Developing Countries. Washington, DC: USAID.</w:t>
      </w:r>
    </w:p>
  </w:footnote>
  <w:footnote w:id="4">
    <w:p w:rsidR="001F792A" w:rsidRDefault="00455310">
      <w:pPr>
        <w:pStyle w:val="FootnoteText"/>
        <w:jc w:val="both"/>
      </w:pPr>
      <w:r>
        <w:rPr>
          <w:b/>
          <w:bCs/>
          <w:i/>
          <w:iCs/>
          <w:vertAlign w:val="superscript"/>
        </w:rPr>
        <w:footnoteRef/>
      </w:r>
      <w:r>
        <w:rPr>
          <w:rFonts w:ascii="Calibri" w:eastAsia="Calibri" w:hAnsi="Calibri" w:cs="Calibri"/>
          <w:sz w:val="18"/>
          <w:szCs w:val="18"/>
        </w:rPr>
        <w:t xml:space="preserve"> </w:t>
      </w:r>
      <w:proofErr w:type="spellStart"/>
      <w:r>
        <w:rPr>
          <w:rFonts w:ascii="Calibri" w:eastAsia="Calibri" w:hAnsi="Calibri" w:cs="Calibri"/>
          <w:sz w:val="18"/>
          <w:szCs w:val="18"/>
        </w:rPr>
        <w:t>Kusi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Hornberger</w:t>
      </w:r>
      <w:proofErr w:type="spellEnd"/>
      <w:r>
        <w:rPr>
          <w:rFonts w:ascii="Calibri" w:eastAsia="Calibri" w:hAnsi="Calibri" w:cs="Calibri"/>
          <w:sz w:val="18"/>
          <w:szCs w:val="18"/>
        </w:rPr>
        <w:t xml:space="preserve">, Joseph </w:t>
      </w:r>
      <w:proofErr w:type="spellStart"/>
      <w:r>
        <w:rPr>
          <w:rFonts w:ascii="Calibri" w:eastAsia="Calibri" w:hAnsi="Calibri" w:cs="Calibri"/>
          <w:sz w:val="18"/>
          <w:szCs w:val="18"/>
        </w:rPr>
        <w:t>Battat</w:t>
      </w:r>
      <w:proofErr w:type="spellEnd"/>
      <w:r>
        <w:rPr>
          <w:rFonts w:ascii="Calibri" w:eastAsia="Calibri" w:hAnsi="Calibri" w:cs="Calibri"/>
          <w:sz w:val="18"/>
          <w:szCs w:val="18"/>
        </w:rPr>
        <w:t xml:space="preserve">, and Peter </w:t>
      </w:r>
      <w:proofErr w:type="spellStart"/>
      <w:r>
        <w:rPr>
          <w:rFonts w:ascii="Calibri" w:eastAsia="Calibri" w:hAnsi="Calibri" w:cs="Calibri"/>
          <w:sz w:val="18"/>
          <w:szCs w:val="18"/>
        </w:rPr>
        <w:t>Kusek</w:t>
      </w:r>
      <w:proofErr w:type="spellEnd"/>
      <w:r>
        <w:rPr>
          <w:rFonts w:ascii="Calibri" w:eastAsia="Calibri" w:hAnsi="Calibri" w:cs="Calibri"/>
          <w:sz w:val="18"/>
          <w:szCs w:val="18"/>
        </w:rPr>
        <w:t xml:space="preserve"> (2011) “Attracting FDI; How Much Does Investment Climate Matter?</w:t>
      </w:r>
      <w:proofErr w:type="gramStart"/>
      <w:r>
        <w:rPr>
          <w:rFonts w:ascii="Calibri" w:eastAsia="Calibri" w:hAnsi="Calibri" w:cs="Calibri"/>
          <w:sz w:val="18"/>
          <w:szCs w:val="18"/>
        </w:rPr>
        <w:t>”,</w:t>
      </w:r>
      <w:proofErr w:type="gramEnd"/>
      <w:r>
        <w:rPr>
          <w:rFonts w:ascii="Calibri" w:eastAsia="Calibri" w:hAnsi="Calibri" w:cs="Calibri"/>
          <w:sz w:val="18"/>
          <w:szCs w:val="18"/>
        </w:rPr>
        <w:t xml:space="preserve"> published as World Bank Group- View Point: Public Policy for the Private Sector, available at: </w:t>
      </w:r>
      <w:hyperlink r:id="rId1" w:history="1">
        <w:r>
          <w:rPr>
            <w:rStyle w:val="Hyperlink0"/>
          </w:rPr>
          <w:t>http://siteresources.worldbank.org/FINANCIALSECTOR/Resources/327-Attracting-FDI.pdf</w:t>
        </w:r>
      </w:hyperlink>
      <w:r>
        <w:rPr>
          <w:rFonts w:ascii="Calibri" w:eastAsia="Calibri" w:hAnsi="Calibri" w:cs="Calibri"/>
          <w:color w:val="0000FF"/>
          <w:sz w:val="18"/>
          <w:szCs w:val="18"/>
          <w:u w:val="single" w:color="0000FF"/>
        </w:rPr>
        <w:t>.</w:t>
      </w:r>
      <w:r>
        <w:rPr>
          <w:rFonts w:ascii="Calibri" w:eastAsia="Calibri" w:hAnsi="Calibri"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2A" w:rsidRDefault="00455310">
    <w:pPr>
      <w:pStyle w:val="Header"/>
      <w:tabs>
        <w:tab w:val="clear" w:pos="4252"/>
      </w:tabs>
    </w:pPr>
    <w:r>
      <w:rPr>
        <w:noProof/>
        <w:lang w:val="en-GB"/>
      </w:rPr>
      <mc:AlternateContent>
        <mc:Choice Requires="wpg">
          <w:drawing>
            <wp:anchor distT="152400" distB="152400" distL="152400" distR="152400" simplePos="0" relativeHeight="251658240" behindDoc="1" locked="0" layoutInCell="1" allowOverlap="1">
              <wp:simplePos x="0" y="0"/>
              <wp:positionH relativeFrom="page">
                <wp:posOffset>1028700</wp:posOffset>
              </wp:positionH>
              <wp:positionV relativeFrom="page">
                <wp:posOffset>299720</wp:posOffset>
              </wp:positionV>
              <wp:extent cx="5486400" cy="124904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486400" cy="1249045"/>
                        <a:chOff x="0" y="0"/>
                        <a:chExt cx="5486400" cy="1249044"/>
                      </a:xfrm>
                    </wpg:grpSpPr>
                    <wps:wsp>
                      <wps:cNvPr id="1073741825" name="Shape 1073741825"/>
                      <wps:cNvSpPr/>
                      <wps:spPr>
                        <a:xfrm>
                          <a:off x="0" y="0"/>
                          <a:ext cx="5486400" cy="1249045"/>
                        </a:xfrm>
                        <a:prstGeom prst="rect">
                          <a:avLst/>
                        </a:prstGeom>
                        <a:solidFill>
                          <a:srgbClr val="FFFFFF"/>
                        </a:solidFill>
                        <a:ln w="12700" cap="flat">
                          <a:noFill/>
                          <a:miter lim="400000"/>
                        </a:ln>
                        <a:effectLst/>
                      </wps:spPr>
                      <wps:bodyPr/>
                    </wps:wsp>
                    <wps:wsp>
                      <wps:cNvPr id="1073741826" name="Shape 1073741826"/>
                      <wps:cNvSpPr/>
                      <wps:spPr>
                        <a:xfrm>
                          <a:off x="0" y="0"/>
                          <a:ext cx="5486400" cy="1249045"/>
                        </a:xfrm>
                        <a:prstGeom prst="rect">
                          <a:avLst/>
                        </a:prstGeom>
                        <a:noFill/>
                        <a:ln w="12700" cap="flat">
                          <a:noFill/>
                          <a:miter lim="400000"/>
                        </a:ln>
                        <a:effectLst/>
                      </wps:spPr>
                      <wps:txbx>
                        <w:txbxContent>
                          <w:p w:rsidR="001F792A" w:rsidRDefault="001F792A">
                            <w:pPr>
                              <w:pStyle w:val="Header"/>
                              <w:jc w:val="center"/>
                            </w:pPr>
                          </w:p>
                          <w:p w:rsidR="001F792A" w:rsidRDefault="00455310">
                            <w:pPr>
                              <w:pStyle w:val="Header"/>
                              <w:jc w:val="center"/>
                              <w:rPr>
                                <w:rFonts w:ascii="Arial" w:eastAsia="Arial" w:hAnsi="Arial" w:cs="Arial"/>
                                <w:b/>
                                <w:bCs/>
                                <w:sz w:val="14"/>
                                <w:szCs w:val="14"/>
                                <w:lang w:val="es-ES_tradnl"/>
                              </w:rPr>
                            </w:pPr>
                            <w:r>
                              <w:rPr>
                                <w:rFonts w:ascii="Arial"/>
                                <w:b/>
                                <w:bCs/>
                                <w:sz w:val="14"/>
                                <w:szCs w:val="14"/>
                                <w:lang w:val="es-ES_tradnl"/>
                              </w:rPr>
                              <w:t>Misi</w:t>
                            </w:r>
                            <w:r>
                              <w:rPr>
                                <w:rFonts w:hAnsi="Arial Unicode MS"/>
                                <w:b/>
                                <w:bCs/>
                                <w:sz w:val="14"/>
                                <w:szCs w:val="14"/>
                                <w:lang w:val="es-ES_tradnl"/>
                              </w:rPr>
                              <w:t>ó</w:t>
                            </w:r>
                            <w:r>
                              <w:rPr>
                                <w:rFonts w:ascii="Arial"/>
                                <w:b/>
                                <w:bCs/>
                                <w:sz w:val="14"/>
                                <w:szCs w:val="14"/>
                                <w:lang w:val="es-ES_tradnl"/>
                              </w:rPr>
                              <w:t>n Permanente del Ecuador</w:t>
                            </w:r>
                          </w:p>
                          <w:p w:rsidR="001F792A" w:rsidRDefault="00455310">
                            <w:pPr>
                              <w:pStyle w:val="Header"/>
                              <w:jc w:val="center"/>
                              <w:rPr>
                                <w:rFonts w:ascii="Arial" w:eastAsia="Arial" w:hAnsi="Arial" w:cs="Arial"/>
                                <w:b/>
                                <w:bCs/>
                                <w:sz w:val="14"/>
                                <w:szCs w:val="14"/>
                                <w:lang w:val="es-ES_tradnl"/>
                              </w:rPr>
                            </w:pPr>
                            <w:proofErr w:type="gramStart"/>
                            <w:r>
                              <w:rPr>
                                <w:rFonts w:ascii="Arial"/>
                                <w:b/>
                                <w:bCs/>
                                <w:sz w:val="14"/>
                                <w:szCs w:val="14"/>
                                <w:lang w:val="es-ES_tradnl"/>
                              </w:rPr>
                              <w:t>ante</w:t>
                            </w:r>
                            <w:proofErr w:type="gramEnd"/>
                            <w:r>
                              <w:rPr>
                                <w:rFonts w:ascii="Arial"/>
                                <w:b/>
                                <w:bCs/>
                                <w:sz w:val="14"/>
                                <w:szCs w:val="14"/>
                                <w:lang w:val="es-ES_tradnl"/>
                              </w:rPr>
                              <w:t xml:space="preserve"> la ONU y otros Organismos Internacionales</w:t>
                            </w:r>
                          </w:p>
                          <w:p w:rsidR="001F792A" w:rsidRDefault="00455310">
                            <w:pPr>
                              <w:pStyle w:val="Header"/>
                              <w:jc w:val="center"/>
                            </w:pPr>
                            <w:proofErr w:type="spellStart"/>
                            <w:r>
                              <w:rPr>
                                <w:rFonts w:ascii="Arial"/>
                                <w:b/>
                                <w:bCs/>
                                <w:sz w:val="14"/>
                                <w:szCs w:val="14"/>
                              </w:rPr>
                              <w:t>Ginebra</w:t>
                            </w:r>
                            <w:proofErr w:type="spellEnd"/>
                            <w:r>
                              <w:rPr>
                                <w:rFonts w:ascii="Arial"/>
                                <w:b/>
                                <w:bCs/>
                                <w:sz w:val="14"/>
                                <w:szCs w:val="14"/>
                              </w:rPr>
                              <w:t xml:space="preserve"> - </w:t>
                            </w:r>
                            <w:proofErr w:type="spellStart"/>
                            <w:r>
                              <w:rPr>
                                <w:rFonts w:ascii="Arial"/>
                                <w:b/>
                                <w:bCs/>
                                <w:sz w:val="14"/>
                                <w:szCs w:val="14"/>
                              </w:rPr>
                              <w:t>Suiza</w:t>
                            </w:r>
                            <w:proofErr w:type="spellEnd"/>
                          </w:p>
                        </w:txbxContent>
                      </wps:txbx>
                      <wps:bodyPr wrap="square" lIns="45718" tIns="45718" rIns="45718" bIns="45718" numCol="1" anchor="t">
                        <a:noAutofit/>
                      </wps:bodyPr>
                    </wps:wsp>
                  </wpg:wgp>
                </a:graphicData>
              </a:graphic>
            </wp:anchor>
          </w:drawing>
        </mc:Choice>
        <mc:Fallback>
          <w:pict>
            <v:group id="officeArt object" o:spid="_x0000_s1026" style="position:absolute;margin-left:81pt;margin-top:23.6pt;width:6in;height:98.35pt;z-index:-251658240;mso-wrap-distance-left:12pt;mso-wrap-distance-top:12pt;mso-wrap-distance-right:12pt;mso-wrap-distance-bottom:12pt;mso-position-horizontal-relative:page;mso-position-vertical-relative:page" coordsize="54864,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">
              <v:rect id="Shape 1073741825" o:spid="_x0000_s1027" style="position:absolute;width:54864;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rect id="Shape 1073741826" o:spid="_x0000_s1028" style="position:absolute;width:54864;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Bt7MYA&#10;AADjAAAADwAAAGRycy9kb3ducmV2LnhtbERPX2vCMBB/H+w7hBv4NlN1aKlGEVEQBpNWP8DR3Jqy&#10;5lKSqHWffhkM9ni//7faDLYTN/KhdaxgMs5AENdOt9wouJwPrzmIEJE1do5JwYMCbNbPTysstLtz&#10;SbcqNiKFcChQgYmxL6QMtSGLYex64sR9Om8xptM3Unu8p3DbyWmWzaXFllODwZ52huqv6moV7C/u&#10;9H6YfXzn5+Dwamx5qnyp1Ohl2C5BRBriv/jPfdRpfraYLd4m+XQOvz8lA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Bt7MYAAADjAAAADwAAAAAAAAAAAAAAAACYAgAAZHJz&#10;L2Rvd25yZXYueG1sUEsFBgAAAAAEAAQA9QAAAIsDAAAAAA==&#10;" filled="f" stroked="f" strokeweight="1pt">
                <v:stroke miterlimit="4"/>
                <v:textbox inset="1.2699mm,1.2699mm,1.2699mm,1.2699mm">
                  <w:txbxContent>
                    <w:p w:rsidR="001F792A" w:rsidRDefault="001F792A">
                      <w:pPr>
                        <w:pStyle w:val="Header"/>
                        <w:jc w:val="center"/>
                      </w:pPr>
                    </w:p>
                    <w:p w:rsidR="001F792A" w:rsidRDefault="00455310">
                      <w:pPr>
                        <w:pStyle w:val="Header"/>
                        <w:jc w:val="center"/>
                        <w:rPr>
                          <w:rFonts w:ascii="Arial" w:eastAsia="Arial" w:hAnsi="Arial" w:cs="Arial"/>
                          <w:b/>
                          <w:bCs/>
                          <w:sz w:val="14"/>
                          <w:szCs w:val="14"/>
                          <w:lang w:val="es-ES_tradnl"/>
                        </w:rPr>
                      </w:pPr>
                      <w:r>
                        <w:rPr>
                          <w:rFonts w:ascii="Arial"/>
                          <w:b/>
                          <w:bCs/>
                          <w:sz w:val="14"/>
                          <w:szCs w:val="14"/>
                          <w:lang w:val="es-ES_tradnl"/>
                        </w:rPr>
                        <w:t>Misi</w:t>
                      </w:r>
                      <w:r>
                        <w:rPr>
                          <w:rFonts w:hAnsi="Arial Unicode MS"/>
                          <w:b/>
                          <w:bCs/>
                          <w:sz w:val="14"/>
                          <w:szCs w:val="14"/>
                          <w:lang w:val="es-ES_tradnl"/>
                        </w:rPr>
                        <w:t>ó</w:t>
                      </w:r>
                      <w:r>
                        <w:rPr>
                          <w:rFonts w:ascii="Arial"/>
                          <w:b/>
                          <w:bCs/>
                          <w:sz w:val="14"/>
                          <w:szCs w:val="14"/>
                          <w:lang w:val="es-ES_tradnl"/>
                        </w:rPr>
                        <w:t>n Permanente del Ecuador</w:t>
                      </w:r>
                    </w:p>
                    <w:p w:rsidR="001F792A" w:rsidRDefault="00455310">
                      <w:pPr>
                        <w:pStyle w:val="Header"/>
                        <w:jc w:val="center"/>
                        <w:rPr>
                          <w:rFonts w:ascii="Arial" w:eastAsia="Arial" w:hAnsi="Arial" w:cs="Arial"/>
                          <w:b/>
                          <w:bCs/>
                          <w:sz w:val="14"/>
                          <w:szCs w:val="14"/>
                          <w:lang w:val="es-ES_tradnl"/>
                        </w:rPr>
                      </w:pPr>
                      <w:proofErr w:type="gramStart"/>
                      <w:r>
                        <w:rPr>
                          <w:rFonts w:ascii="Arial"/>
                          <w:b/>
                          <w:bCs/>
                          <w:sz w:val="14"/>
                          <w:szCs w:val="14"/>
                          <w:lang w:val="es-ES_tradnl"/>
                        </w:rPr>
                        <w:t>ante</w:t>
                      </w:r>
                      <w:proofErr w:type="gramEnd"/>
                      <w:r>
                        <w:rPr>
                          <w:rFonts w:ascii="Arial"/>
                          <w:b/>
                          <w:bCs/>
                          <w:sz w:val="14"/>
                          <w:szCs w:val="14"/>
                          <w:lang w:val="es-ES_tradnl"/>
                        </w:rPr>
                        <w:t xml:space="preserve"> la ONU y otros Organismos Internacionales</w:t>
                      </w:r>
                    </w:p>
                    <w:p w:rsidR="001F792A" w:rsidRDefault="00455310">
                      <w:pPr>
                        <w:pStyle w:val="Header"/>
                        <w:jc w:val="center"/>
                      </w:pPr>
                      <w:proofErr w:type="spellStart"/>
                      <w:r>
                        <w:rPr>
                          <w:rFonts w:ascii="Arial"/>
                          <w:b/>
                          <w:bCs/>
                          <w:sz w:val="14"/>
                          <w:szCs w:val="14"/>
                        </w:rPr>
                        <w:t>Ginebra</w:t>
                      </w:r>
                      <w:proofErr w:type="spellEnd"/>
                      <w:r>
                        <w:rPr>
                          <w:rFonts w:ascii="Arial"/>
                          <w:b/>
                          <w:bCs/>
                          <w:sz w:val="14"/>
                          <w:szCs w:val="14"/>
                        </w:rPr>
                        <w:t xml:space="preserve"> - </w:t>
                      </w:r>
                      <w:proofErr w:type="spellStart"/>
                      <w:r>
                        <w:rPr>
                          <w:rFonts w:ascii="Arial"/>
                          <w:b/>
                          <w:bCs/>
                          <w:sz w:val="14"/>
                          <w:szCs w:val="14"/>
                        </w:rPr>
                        <w:t>Suiza</w:t>
                      </w:r>
                      <w:proofErr w:type="spellEnd"/>
                    </w:p>
                  </w:txbxContent>
                </v:textbox>
              </v:rect>
              <w10:wrap anchorx="page" anchory="page"/>
            </v:group>
          </w:pict>
        </mc:Fallback>
      </mc:AlternateContent>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914400</wp:posOffset>
              </wp:positionH>
              <wp:positionV relativeFrom="page">
                <wp:posOffset>10296525</wp:posOffset>
              </wp:positionV>
              <wp:extent cx="5715000" cy="48133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715000" cy="481331"/>
                      </a:xfrm>
                      <a:prstGeom prst="rect">
                        <a:avLst/>
                      </a:prstGeom>
                      <a:noFill/>
                      <a:ln w="12700" cap="flat">
                        <a:noFill/>
                        <a:miter lim="400000"/>
                      </a:ln>
                      <a:effectLst/>
                    </wps:spPr>
                    <wps:txbx>
                      <w:txbxContent>
                        <w:p w:rsidR="001F792A" w:rsidRDefault="00455310">
                          <w:pPr>
                            <w:pStyle w:val="Cuerpo"/>
                            <w:jc w:val="center"/>
                          </w:pPr>
                          <w:r>
                            <w:rPr>
                              <w:rFonts w:ascii="Verdana"/>
                              <w:b/>
                              <w:bCs/>
                              <w:sz w:val="12"/>
                              <w:szCs w:val="12"/>
                            </w:rPr>
                            <w:t xml:space="preserve">80-82, Rue de Lausanne  </w:t>
                          </w:r>
                          <w:r>
                            <w:rPr>
                              <w:rFonts w:hAnsi="Arial Unicode MS"/>
                              <w:b/>
                              <w:bCs/>
                              <w:sz w:val="12"/>
                              <w:szCs w:val="12"/>
                            </w:rPr>
                            <w:t>–</w:t>
                          </w:r>
                          <w:r>
                            <w:rPr>
                              <w:b/>
                              <w:bCs/>
                              <w:sz w:val="12"/>
                              <w:szCs w:val="12"/>
                            </w:rPr>
                            <w:t xml:space="preserve">  </w:t>
                          </w:r>
                          <w:r>
                            <w:rPr>
                              <w:rFonts w:ascii="Verdana"/>
                              <w:b/>
                              <w:bCs/>
                              <w:sz w:val="12"/>
                              <w:szCs w:val="12"/>
                            </w:rPr>
                            <w:t xml:space="preserve">1202  </w:t>
                          </w:r>
                          <w:proofErr w:type="spellStart"/>
                          <w:r>
                            <w:rPr>
                              <w:rFonts w:ascii="Verdana"/>
                              <w:b/>
                              <w:bCs/>
                              <w:sz w:val="12"/>
                              <w:szCs w:val="12"/>
                            </w:rPr>
                            <w:t>Ginebra</w:t>
                          </w:r>
                          <w:proofErr w:type="spellEnd"/>
                          <w:r>
                            <w:rPr>
                              <w:rFonts w:ascii="Verdana"/>
                              <w:b/>
                              <w:bCs/>
                              <w:sz w:val="12"/>
                              <w:szCs w:val="12"/>
                            </w:rPr>
                            <w:t xml:space="preserve">, </w:t>
                          </w:r>
                          <w:proofErr w:type="spellStart"/>
                          <w:r>
                            <w:rPr>
                              <w:rFonts w:ascii="Verdana"/>
                              <w:b/>
                              <w:bCs/>
                              <w:sz w:val="12"/>
                              <w:szCs w:val="12"/>
                            </w:rPr>
                            <w:t>Suiza</w:t>
                          </w:r>
                          <w:proofErr w:type="spellEnd"/>
                          <w:r>
                            <w:rPr>
                              <w:rFonts w:ascii="Verdana"/>
                              <w:b/>
                              <w:bCs/>
                              <w:sz w:val="12"/>
                              <w:szCs w:val="12"/>
                            </w:rPr>
                            <w:t xml:space="preserve">  Tel (4122) 7324955   Email: onuginebra@mmrree.gob.ec</w:t>
                          </w:r>
                        </w:p>
                      </w:txbxContent>
                    </wps:txbx>
                    <wps:bodyPr wrap="square" lIns="45718" tIns="45718" rIns="45718" bIns="45718" numCol="1" anchor="t">
                      <a:noAutofit/>
                    </wps:bodyPr>
                  </wps:wsp>
                </a:graphicData>
              </a:graphic>
            </wp:anchor>
          </w:drawing>
        </mc:Choice>
        <mc:Fallback>
          <w:pict>
            <v:rect id="_x0000_s1029" style="position:absolute;margin-left:1in;margin-top:810.75pt;width:450pt;height:37.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" filled="f" stroked="f" strokeweight="1pt">
              <v:stroke miterlimit="4"/>
              <v:textbox inset="1.2699mm,1.2699mm,1.2699mm,1.2699mm">
                <w:txbxContent>
                  <w:p w:rsidR="001F792A" w:rsidRDefault="00455310">
                    <w:pPr>
                      <w:pStyle w:val="Cuerpo"/>
                      <w:jc w:val="center"/>
                    </w:pPr>
                    <w:r>
                      <w:rPr>
                        <w:rFonts w:ascii="Verdana"/>
                        <w:b/>
                        <w:bCs/>
                        <w:sz w:val="12"/>
                        <w:szCs w:val="12"/>
                      </w:rPr>
                      <w:t xml:space="preserve">80-82, Rue de Lausanne  </w:t>
                    </w:r>
                    <w:r>
                      <w:rPr>
                        <w:rFonts w:hAnsi="Arial Unicode MS"/>
                        <w:b/>
                        <w:bCs/>
                        <w:sz w:val="12"/>
                        <w:szCs w:val="12"/>
                      </w:rPr>
                      <w:t>–</w:t>
                    </w:r>
                    <w:r>
                      <w:rPr>
                        <w:b/>
                        <w:bCs/>
                        <w:sz w:val="12"/>
                        <w:szCs w:val="12"/>
                      </w:rPr>
                      <w:t xml:space="preserve">  </w:t>
                    </w:r>
                    <w:r>
                      <w:rPr>
                        <w:rFonts w:ascii="Verdana"/>
                        <w:b/>
                        <w:bCs/>
                        <w:sz w:val="12"/>
                        <w:szCs w:val="12"/>
                      </w:rPr>
                      <w:t xml:space="preserve">1202  </w:t>
                    </w:r>
                    <w:proofErr w:type="spellStart"/>
                    <w:r>
                      <w:rPr>
                        <w:rFonts w:ascii="Verdana"/>
                        <w:b/>
                        <w:bCs/>
                        <w:sz w:val="12"/>
                        <w:szCs w:val="12"/>
                      </w:rPr>
                      <w:t>Ginebra</w:t>
                    </w:r>
                    <w:proofErr w:type="spellEnd"/>
                    <w:r>
                      <w:rPr>
                        <w:rFonts w:ascii="Verdana"/>
                        <w:b/>
                        <w:bCs/>
                        <w:sz w:val="12"/>
                        <w:szCs w:val="12"/>
                      </w:rPr>
                      <w:t xml:space="preserve">, </w:t>
                    </w:r>
                    <w:proofErr w:type="spellStart"/>
                    <w:r>
                      <w:rPr>
                        <w:rFonts w:ascii="Verdana"/>
                        <w:b/>
                        <w:bCs/>
                        <w:sz w:val="12"/>
                        <w:szCs w:val="12"/>
                      </w:rPr>
                      <w:t>Suiza</w:t>
                    </w:r>
                    <w:proofErr w:type="spellEnd"/>
                    <w:r>
                      <w:rPr>
                        <w:rFonts w:ascii="Verdana"/>
                        <w:b/>
                        <w:bCs/>
                        <w:sz w:val="12"/>
                        <w:szCs w:val="12"/>
                      </w:rPr>
                      <w:t xml:space="preserve">  Tel (4122) 7324955   Email: onuginebra@mmrree.gob.ec</w:t>
                    </w:r>
                  </w:p>
                </w:txbxContent>
              </v:textbox>
              <w10:wrap anchorx="page" anchory="page"/>
            </v:rect>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5582"/>
    <w:multiLevelType w:val="multilevel"/>
    <w:tmpl w:val="62026CDA"/>
    <w:lvl w:ilvl="0">
      <w:start w:val="14"/>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 w15:restartNumberingAfterBreak="0">
    <w:nsid w:val="1B27674C"/>
    <w:multiLevelType w:val="multilevel"/>
    <w:tmpl w:val="1A2C66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B97164F"/>
    <w:multiLevelType w:val="multilevel"/>
    <w:tmpl w:val="EE6E85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2A845546"/>
    <w:multiLevelType w:val="multilevel"/>
    <w:tmpl w:val="27D229E8"/>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4" w15:restartNumberingAfterBreak="0">
    <w:nsid w:val="32470163"/>
    <w:multiLevelType w:val="multilevel"/>
    <w:tmpl w:val="B55E75E8"/>
    <w:styleLink w:val="List21"/>
    <w:lvl w:ilvl="0">
      <w:start w:val="15"/>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5" w15:restartNumberingAfterBreak="0">
    <w:nsid w:val="328C5628"/>
    <w:multiLevelType w:val="multilevel"/>
    <w:tmpl w:val="EA92648E"/>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6" w15:restartNumberingAfterBreak="0">
    <w:nsid w:val="3B8632CF"/>
    <w:multiLevelType w:val="multilevel"/>
    <w:tmpl w:val="DD9071A4"/>
    <w:styleLink w:val="List31"/>
    <w:lvl w:ilvl="0">
      <w:start w:val="20"/>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7" w15:restartNumberingAfterBreak="0">
    <w:nsid w:val="48E13386"/>
    <w:multiLevelType w:val="multilevel"/>
    <w:tmpl w:val="B524AA60"/>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8" w15:restartNumberingAfterBreak="0">
    <w:nsid w:val="4E5C5906"/>
    <w:multiLevelType w:val="multilevel"/>
    <w:tmpl w:val="F72619B0"/>
    <w:styleLink w:val="List0"/>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9" w15:restartNumberingAfterBreak="0">
    <w:nsid w:val="5C405DAC"/>
    <w:multiLevelType w:val="multilevel"/>
    <w:tmpl w:val="BE4C1684"/>
    <w:lvl w:ilvl="0">
      <w:start w:val="1"/>
      <w:numFmt w:val="decimal"/>
      <w:lvlText w:val="%1."/>
      <w:lvlJc w:val="left"/>
      <w:pPr>
        <w:tabs>
          <w:tab w:val="num" w:pos="835"/>
        </w:tabs>
        <w:ind w:left="835" w:hanging="475"/>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10" w15:restartNumberingAfterBreak="0">
    <w:nsid w:val="61250709"/>
    <w:multiLevelType w:val="multilevel"/>
    <w:tmpl w:val="347837E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6CE565A3"/>
    <w:multiLevelType w:val="multilevel"/>
    <w:tmpl w:val="B95A4214"/>
    <w:lvl w:ilvl="0">
      <w:start w:val="19"/>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2" w15:restartNumberingAfterBreak="0">
    <w:nsid w:val="7D7968AC"/>
    <w:multiLevelType w:val="multilevel"/>
    <w:tmpl w:val="95C4E846"/>
    <w:lvl w:ilvl="0">
      <w:start w:val="7"/>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3" w15:restartNumberingAfterBreak="0">
    <w:nsid w:val="7F792BD1"/>
    <w:multiLevelType w:val="multilevel"/>
    <w:tmpl w:val="7C86AA02"/>
    <w:styleLink w:val="List1"/>
    <w:lvl w:ilvl="0">
      <w:start w:val="6"/>
      <w:numFmt w:val="decimal"/>
      <w:lvlText w:val="%1."/>
      <w:lvlJc w:val="left"/>
      <w:pPr>
        <w:tabs>
          <w:tab w:val="num" w:pos="835"/>
        </w:tabs>
        <w:ind w:left="835" w:hanging="475"/>
      </w:pPr>
      <w:rPr>
        <w:position w:val="0"/>
        <w:sz w:val="20"/>
        <w:szCs w:val="20"/>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num w:numId="1">
    <w:abstractNumId w:val="5"/>
  </w:num>
  <w:num w:numId="2">
    <w:abstractNumId w:val="2"/>
  </w:num>
  <w:num w:numId="3">
    <w:abstractNumId w:val="8"/>
  </w:num>
  <w:num w:numId="4">
    <w:abstractNumId w:val="9"/>
  </w:num>
  <w:num w:numId="5">
    <w:abstractNumId w:val="1"/>
  </w:num>
  <w:num w:numId="6">
    <w:abstractNumId w:val="13"/>
  </w:num>
  <w:num w:numId="7">
    <w:abstractNumId w:val="7"/>
  </w:num>
  <w:num w:numId="8">
    <w:abstractNumId w:val="10"/>
  </w:num>
  <w:num w:numId="9">
    <w:abstractNumId w:val="12"/>
  </w:num>
  <w:num w:numId="10">
    <w:abstractNumId w:val="3"/>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2A"/>
    <w:rsid w:val="00151958"/>
    <w:rsid w:val="00170A7F"/>
    <w:rsid w:val="001919EE"/>
    <w:rsid w:val="001F792A"/>
    <w:rsid w:val="00375DFA"/>
    <w:rsid w:val="00415564"/>
    <w:rsid w:val="00455310"/>
    <w:rsid w:val="00474F25"/>
    <w:rsid w:val="005C7197"/>
    <w:rsid w:val="00AA176B"/>
    <w:rsid w:val="00C66430"/>
    <w:rsid w:val="00CB5053"/>
    <w:rsid w:val="00D14CD4"/>
    <w:rsid w:val="00D9182E"/>
    <w:rsid w:val="00FA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7EE83-C7A2-46BA-B265-2BAB6927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spacing w:after="200" w:line="276" w:lineRule="auto"/>
    </w:pPr>
    <w:rPr>
      <w:rFonts w:ascii="Calibri" w:eastAsia="Calibri" w:hAnsi="Calibri" w:cs="Calibri"/>
      <w:color w:val="000000"/>
      <w:sz w:val="22"/>
      <w:szCs w:val="22"/>
      <w:u w:color="000000"/>
      <w:lang w:val="fr-FR"/>
    </w:rPr>
  </w:style>
  <w:style w:type="paragraph" w:customStyle="1" w:styleId="Cuerpo">
    <w:name w:val="Cuerpo"/>
    <w:pPr>
      <w:spacing w:after="200" w:line="276" w:lineRule="auto"/>
    </w:pPr>
    <w:rPr>
      <w:rFonts w:ascii="Calibri" w:eastAsia="Calibri" w:hAnsi="Calibri" w:cs="Calibri"/>
      <w:color w:val="000000"/>
      <w:sz w:val="22"/>
      <w:szCs w:val="22"/>
      <w:u w:color="000000"/>
      <w:lang w:val="fr-FR"/>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List0">
    <w:name w:val="List 0"/>
    <w:basedOn w:val="Estiloimportado1"/>
    <w:pPr>
      <w:numPr>
        <w:numId w:val="3"/>
      </w:numPr>
    </w:pPr>
  </w:style>
  <w:style w:type="numbering" w:customStyle="1" w:styleId="Estiloimportado1">
    <w:name w:val="Estilo importado 1"/>
  </w:style>
  <w:style w:type="paragraph" w:styleId="FootnoteText">
    <w:name w:val="footnote text"/>
    <w:pPr>
      <w:spacing w:after="200" w:line="276" w:lineRule="auto"/>
    </w:pPr>
    <w:rPr>
      <w:rFonts w:ascii="Cambria" w:eastAsia="Cambria" w:hAnsi="Cambria" w:cs="Cambria"/>
      <w:color w:val="000000"/>
      <w:u w:color="000000"/>
      <w:lang w:val="en-US"/>
    </w:rPr>
  </w:style>
  <w:style w:type="character" w:customStyle="1" w:styleId="Ninguno">
    <w:name w:val="Ninguno"/>
  </w:style>
  <w:style w:type="character" w:customStyle="1" w:styleId="Hyperlink0">
    <w:name w:val="Hyperlink.0"/>
    <w:basedOn w:val="Ninguno"/>
    <w:rPr>
      <w:rFonts w:ascii="Calibri" w:eastAsia="Calibri" w:hAnsi="Calibri" w:cs="Calibri"/>
      <w:color w:val="0000FF"/>
      <w:sz w:val="18"/>
      <w:szCs w:val="18"/>
      <w:u w:val="single" w:color="0000FF"/>
      <w:lang w:val="en-US"/>
    </w:rPr>
  </w:style>
  <w:style w:type="numbering" w:customStyle="1" w:styleId="List1">
    <w:name w:val="List 1"/>
    <w:basedOn w:val="Estiloimportado2"/>
    <w:pPr>
      <w:numPr>
        <w:numId w:val="6"/>
      </w:numPr>
    </w:pPr>
  </w:style>
  <w:style w:type="numbering" w:customStyle="1" w:styleId="Estiloimportado2">
    <w:name w:val="Estilo importado 2"/>
  </w:style>
  <w:style w:type="numbering" w:customStyle="1" w:styleId="List21">
    <w:name w:val="List 21"/>
    <w:basedOn w:val="Estiloimportado3"/>
    <w:pPr>
      <w:numPr>
        <w:numId w:val="12"/>
      </w:numPr>
    </w:pPr>
  </w:style>
  <w:style w:type="numbering" w:customStyle="1" w:styleId="Estiloimportado3">
    <w:name w:val="Estilo importado 3"/>
  </w:style>
  <w:style w:type="numbering" w:customStyle="1" w:styleId="List31">
    <w:name w:val="List 31"/>
    <w:basedOn w:val="Estiloimportado3"/>
    <w:pPr>
      <w:numPr>
        <w:numId w:val="14"/>
      </w:numPr>
    </w:pPr>
  </w:style>
  <w:style w:type="paragraph" w:styleId="NormalWeb">
    <w:name w:val="Normal (Web)"/>
    <w:pPr>
      <w:spacing w:after="200" w:line="276" w:lineRule="auto"/>
    </w:pPr>
    <w:rPr>
      <w:rFonts w:ascii="Calibri" w:eastAsia="Calibri" w:hAnsi="Calibri" w:cs="Calibri"/>
      <w:color w:val="000000"/>
      <w:sz w:val="22"/>
      <w:szCs w:val="22"/>
      <w:u w:color="000000"/>
      <w:lang w:val="fr-FR"/>
    </w:rPr>
  </w:style>
  <w:style w:type="character" w:customStyle="1" w:styleId="Hyperlink1">
    <w:name w:val="Hyperlink.1"/>
    <w:basedOn w:val="Ninguno"/>
    <w:rPr>
      <w:color w:val="0000FF"/>
      <w:sz w:val="24"/>
      <w:szCs w:val="24"/>
      <w:u w:val="single" w:color="0000FF"/>
      <w:lang w:val="en-US"/>
    </w:rPr>
  </w:style>
  <w:style w:type="paragraph" w:styleId="BalloonText">
    <w:name w:val="Balloon Text"/>
    <w:basedOn w:val="Normal"/>
    <w:link w:val="BalloonTextChar"/>
    <w:uiPriority w:val="99"/>
    <w:semiHidden/>
    <w:unhideWhenUsed/>
    <w:rsid w:val="00474F25"/>
    <w:rPr>
      <w:rFonts w:ascii="Tahoma" w:hAnsi="Tahoma" w:cs="Tahoma"/>
      <w:sz w:val="16"/>
      <w:szCs w:val="16"/>
    </w:rPr>
  </w:style>
  <w:style w:type="character" w:customStyle="1" w:styleId="BalloonTextChar">
    <w:name w:val="Balloon Text Char"/>
    <w:basedOn w:val="DefaultParagraphFont"/>
    <w:link w:val="BalloonText"/>
    <w:uiPriority w:val="99"/>
    <w:semiHidden/>
    <w:rsid w:val="00474F2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74F25"/>
    <w:rPr>
      <w:sz w:val="16"/>
      <w:szCs w:val="16"/>
    </w:rPr>
  </w:style>
  <w:style w:type="paragraph" w:styleId="CommentText">
    <w:name w:val="annotation text"/>
    <w:basedOn w:val="Normal"/>
    <w:link w:val="CommentTextChar"/>
    <w:uiPriority w:val="99"/>
    <w:semiHidden/>
    <w:unhideWhenUsed/>
    <w:rsid w:val="00474F25"/>
    <w:rPr>
      <w:sz w:val="20"/>
      <w:szCs w:val="20"/>
    </w:rPr>
  </w:style>
  <w:style w:type="character" w:customStyle="1" w:styleId="CommentTextChar">
    <w:name w:val="Comment Text Char"/>
    <w:basedOn w:val="DefaultParagraphFont"/>
    <w:link w:val="CommentText"/>
    <w:uiPriority w:val="99"/>
    <w:semiHidden/>
    <w:rsid w:val="00474F25"/>
    <w:rPr>
      <w:lang w:val="en-US" w:eastAsia="en-US"/>
    </w:rPr>
  </w:style>
  <w:style w:type="paragraph" w:styleId="CommentSubject">
    <w:name w:val="annotation subject"/>
    <w:basedOn w:val="CommentText"/>
    <w:next w:val="CommentText"/>
    <w:link w:val="CommentSubjectChar"/>
    <w:uiPriority w:val="99"/>
    <w:semiHidden/>
    <w:unhideWhenUsed/>
    <w:rsid w:val="00474F25"/>
    <w:rPr>
      <w:b/>
      <w:bCs/>
    </w:rPr>
  </w:style>
  <w:style w:type="character" w:customStyle="1" w:styleId="CommentSubjectChar">
    <w:name w:val="Comment Subject Char"/>
    <w:basedOn w:val="CommentTextChar"/>
    <w:link w:val="CommentSubject"/>
    <w:uiPriority w:val="99"/>
    <w:semiHidden/>
    <w:rsid w:val="00474F2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teresources.worldbank.org/financialsector/resources/327-attracting-fdi.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F2B9-F3F5-434C-B73B-9876A799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Farrell</dc:creator>
  <cp:lastModifiedBy>Elodie Aba</cp:lastModifiedBy>
  <cp:revision>2</cp:revision>
  <cp:lastPrinted>2015-07-03T08:00:00Z</cp:lastPrinted>
  <dcterms:created xsi:type="dcterms:W3CDTF">2015-07-03T14:22:00Z</dcterms:created>
  <dcterms:modified xsi:type="dcterms:W3CDTF">2015-07-03T14:22:00Z</dcterms:modified>
</cp:coreProperties>
</file>